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D428A3">
      <w:r>
        <w:tab/>
      </w:r>
      <w:r>
        <w:tab/>
      </w:r>
      <w:r>
        <w:tab/>
      </w:r>
    </w:p>
    <w:p w:rsidR="00D428A3" w:rsidRDefault="00D428A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6C5EFF">
        <w:t xml:space="preserve">8 </w:t>
      </w:r>
      <w:bookmarkStart w:id="0" w:name="_GoBack"/>
      <w:bookmarkEnd w:id="0"/>
      <w:r>
        <w:t>sierpnia 2019 r.</w:t>
      </w:r>
    </w:p>
    <w:p w:rsidR="00D428A3" w:rsidRDefault="00D428A3"/>
    <w:p w:rsidR="00D428A3" w:rsidRDefault="00D428A3"/>
    <w:p w:rsidR="00D428A3" w:rsidRDefault="00D428A3">
      <w:r>
        <w:t>PAOOR.0003.29.2019.ML</w:t>
      </w:r>
    </w:p>
    <w:p w:rsidR="00D428A3" w:rsidRDefault="00D428A3"/>
    <w:p w:rsidR="00D428A3" w:rsidRDefault="00D428A3"/>
    <w:p w:rsidR="00D428A3" w:rsidRPr="00D428A3" w:rsidRDefault="00D428A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428A3">
        <w:rPr>
          <w:b/>
        </w:rPr>
        <w:t>Pani</w:t>
      </w:r>
    </w:p>
    <w:p w:rsidR="00D428A3" w:rsidRPr="00D428A3" w:rsidRDefault="00D428A3">
      <w:pPr>
        <w:rPr>
          <w:b/>
        </w:rPr>
      </w:pP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  <w:t>Katarzyna Sarnowska</w:t>
      </w:r>
    </w:p>
    <w:p w:rsidR="00D428A3" w:rsidRPr="00D428A3" w:rsidRDefault="00D428A3">
      <w:pPr>
        <w:rPr>
          <w:b/>
        </w:rPr>
      </w:pPr>
    </w:p>
    <w:p w:rsidR="00D428A3" w:rsidRPr="00D428A3" w:rsidRDefault="00D428A3">
      <w:pPr>
        <w:rPr>
          <w:b/>
        </w:rPr>
      </w:pP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  <w:t>Przewodnicząca</w:t>
      </w:r>
    </w:p>
    <w:p w:rsidR="00D428A3" w:rsidRPr="00D428A3" w:rsidRDefault="00D428A3">
      <w:pPr>
        <w:rPr>
          <w:b/>
        </w:rPr>
      </w:pP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</w:r>
      <w:r w:rsidRPr="00D428A3">
        <w:rPr>
          <w:b/>
        </w:rPr>
        <w:tab/>
        <w:t>Rady Miejskiej w Śremie</w:t>
      </w:r>
    </w:p>
    <w:p w:rsidR="00D428A3" w:rsidRDefault="00D428A3"/>
    <w:p w:rsidR="00404E83" w:rsidRDefault="00404E83"/>
    <w:p w:rsidR="00D428A3" w:rsidRDefault="00D428A3"/>
    <w:p w:rsidR="00404E83" w:rsidRDefault="00D428A3" w:rsidP="00404E83">
      <w:pPr>
        <w:ind w:firstLine="360"/>
        <w:jc w:val="both"/>
        <w:rPr>
          <w:rFonts w:cs="Times New Roman"/>
          <w:szCs w:val="28"/>
        </w:rPr>
      </w:pPr>
      <w:r>
        <w:tab/>
        <w:t>Odpowiadając na złożoną 31.07.2019 r. interpelację radnego, Pana Grzegorza Wiśniewskiego w sprawie przedstawienia informacji dotyczącej gospodarki nieruchomościami będącymi</w:t>
      </w:r>
      <w:r w:rsidR="00404E83">
        <w:t xml:space="preserve"> w zasobie gminy Śrem </w:t>
      </w:r>
      <w:r w:rsidR="00044817">
        <w:t>w związku z </w:t>
      </w:r>
      <w:r w:rsidR="00404E83">
        <w:t xml:space="preserve">pismem </w:t>
      </w:r>
      <w:r>
        <w:t>mieszkańców Wspólnoty Mieszkaniowej Właścicieli Lokali przy ul. Grunwaldzkiej 8</w:t>
      </w:r>
      <w:r w:rsidR="00404E83">
        <w:t xml:space="preserve">C - </w:t>
      </w:r>
      <w:r>
        <w:t xml:space="preserve"> </w:t>
      </w:r>
      <w:r w:rsidR="00404E83">
        <w:rPr>
          <w:rFonts w:cs="Times New Roman"/>
          <w:szCs w:val="28"/>
        </w:rPr>
        <w:t>dotyczy sprz</w:t>
      </w:r>
      <w:r w:rsidR="00044817">
        <w:rPr>
          <w:rFonts w:cs="Times New Roman"/>
          <w:szCs w:val="28"/>
        </w:rPr>
        <w:t>edaży nieruchomości położonej w </w:t>
      </w:r>
      <w:r w:rsidR="00404E83">
        <w:rPr>
          <w:rFonts w:cs="Times New Roman"/>
          <w:szCs w:val="28"/>
        </w:rPr>
        <w:t>Śremie, oznaczonej ewidencyjnymi nume</w:t>
      </w:r>
      <w:r w:rsidR="00044817">
        <w:rPr>
          <w:rFonts w:cs="Times New Roman"/>
          <w:szCs w:val="28"/>
        </w:rPr>
        <w:t xml:space="preserve">rami działek 1745/30 </w:t>
      </w:r>
      <w:r w:rsidR="00044817">
        <w:rPr>
          <w:rFonts w:cs="Times New Roman"/>
          <w:szCs w:val="28"/>
        </w:rPr>
        <w:br/>
        <w:t>i 1745/33;</w:t>
      </w:r>
      <w:r w:rsidR="00404E83">
        <w:rPr>
          <w:rFonts w:cs="Times New Roman"/>
          <w:szCs w:val="28"/>
        </w:rPr>
        <w:t xml:space="preserve"> </w:t>
      </w:r>
    </w:p>
    <w:p w:rsidR="00A32E0B" w:rsidRDefault="00A32E0B" w:rsidP="00D428A3">
      <w:pPr>
        <w:jc w:val="both"/>
      </w:pPr>
    </w:p>
    <w:p w:rsidR="00A32E0B" w:rsidRPr="00A32E0B" w:rsidRDefault="00D428A3" w:rsidP="00A32E0B">
      <w:pPr>
        <w:jc w:val="both"/>
      </w:pPr>
      <w:r>
        <w:tab/>
        <w:t xml:space="preserve">Wyjaśniam </w:t>
      </w:r>
      <w:r w:rsidR="00A32E0B">
        <w:t xml:space="preserve">iż </w:t>
      </w:r>
      <w:r w:rsidR="00A32E0B">
        <w:rPr>
          <w:rFonts w:cs="Times New Roman"/>
          <w:szCs w:val="28"/>
        </w:rPr>
        <w:t xml:space="preserve">gospodarowanie nieruchomościami gminnego zasobu odbywa się na podstawie programu wykorzystania nieruchomości zasobu oraz rocznych planów sprzedaży sporządzanych w oparciu o program, uwzględnianych każdorazowo w projekcie budżetu. Zarówno program wykorzystania nieruchomości zasobu jak i plan sprzedaży są poddawane </w:t>
      </w:r>
      <w:r w:rsidR="00A32E0B">
        <w:rPr>
          <w:rFonts w:cs="Times New Roman"/>
          <w:szCs w:val="28"/>
        </w:rPr>
        <w:br/>
        <w:t>w półrocznych odstępach czasu analizie w celu wprowadzenia ewentualnych zmian. W 2018 r</w:t>
      </w:r>
      <w:r w:rsidR="00044817">
        <w:rPr>
          <w:rFonts w:cs="Times New Roman"/>
          <w:szCs w:val="28"/>
        </w:rPr>
        <w:t>oku</w:t>
      </w:r>
      <w:r w:rsidR="00A32E0B">
        <w:rPr>
          <w:rFonts w:cs="Times New Roman"/>
          <w:szCs w:val="28"/>
        </w:rPr>
        <w:t>, uwzględniając wolę zakupu gminnego gruntu przez Wspólnotę Mieszkaniową Właścicieli Lokali budynku przy ul. Grunwaldzkiej 8C zawarto w planie sprzedaży nieruchomości na 2019</w:t>
      </w:r>
      <w:r w:rsidR="00044817">
        <w:rPr>
          <w:rFonts w:cs="Times New Roman"/>
          <w:szCs w:val="28"/>
        </w:rPr>
        <w:t xml:space="preserve"> </w:t>
      </w:r>
      <w:r w:rsidR="00A32E0B">
        <w:rPr>
          <w:rFonts w:cs="Times New Roman"/>
          <w:szCs w:val="28"/>
        </w:rPr>
        <w:t>rok zbycie przedmiotowej nieruchomości.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Ze względu na możliwość odrębnego zagospodarowania gruntu , o którym mowa wyżej, oznaczonego jako działki 1745/30 i 1745/33,  stwierdzono brak prawnej podstawy zbycia go na podstawie przepisu art. 37 ust. 2 pkt 6 ustawy </w:t>
      </w:r>
      <w:r>
        <w:rPr>
          <w:rFonts w:cs="Times New Roman"/>
          <w:szCs w:val="28"/>
        </w:rPr>
        <w:br/>
        <w:t xml:space="preserve">o gospodarce nieruchomościami (dalej </w:t>
      </w:r>
      <w:proofErr w:type="spellStart"/>
      <w:r>
        <w:rPr>
          <w:rFonts w:cs="Times New Roman"/>
          <w:szCs w:val="28"/>
        </w:rPr>
        <w:t>u.g.n</w:t>
      </w:r>
      <w:proofErr w:type="spellEnd"/>
      <w:r>
        <w:rPr>
          <w:rFonts w:cs="Times New Roman"/>
          <w:szCs w:val="28"/>
        </w:rPr>
        <w:t xml:space="preserve">.) tj. z uwzględnieniem trybu bezprzetargowego. W warunkach sprzedaży przetargowej zastrzeżono, uwzględniając kary finansowe, iż sprzedaż nieruchomości nastąpi na cele parkingowe z obowiązkiem budowy parkingów w okresie dwunastu  miesięcy po nabyciu nieruchomości. W ramach przygotowania gruntu do zbycia dokonano w niezbędnym zakresie podziałów geodezyjnych oraz zlecono </w:t>
      </w:r>
      <w:r>
        <w:rPr>
          <w:rFonts w:cs="Times New Roman"/>
          <w:szCs w:val="28"/>
        </w:rPr>
        <w:lastRenderedPageBreak/>
        <w:t>sporządzenie operatu szacunkowego stanowiącego podstawę ustalenia ceny wywoławczej do przetargu. Informację o fakcie przeznaczenia nieruchomości do sprzedaży podano do publicznej wiadomości w formie tzw. wykazu.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Wspólnota mieszkaniowa po opublikowaniu wykazu, uznając iż cena wywoławcza jest zbyt wysoka, zwróciła się z prośbą o wyjaśnienia w zakresie sposobu jej ustalenia.  Wspólnota uzyskała informacje w tym zakresie. </w:t>
      </w:r>
      <w:r>
        <w:rPr>
          <w:rFonts w:cs="Times New Roman"/>
          <w:szCs w:val="28"/>
        </w:rPr>
        <w:br/>
        <w:t xml:space="preserve">Po upływie 6 tygodni od dnia publikacji wykazu, został ogłoszony pierwszy publiczny nieograniczony przetarg ustny na grunt gminny o powierzchni </w:t>
      </w:r>
      <w:r>
        <w:rPr>
          <w:rFonts w:cs="Times New Roman"/>
          <w:szCs w:val="28"/>
        </w:rPr>
        <w:br/>
        <w:t xml:space="preserve">0.0812 ha z uwzględnieniem ceny wywoławczej na poziomie 220.000,00 zł. </w:t>
      </w:r>
      <w:r>
        <w:rPr>
          <w:rFonts w:cs="Times New Roman"/>
          <w:szCs w:val="28"/>
        </w:rPr>
        <w:br/>
        <w:t>(tj. 270,94 zł za 1m</w:t>
      </w:r>
      <w:r>
        <w:rPr>
          <w:rFonts w:cs="Times New Roman"/>
          <w:szCs w:val="28"/>
          <w:vertAlign w:val="superscript"/>
        </w:rPr>
        <w:t>2</w:t>
      </w:r>
      <w:r>
        <w:rPr>
          <w:rFonts w:cs="Times New Roman"/>
          <w:szCs w:val="28"/>
        </w:rPr>
        <w:t xml:space="preserve">). Pierwszy przetarg przeprowadzono 30 kwietnia 2019 r. </w:t>
      </w:r>
      <w:r>
        <w:rPr>
          <w:rFonts w:cs="Times New Roman"/>
          <w:szCs w:val="28"/>
        </w:rPr>
        <w:br/>
        <w:t>o godz. 11:00 w Urzędzie Miejskim w Śremie, który zakończył się wynikiem negatywnym z powodu braku uczestników. Mając na względzie brak zainteresowania w pierwszym przetargu, ogłaszając drugi przetarg cenę wywoławczą obniżono do poziomu 180 000,00 zł (tj. 221,67 zł za 1m</w:t>
      </w:r>
      <w:r>
        <w:rPr>
          <w:rFonts w:cs="Times New Roman"/>
          <w:szCs w:val="28"/>
          <w:vertAlign w:val="superscript"/>
        </w:rPr>
        <w:t>2</w:t>
      </w:r>
      <w:r>
        <w:rPr>
          <w:rFonts w:cs="Times New Roman"/>
          <w:szCs w:val="28"/>
        </w:rPr>
        <w:t>). Przetarg został ogłoszony i podany do publicznej wiadomości w następujących lokalizacjach: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>-</w:t>
      </w:r>
      <w:r>
        <w:rPr>
          <w:rFonts w:cs="Times New Roman"/>
          <w:szCs w:val="28"/>
        </w:rPr>
        <w:t xml:space="preserve"> prasa lokalna (drukowana w papierze) „Tydzień Ziemi Śremskiej” emisja 30.05.2019 r.,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>-</w:t>
      </w:r>
      <w:r>
        <w:rPr>
          <w:rFonts w:cs="Times New Roman"/>
          <w:szCs w:val="28"/>
        </w:rPr>
        <w:t xml:space="preserve"> prasa elektroniczna, ogólnokrajowa: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hyperlink r:id="rId7" w:history="1">
        <w:r>
          <w:rPr>
            <w:rStyle w:val="Hipercze"/>
            <w:rFonts w:cs="Times New Roman"/>
            <w:color w:val="auto"/>
            <w:szCs w:val="28"/>
            <w:u w:val="none"/>
          </w:rPr>
          <w:t>www.monitorurzedowy.pl</w:t>
        </w:r>
      </w:hyperlink>
      <w:r>
        <w:rPr>
          <w:rFonts w:cs="Times New Roman"/>
          <w:szCs w:val="28"/>
        </w:rPr>
        <w:t xml:space="preserve"> publikacja 23.05.2019 r. 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</w:t>
      </w:r>
      <w:hyperlink r:id="rId8" w:history="1">
        <w:r>
          <w:rPr>
            <w:rStyle w:val="Hipercze"/>
            <w:rFonts w:cs="Times New Roman"/>
            <w:color w:val="auto"/>
            <w:szCs w:val="28"/>
            <w:u w:val="none"/>
          </w:rPr>
          <w:t>www.otoprzerargi.pl</w:t>
        </w:r>
      </w:hyperlink>
      <w:r>
        <w:rPr>
          <w:rFonts w:cs="Times New Roman"/>
          <w:szCs w:val="28"/>
        </w:rPr>
        <w:t xml:space="preserve"> publikacja 23.05.2019 r. 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>-</w:t>
      </w:r>
      <w:r>
        <w:rPr>
          <w:rFonts w:cs="Times New Roman"/>
          <w:szCs w:val="28"/>
        </w:rPr>
        <w:t xml:space="preserve"> strona internetowa Urzędu Miejskiego w Śremie </w:t>
      </w:r>
      <w:hyperlink w:history="1">
        <w:r>
          <w:rPr>
            <w:rStyle w:val="Hipercze"/>
            <w:rFonts w:cs="Times New Roman"/>
            <w:color w:val="auto"/>
            <w:szCs w:val="28"/>
            <w:u w:val="none"/>
          </w:rPr>
          <w:t>http://umsrem.bip. eur.pl/public/?id=191469</w:t>
        </w:r>
      </w:hyperlink>
      <w:r>
        <w:rPr>
          <w:rFonts w:cs="Times New Roman"/>
          <w:szCs w:val="28"/>
        </w:rPr>
        <w:t xml:space="preserve"> 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b/>
          <w:szCs w:val="28"/>
        </w:rPr>
        <w:t>-</w:t>
      </w:r>
      <w:r>
        <w:rPr>
          <w:rFonts w:cs="Times New Roman"/>
          <w:szCs w:val="28"/>
        </w:rPr>
        <w:t xml:space="preserve"> tablice ogłoszeń: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- ul. Plac 20 Października 1, siedziba Urzędu Miejskiego w Śremie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- ul. Adama Mickiewicza 17, siedziba Starost</w:t>
      </w:r>
      <w:r w:rsidR="008C3D3A">
        <w:rPr>
          <w:rFonts w:cs="Times New Roman"/>
          <w:szCs w:val="28"/>
        </w:rPr>
        <w:t>wa Powiatowego w </w:t>
      </w:r>
      <w:r>
        <w:rPr>
          <w:rFonts w:cs="Times New Roman"/>
          <w:szCs w:val="28"/>
        </w:rPr>
        <w:t>Śremie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- ul. Adama Mickiewicza 10, siedziba Urzędu Miejskiego w Śremie (Urząd Stanu Cywilnego)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 xml:space="preserve">- ul. Adama Mickiewicza 10, zewnętrzna tablica przy budynku UM </w:t>
      </w:r>
      <w:r>
        <w:rPr>
          <w:rFonts w:cs="Times New Roman"/>
          <w:szCs w:val="28"/>
        </w:rPr>
        <w:br/>
        <w:t>w Śremie (USC).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Drugi przetarg, w którym udział wziął jeden uczestnik, przeprowadzono </w:t>
      </w:r>
      <w:r>
        <w:rPr>
          <w:rFonts w:cs="Times New Roman"/>
          <w:szCs w:val="28"/>
        </w:rPr>
        <w:br/>
        <w:t>2 lipca 2019 r. Uczestnika przetargu ustalono nabywcą nieruchomości objętej przetargiem, za kwotę 181 800,00 zł (tj. 223,89 zł za 1m</w:t>
      </w:r>
      <w:r>
        <w:rPr>
          <w:rFonts w:cs="Times New Roman"/>
          <w:szCs w:val="28"/>
          <w:vertAlign w:val="superscript"/>
        </w:rPr>
        <w:t>2</w:t>
      </w:r>
      <w:r>
        <w:rPr>
          <w:rFonts w:cs="Times New Roman"/>
          <w:szCs w:val="28"/>
        </w:rPr>
        <w:t>). Postępowanie przetargowe miało charakter publiczny i jawny. Nadmieniam, iż wspólnota mieszkaniowa nie dokonała wpłaty wadium zarówno na pierwszy jak i na drugi przetarg, mimo, iż posiadała wiedzę o toczącym się postępowaniu. Obecnie postępowanie jest na etapie wyznaczenia terminu podpisania aktu notarialnego.</w:t>
      </w: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044817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Wyjaśniając kwestię dostępności komunikacyjnej do istniejącej </w:t>
      </w:r>
      <w:r>
        <w:rPr>
          <w:rFonts w:cs="Times New Roman"/>
          <w:szCs w:val="28"/>
        </w:rPr>
        <w:br/>
        <w:t xml:space="preserve">w sąsiedztwie apteki, wskazuję, że w przypadku zlikwidowania części </w:t>
      </w:r>
      <w:r>
        <w:rPr>
          <w:rFonts w:cs="Times New Roman"/>
          <w:szCs w:val="28"/>
        </w:rPr>
        <w:lastRenderedPageBreak/>
        <w:t>chodnika znajdującego się na nieruchomości objętej postępowaniem przetargowym, dostęp do apteki oraz innych lokali będzie nadal zapewniony przez pozostałe ciągi piesze przylegające bezpośrednio do nieruchomości wspólnoty.</w:t>
      </w:r>
    </w:p>
    <w:p w:rsidR="00A32E0B" w:rsidRDefault="00A32E0B" w:rsidP="00044817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Co do możliwości sprzedaży nieruchomości  na podstawie art. 209a </w:t>
      </w:r>
      <w:proofErr w:type="spellStart"/>
      <w:r>
        <w:rPr>
          <w:rFonts w:cs="Times New Roman"/>
          <w:szCs w:val="28"/>
        </w:rPr>
        <w:t>u.g.n</w:t>
      </w:r>
      <w:proofErr w:type="spellEnd"/>
      <w:r>
        <w:rPr>
          <w:rFonts w:cs="Times New Roman"/>
          <w:szCs w:val="28"/>
        </w:rPr>
        <w:t>. stwierdzono jej brak, ponieważ budynek wspólnoty zlokalizowany jest na działkach spełniających wymogi działki budowlanej. Intencją art. 209a jest regulacja nieruchomości zabudowanych budynkami wielorodzinnymi, j</w:t>
      </w:r>
      <w:r>
        <w:rPr>
          <w:rFonts w:cs="Times New Roman"/>
          <w:szCs w:val="28"/>
          <w:shd w:val="clear" w:color="auto" w:fill="FFFFFF"/>
        </w:rPr>
        <w:t>eżeli przy wyodrębnianiu własności lokali w budynku wydzielono dla tego budynku działkę gruntu niespełniającą wymogów działki budowlanej, co w następstwie uniemożliwia</w:t>
      </w:r>
      <w:r>
        <w:rPr>
          <w:rFonts w:cs="Times New Roman"/>
          <w:szCs w:val="28"/>
        </w:rPr>
        <w:t xml:space="preserve"> podłączenie np. infrastruktury do obsługi budynku mieszkalnego lub, gdy granica działki przebiegająca po ścianie budynku, uniemożliwia prowadzenie prac remontowych (m.in. termomodernizacji) itp. </w:t>
      </w: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Informuję jednocześnie, że Wspólnota mieszkaniowa  w przeszłości tj. </w:t>
      </w:r>
      <w:r>
        <w:rPr>
          <w:rFonts w:cs="Times New Roman"/>
          <w:szCs w:val="28"/>
        </w:rPr>
        <w:br/>
        <w:t>w roku 2008 dokonała nabycia gminnego gruntu w celu poprawy warunków zagospodarowania i funkcjonowania jej nieruchomości między innymi w takie urządzenia jak trzepak i kontener na śmieci. Nabyty grunt wykorzystała na cele zabudowy kubaturowej co czyni tym samym roszczenie wspólnoty o zakup gruntu gminnego</w:t>
      </w:r>
      <w:r w:rsidR="008C3D3A">
        <w:rPr>
          <w:rFonts w:cs="Times New Roman"/>
          <w:szCs w:val="28"/>
        </w:rPr>
        <w:t xml:space="preserve"> na podstawie art.209a ustawy o </w:t>
      </w:r>
      <w:r>
        <w:rPr>
          <w:rFonts w:cs="Times New Roman"/>
          <w:szCs w:val="28"/>
        </w:rPr>
        <w:t>gospodarce nieruchomościami niezrozumiałym i bezzasadnym.</w:t>
      </w: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ind w:firstLine="36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Mając na uwadze powyższe, jak również działanie w interesie gminy jako wspólnoty, informuję iż sprzedaż była realizowana w sposób rzetelny i zgodny z obowiązującymi przepisami. </w:t>
      </w: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Otrzymuje:</w:t>
      </w:r>
    </w:p>
    <w:p w:rsidR="00A32E0B" w:rsidRDefault="00A32E0B" w:rsidP="00A32E0B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Radny, Pan Grzegorz Wiśniewski</w:t>
      </w: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Pr="00A32E0B" w:rsidRDefault="00A32E0B" w:rsidP="00A32E0B">
      <w:pPr>
        <w:jc w:val="both"/>
        <w:rPr>
          <w:rFonts w:cs="Times New Roman"/>
          <w:sz w:val="24"/>
          <w:szCs w:val="24"/>
        </w:rPr>
      </w:pPr>
      <w:r w:rsidRPr="00A32E0B">
        <w:rPr>
          <w:rFonts w:cs="Times New Roman"/>
          <w:sz w:val="24"/>
          <w:szCs w:val="24"/>
        </w:rPr>
        <w:t>Odpowiedzi udzielił:</w:t>
      </w:r>
    </w:p>
    <w:p w:rsidR="00A32E0B" w:rsidRPr="00A32E0B" w:rsidRDefault="00A32E0B" w:rsidP="00A32E0B">
      <w:pPr>
        <w:jc w:val="both"/>
        <w:rPr>
          <w:rFonts w:cs="Times New Roman"/>
          <w:sz w:val="24"/>
          <w:szCs w:val="24"/>
        </w:rPr>
      </w:pPr>
      <w:r w:rsidRPr="00A32E0B">
        <w:rPr>
          <w:rFonts w:cs="Times New Roman"/>
          <w:sz w:val="24"/>
          <w:szCs w:val="24"/>
        </w:rPr>
        <w:t>Donat Tomczak</w:t>
      </w:r>
    </w:p>
    <w:p w:rsidR="00A32E0B" w:rsidRPr="00A32E0B" w:rsidRDefault="00A32E0B" w:rsidP="00A32E0B">
      <w:pPr>
        <w:jc w:val="both"/>
        <w:rPr>
          <w:rFonts w:cs="Times New Roman"/>
          <w:sz w:val="24"/>
          <w:szCs w:val="24"/>
        </w:rPr>
      </w:pPr>
      <w:r w:rsidRPr="00A32E0B">
        <w:rPr>
          <w:rFonts w:cs="Times New Roman"/>
          <w:sz w:val="24"/>
          <w:szCs w:val="24"/>
        </w:rPr>
        <w:t>Naczelnik PSG</w:t>
      </w:r>
    </w:p>
    <w:p w:rsidR="00A32E0B" w:rsidRPr="00A32E0B" w:rsidRDefault="00A32E0B" w:rsidP="00A32E0B">
      <w:pPr>
        <w:jc w:val="both"/>
        <w:rPr>
          <w:rFonts w:cs="Times New Roman"/>
          <w:sz w:val="24"/>
          <w:szCs w:val="24"/>
        </w:rPr>
      </w:pPr>
      <w:r w:rsidRPr="00A32E0B">
        <w:rPr>
          <w:rFonts w:cs="Times New Roman"/>
          <w:sz w:val="24"/>
          <w:szCs w:val="24"/>
        </w:rPr>
        <w:t>tel. 61 28 47 135</w:t>
      </w:r>
    </w:p>
    <w:p w:rsidR="00A32E0B" w:rsidRDefault="00A32E0B" w:rsidP="00A32E0B">
      <w:pPr>
        <w:jc w:val="both"/>
        <w:rPr>
          <w:rFonts w:cs="Times New Roman"/>
          <w:szCs w:val="28"/>
        </w:rPr>
      </w:pPr>
    </w:p>
    <w:p w:rsidR="00A32E0B" w:rsidRDefault="00A32E0B" w:rsidP="00D428A3">
      <w:pPr>
        <w:jc w:val="both"/>
      </w:pPr>
    </w:p>
    <w:sectPr w:rsidR="00A32E0B" w:rsidSect="00DD3B5C">
      <w:footerReference w:type="default" r:id="rId9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6C8" w:rsidRDefault="00B866C8" w:rsidP="00A32E0B">
      <w:r>
        <w:separator/>
      </w:r>
    </w:p>
  </w:endnote>
  <w:endnote w:type="continuationSeparator" w:id="0">
    <w:p w:rsidR="00B866C8" w:rsidRDefault="00B866C8" w:rsidP="00A32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468885"/>
      <w:docPartObj>
        <w:docPartGallery w:val="Page Numbers (Bottom of Page)"/>
        <w:docPartUnique/>
      </w:docPartObj>
    </w:sdtPr>
    <w:sdtEndPr/>
    <w:sdtContent>
      <w:p w:rsidR="00A32E0B" w:rsidRDefault="00A32E0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5EFF">
          <w:rPr>
            <w:noProof/>
          </w:rPr>
          <w:t>1</w:t>
        </w:r>
        <w:r>
          <w:fldChar w:fldCharType="end"/>
        </w:r>
      </w:p>
    </w:sdtContent>
  </w:sdt>
  <w:p w:rsidR="00A32E0B" w:rsidRDefault="00A32E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6C8" w:rsidRDefault="00B866C8" w:rsidP="00A32E0B">
      <w:r>
        <w:separator/>
      </w:r>
    </w:p>
  </w:footnote>
  <w:footnote w:type="continuationSeparator" w:id="0">
    <w:p w:rsidR="00B866C8" w:rsidRDefault="00B866C8" w:rsidP="00A32E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1C"/>
    <w:rsid w:val="00044817"/>
    <w:rsid w:val="00404E83"/>
    <w:rsid w:val="006C5EFF"/>
    <w:rsid w:val="006C5F1C"/>
    <w:rsid w:val="006F7A1F"/>
    <w:rsid w:val="008C3D3A"/>
    <w:rsid w:val="00A32E0B"/>
    <w:rsid w:val="00B866C8"/>
    <w:rsid w:val="00D3661B"/>
    <w:rsid w:val="00D428A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32E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32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2E0B"/>
  </w:style>
  <w:style w:type="paragraph" w:styleId="Stopka">
    <w:name w:val="footer"/>
    <w:basedOn w:val="Normalny"/>
    <w:link w:val="StopkaZnak"/>
    <w:uiPriority w:val="99"/>
    <w:unhideWhenUsed/>
    <w:rsid w:val="00A32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2E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32E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32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2E0B"/>
  </w:style>
  <w:style w:type="paragraph" w:styleId="Stopka">
    <w:name w:val="footer"/>
    <w:basedOn w:val="Normalny"/>
    <w:link w:val="StopkaZnak"/>
    <w:uiPriority w:val="99"/>
    <w:unhideWhenUsed/>
    <w:rsid w:val="00A32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2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1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toprzerargi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nitorurzedowy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851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2019-08-08T06:19:00Z</dcterms:created>
  <dcterms:modified xsi:type="dcterms:W3CDTF">2019-08-09T06:59:00Z</dcterms:modified>
</cp:coreProperties>
</file>