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E40" w:rsidRDefault="00736E40" w:rsidP="00736E40"/>
    <w:p w:rsidR="00736E40" w:rsidRDefault="00736E40" w:rsidP="00736E40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5F0A2D">
        <w:t xml:space="preserve">23 </w:t>
      </w:r>
      <w:r>
        <w:t xml:space="preserve"> listopada 2020 r.</w:t>
      </w:r>
    </w:p>
    <w:p w:rsidR="00736E40" w:rsidRDefault="00736E40" w:rsidP="00736E40"/>
    <w:p w:rsidR="00736E40" w:rsidRDefault="00736E40" w:rsidP="00736E40"/>
    <w:p w:rsidR="00736E40" w:rsidRDefault="00736E40" w:rsidP="00736E40">
      <w:r>
        <w:t>PAOOR.0003.32.2020.ML</w:t>
      </w:r>
    </w:p>
    <w:p w:rsidR="00736E40" w:rsidRDefault="00736E40" w:rsidP="00736E40"/>
    <w:p w:rsidR="00736E40" w:rsidRDefault="00736E40" w:rsidP="00736E40"/>
    <w:p w:rsidR="00736E40" w:rsidRDefault="00736E40" w:rsidP="00736E4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736E40" w:rsidRDefault="00736E40" w:rsidP="00736E4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736E40" w:rsidRDefault="00736E40" w:rsidP="00736E40">
      <w:pPr>
        <w:rPr>
          <w:b/>
        </w:rPr>
      </w:pPr>
    </w:p>
    <w:p w:rsidR="00736E40" w:rsidRDefault="00736E40" w:rsidP="00736E4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736E40" w:rsidRDefault="00736E40" w:rsidP="00736E4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736E40" w:rsidRDefault="00736E40" w:rsidP="00736E40"/>
    <w:p w:rsidR="00736E40" w:rsidRDefault="00736E40" w:rsidP="00736E40"/>
    <w:p w:rsidR="00736E40" w:rsidRDefault="00736E40" w:rsidP="00736E40"/>
    <w:p w:rsidR="00736E40" w:rsidRDefault="00736E40" w:rsidP="00736E40">
      <w:pPr>
        <w:jc w:val="both"/>
      </w:pPr>
      <w:r>
        <w:tab/>
        <w:t>Odpowiadając na złożone między sesjami 16 listopada 2020 roku przez radnego  Pana Krzysztofa  Lewandowskiego zapytanie dotyczące sprzedaży majątku po byłej fabryce BASF:</w:t>
      </w:r>
    </w:p>
    <w:p w:rsidR="00736E40" w:rsidRDefault="00736E40" w:rsidP="00736E40"/>
    <w:p w:rsidR="00736E40" w:rsidRDefault="00736E40" w:rsidP="00736E40">
      <w:pPr>
        <w:pStyle w:val="Akapitzlist"/>
        <w:numPr>
          <w:ilvl w:val="0"/>
          <w:numId w:val="1"/>
        </w:numPr>
        <w:jc w:val="both"/>
      </w:pPr>
      <w:r>
        <w:t xml:space="preserve">Czy prawdą jest, że firma BASF dokonała finalizacji sprzedaży swojego majątku w okolicy ulicy Letniej w Śremie inwestorowi z Chin firmie </w:t>
      </w:r>
      <w:proofErr w:type="spellStart"/>
      <w:r>
        <w:t>Capchem</w:t>
      </w:r>
      <w:proofErr w:type="spellEnd"/>
      <w:r>
        <w:t xml:space="preserve">, która była zainteresowana utworzeniem tam fabryki elektrolitu do baterii </w:t>
      </w:r>
      <w:proofErr w:type="spellStart"/>
      <w:r>
        <w:t>litowo</w:t>
      </w:r>
      <w:proofErr w:type="spellEnd"/>
      <w:r>
        <w:t>-jonowych?</w:t>
      </w:r>
    </w:p>
    <w:p w:rsidR="00736E40" w:rsidRDefault="00736E40" w:rsidP="00736E40">
      <w:pPr>
        <w:jc w:val="both"/>
      </w:pPr>
    </w:p>
    <w:p w:rsidR="00A939ED" w:rsidRPr="00A939ED" w:rsidRDefault="00A939ED" w:rsidP="00A939ED">
      <w:pPr>
        <w:tabs>
          <w:tab w:val="left" w:pos="0"/>
          <w:tab w:val="left" w:pos="851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Wyjaśniam, że p</w:t>
      </w:r>
      <w:r w:rsidRPr="00A939ED">
        <w:rPr>
          <w:rFonts w:cs="Times New Roman"/>
          <w:szCs w:val="28"/>
        </w:rPr>
        <w:t xml:space="preserve">rawdą jest, że firma „BASF POLSKA” Sp. z o.o. z siedzibą w Warszawie sprzedała firmie CAPCHEM Poland Sp. z o.o. z siedzibą we Wrocławiu teren położony przy ul. Letniej w Śremie, składający się z działek o nr </w:t>
      </w:r>
      <w:proofErr w:type="spellStart"/>
      <w:r w:rsidRPr="00A939ED">
        <w:rPr>
          <w:rFonts w:cs="Times New Roman"/>
          <w:szCs w:val="28"/>
        </w:rPr>
        <w:t>ewid</w:t>
      </w:r>
      <w:proofErr w:type="spellEnd"/>
      <w:r w:rsidRPr="00A939ED">
        <w:rPr>
          <w:rFonts w:cs="Times New Roman"/>
          <w:szCs w:val="28"/>
        </w:rPr>
        <w:t>.: 2985/12; 2500/21; 2985/13; 2985/14 i 2985/7, obręb Śrem.</w:t>
      </w:r>
    </w:p>
    <w:p w:rsidR="00736E40" w:rsidRDefault="00736E40" w:rsidP="00736E40">
      <w:pPr>
        <w:jc w:val="both"/>
      </w:pPr>
    </w:p>
    <w:p w:rsidR="00736E40" w:rsidRDefault="00736E40" w:rsidP="00736E40">
      <w:pPr>
        <w:pStyle w:val="Akapitzlist"/>
        <w:numPr>
          <w:ilvl w:val="0"/>
          <w:numId w:val="1"/>
        </w:numPr>
        <w:jc w:val="both"/>
      </w:pPr>
      <w:r>
        <w:t xml:space="preserve">Jeżeli tak, to czy władze Gminy Śrem przystąpiły do oceny możliwego oddziaływania działalności firmy </w:t>
      </w:r>
      <w:proofErr w:type="spellStart"/>
      <w:r w:rsidR="00BD0521">
        <w:t>Capchem</w:t>
      </w:r>
      <w:proofErr w:type="spellEnd"/>
      <w:r w:rsidR="00BD0521">
        <w:t xml:space="preserve"> na okoliczne środowisko?</w:t>
      </w:r>
    </w:p>
    <w:p w:rsidR="00BD0521" w:rsidRPr="00BD0521" w:rsidRDefault="00BD0521" w:rsidP="00BD0521">
      <w:pPr>
        <w:tabs>
          <w:tab w:val="left" w:pos="0"/>
          <w:tab w:val="left" w:pos="851"/>
        </w:tabs>
        <w:jc w:val="both"/>
        <w:rPr>
          <w:rFonts w:cs="Times New Roman"/>
          <w:szCs w:val="28"/>
        </w:rPr>
      </w:pPr>
    </w:p>
    <w:p w:rsidR="00BD0521" w:rsidRPr="00BD0521" w:rsidRDefault="00BD0521" w:rsidP="00BD0521">
      <w:pPr>
        <w:tabs>
          <w:tab w:val="left" w:pos="0"/>
          <w:tab w:val="left" w:pos="851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r w:rsidRPr="00BD0521">
        <w:rPr>
          <w:rFonts w:cs="Times New Roman"/>
          <w:szCs w:val="28"/>
        </w:rPr>
        <w:t xml:space="preserve">Kwestia odziaływania planowanego przedsięwzięcia na środowisko została szczegółowo i w sposób wyczerpujący zbadana w toku postępowania prowadzonego z udziałem niezależnych Organów ochrony środowiska. Zgodnie z wnioskiem z dnia 10.04.2020 r. złożonym przez </w:t>
      </w:r>
      <w:proofErr w:type="spellStart"/>
      <w:r w:rsidRPr="00BD0521">
        <w:rPr>
          <w:rFonts w:cs="Times New Roman"/>
          <w:szCs w:val="28"/>
        </w:rPr>
        <w:t>Capchem</w:t>
      </w:r>
      <w:proofErr w:type="spellEnd"/>
      <w:r w:rsidRPr="00BD0521">
        <w:rPr>
          <w:rFonts w:cs="Times New Roman"/>
          <w:szCs w:val="28"/>
        </w:rPr>
        <w:t xml:space="preserve"> Poland Sp. z  o.o. z siedzibą we Wrocławiu przy ul. Swobodnej 1, 50 – 088 Wrocław, o wydanie decyzji o środowiskowych uwarunkowaniach dla planowanego przedsięwzięcia polegającego na </w:t>
      </w:r>
      <w:r w:rsidRPr="00BD0521">
        <w:rPr>
          <w:rFonts w:eastAsia="Times New Roman" w:cs="Times New Roman"/>
          <w:szCs w:val="28"/>
          <w:lang w:eastAsia="pl-PL"/>
        </w:rPr>
        <w:t>budowie zakładu produkcyjnego,</w:t>
      </w:r>
      <w:r w:rsidRPr="00BD0521">
        <w:rPr>
          <w:rFonts w:eastAsia="Times New Roman" w:cs="Times New Roman"/>
          <w:b/>
          <w:szCs w:val="28"/>
          <w:lang w:eastAsia="pl-PL"/>
        </w:rPr>
        <w:t xml:space="preserve"> </w:t>
      </w:r>
      <w:r w:rsidRPr="00BD0521">
        <w:rPr>
          <w:rFonts w:eastAsia="Times New Roman" w:cs="Times New Roman"/>
          <w:szCs w:val="28"/>
          <w:lang w:eastAsia="pl-PL"/>
        </w:rPr>
        <w:t xml:space="preserve">projektowanego na działkach o nr </w:t>
      </w:r>
      <w:proofErr w:type="spellStart"/>
      <w:r w:rsidRPr="00BD0521">
        <w:rPr>
          <w:rFonts w:eastAsia="Times New Roman" w:cs="Times New Roman"/>
          <w:szCs w:val="28"/>
          <w:lang w:eastAsia="pl-PL"/>
        </w:rPr>
        <w:t>ewid</w:t>
      </w:r>
      <w:proofErr w:type="spellEnd"/>
      <w:r w:rsidRPr="00BD0521">
        <w:rPr>
          <w:rFonts w:eastAsia="Times New Roman" w:cs="Times New Roman"/>
          <w:szCs w:val="28"/>
          <w:lang w:eastAsia="pl-PL"/>
        </w:rPr>
        <w:t xml:space="preserve">.: 2985/7; 2985/12; 2985/13; 2985/14; 2500/21, obręb Śrem, zostało przeprowadzone postępowania administracyjne </w:t>
      </w:r>
      <w:r w:rsidRPr="00BD0521">
        <w:rPr>
          <w:rFonts w:eastAsia="Times New Roman" w:cs="Times New Roman"/>
          <w:szCs w:val="28"/>
          <w:lang w:eastAsia="pl-PL"/>
        </w:rPr>
        <w:lastRenderedPageBreak/>
        <w:t>w oparciu o ustawę z dnia 3 października 2008 r. o udostępnianiu informacji o środowisku i jego ochronie, udziale społeczeństwa w ochronie środowiska oraz o ocenach oddziaływania na środowisko (Dz. U. z 2020 r. poz. 283, z </w:t>
      </w:r>
      <w:proofErr w:type="spellStart"/>
      <w:r w:rsidRPr="00BD0521">
        <w:rPr>
          <w:rFonts w:eastAsia="Times New Roman" w:cs="Times New Roman"/>
          <w:szCs w:val="28"/>
          <w:lang w:eastAsia="pl-PL"/>
        </w:rPr>
        <w:t>późn</w:t>
      </w:r>
      <w:proofErr w:type="spellEnd"/>
      <w:r w:rsidRPr="00BD0521">
        <w:rPr>
          <w:rFonts w:eastAsia="Times New Roman" w:cs="Times New Roman"/>
          <w:szCs w:val="28"/>
          <w:lang w:eastAsia="pl-PL"/>
        </w:rPr>
        <w:t>. zm.).</w:t>
      </w:r>
    </w:p>
    <w:p w:rsidR="00BD0521" w:rsidRDefault="00BD0521" w:rsidP="00BD0521">
      <w:pPr>
        <w:tabs>
          <w:tab w:val="left" w:pos="0"/>
          <w:tab w:val="left" w:pos="851"/>
        </w:tabs>
        <w:ind w:firstLine="567"/>
        <w:jc w:val="both"/>
        <w:rPr>
          <w:rFonts w:cs="Times New Roman"/>
          <w:szCs w:val="28"/>
        </w:rPr>
      </w:pPr>
      <w:r>
        <w:rPr>
          <w:rFonts w:eastAsia="Times New Roman" w:cs="Times New Roman"/>
          <w:szCs w:val="28"/>
          <w:lang w:eastAsia="pl-PL"/>
        </w:rPr>
        <w:t xml:space="preserve">Postępowanie to zakończone zostało wydaniem przez Burmistrza Śremu, w dniu 21.08.2020 r., decyzji środowiskowej </w:t>
      </w:r>
      <w:r>
        <w:rPr>
          <w:rFonts w:cs="Times New Roman"/>
          <w:szCs w:val="28"/>
        </w:rPr>
        <w:t>ustalającej:</w:t>
      </w:r>
    </w:p>
    <w:p w:rsidR="00BD0521" w:rsidRDefault="00BD0521" w:rsidP="00BD0521">
      <w:pPr>
        <w:pStyle w:val="Akapitzlist"/>
        <w:numPr>
          <w:ilvl w:val="0"/>
          <w:numId w:val="3"/>
        </w:numPr>
        <w:tabs>
          <w:tab w:val="left" w:pos="0"/>
          <w:tab w:val="left" w:pos="851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brak potrzeby przeprowadzenia oceny oddziaływania na środowisko dla planowanego przedsięwzięcia oraz </w:t>
      </w:r>
    </w:p>
    <w:p w:rsidR="00BD0521" w:rsidRDefault="00BD0521" w:rsidP="00BD0521">
      <w:pPr>
        <w:pStyle w:val="Akapitzlist"/>
        <w:numPr>
          <w:ilvl w:val="0"/>
          <w:numId w:val="3"/>
        </w:numPr>
        <w:tabs>
          <w:tab w:val="left" w:pos="0"/>
          <w:tab w:val="left" w:pos="851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istotne warunki korzystania ze środowiska w fazie realizacji i eksploatacji lub użytkowania przedsięwzięcia </w:t>
      </w:r>
      <w:r>
        <w:rPr>
          <w:rFonts w:eastAsia="Times New Roman" w:cs="Times New Roman"/>
          <w:szCs w:val="28"/>
          <w:lang w:eastAsia="pl-PL"/>
        </w:rPr>
        <w:t>ze szczególnym uwzględnieniem konieczności ochrony cennych wartości przyrodniczych, zasobów naturalnych i zabytków oraz ograniczenia uciążliwości dla terenów sąsiednich.</w:t>
      </w:r>
    </w:p>
    <w:p w:rsidR="00BD0521" w:rsidRDefault="00BD0521" w:rsidP="00BD0521">
      <w:pPr>
        <w:tabs>
          <w:tab w:val="left" w:pos="0"/>
          <w:tab w:val="left" w:pos="851"/>
        </w:tabs>
        <w:ind w:firstLine="426"/>
        <w:jc w:val="both"/>
        <w:rPr>
          <w:rFonts w:eastAsia="Times New Roman" w:cs="Times New Roman"/>
          <w:szCs w:val="28"/>
          <w:lang w:eastAsia="pl-PL"/>
        </w:rPr>
      </w:pPr>
      <w:r>
        <w:rPr>
          <w:rFonts w:cs="Times New Roman"/>
          <w:szCs w:val="28"/>
        </w:rPr>
        <w:t>Planowane przedsięwzięcie zostało zakwalifikowane do</w:t>
      </w:r>
      <w:r>
        <w:rPr>
          <w:rFonts w:eastAsia="Times New Roman" w:cs="Times New Roman"/>
          <w:szCs w:val="28"/>
          <w:lang w:eastAsia="pl-PL"/>
        </w:rPr>
        <w:t xml:space="preserve"> </w:t>
      </w:r>
      <w:r>
        <w:rPr>
          <w:rFonts w:eastAsia="Times New Roman" w:cs="Times New Roman"/>
          <w:b/>
          <w:szCs w:val="28"/>
          <w:lang w:eastAsia="pl-PL"/>
        </w:rPr>
        <w:t>przedsięwzięć mogących potencjalnie znacząco oddziaływać na środowisko</w:t>
      </w:r>
      <w:r>
        <w:rPr>
          <w:rFonts w:eastAsia="Times New Roman" w:cs="Times New Roman"/>
          <w:szCs w:val="28"/>
          <w:lang w:eastAsia="pl-PL"/>
        </w:rPr>
        <w:t>, dla których obowiązek przeprowadzenia oceny oddziaływania na środowisko może być stwierdzony, wymienionych w rozporządzeniu Rady Ministrów z dnia 10 września 2019 r. w sprawie przedsięwzięć mogących znacząco oddziaływać na środowisko (Dz. U poz. 1839).</w:t>
      </w:r>
    </w:p>
    <w:p w:rsidR="00BD0521" w:rsidRDefault="00BD0521" w:rsidP="00BD0521">
      <w:pPr>
        <w:tabs>
          <w:tab w:val="left" w:pos="0"/>
          <w:tab w:val="left" w:pos="851"/>
        </w:tabs>
        <w:ind w:firstLine="426"/>
        <w:jc w:val="both"/>
        <w:rPr>
          <w:rFonts w:cs="Times New Roman"/>
          <w:szCs w:val="28"/>
        </w:rPr>
      </w:pPr>
      <w:r>
        <w:rPr>
          <w:rFonts w:eastAsia="Times New Roman" w:cs="Times New Roman"/>
          <w:szCs w:val="28"/>
          <w:lang w:eastAsia="pl-PL"/>
        </w:rPr>
        <w:t xml:space="preserve">W toku postępowania Burmistrz Śremu </w:t>
      </w:r>
      <w:r>
        <w:rPr>
          <w:rFonts w:eastAsia="Times New Roman" w:cs="Times New Roman"/>
          <w:b/>
          <w:szCs w:val="28"/>
          <w:lang w:eastAsia="pl-PL"/>
        </w:rPr>
        <w:t>wystąpił do Państwowego Powiatowego Inspektora Sanitarnego w Śremie, Regionalnego Dyrektora Ochrony Środowiska w Poznaniu oraz Dyrektora Zarządu Zlewni Państwowego Gospodarstwa Wodnego Wody Polskie w Poznaniu, o opinię</w:t>
      </w:r>
      <w:r>
        <w:rPr>
          <w:rFonts w:eastAsia="Times New Roman" w:cs="Times New Roman"/>
          <w:szCs w:val="28"/>
          <w:lang w:eastAsia="pl-PL"/>
        </w:rPr>
        <w:t xml:space="preserve"> w sprawie obowiązku przeprowadzenia oceny oddziaływania przedmiotowego przedsięwzięcia na środowisko i określenia zakresu ewentualnego raportu. Organy otrzymały całą dokumentację zgormadzoną w sprawie. </w:t>
      </w:r>
    </w:p>
    <w:p w:rsidR="00BD0521" w:rsidRDefault="00BD0521" w:rsidP="00BD0521">
      <w:pPr>
        <w:tabs>
          <w:tab w:val="left" w:pos="0"/>
          <w:tab w:val="left" w:pos="851"/>
        </w:tabs>
        <w:ind w:firstLine="426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Dyrektor Zarządu Zlewni Państwowego Gospodarstwa Wodnego Wody Polskie w Poznaniu i Regionalny Dyrektor Ochrony Środowiska w Poznaniu wyrazili opinie, że dla planowanego przedsięwzięcia nie ma potrzeby przeprowadzenia oceny oddziaływania na środowisko a jednocześnie wskazali na konieczność uwzględnienia w decyzji o środowiskowych uwarunkowaniach określonych warunków i wymagań. Obwarowania te zostały uwzględnione w wydanej przez Burmistrza Śremu decyzji. </w:t>
      </w:r>
    </w:p>
    <w:p w:rsidR="00BD0521" w:rsidRDefault="00BD0521" w:rsidP="00BD0521">
      <w:pPr>
        <w:ind w:firstLine="708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Warto nadmienić, że </w:t>
      </w:r>
      <w:r>
        <w:rPr>
          <w:rFonts w:eastAsia="Times New Roman" w:cs="Times New Roman"/>
          <w:b/>
          <w:szCs w:val="28"/>
          <w:lang w:eastAsia="pl-PL"/>
        </w:rPr>
        <w:t>Dyrektor Zarządu Zlewni Państwowego Gospodarstwa Wodnego Wody Polskie w Poznaniu orzekł</w:t>
      </w:r>
      <w:r>
        <w:rPr>
          <w:rFonts w:eastAsia="Times New Roman" w:cs="Times New Roman"/>
          <w:szCs w:val="28"/>
          <w:lang w:eastAsia="pl-PL"/>
        </w:rPr>
        <w:t xml:space="preserve">, że mając na względzie charakter i skalę oddziaływania, zastosowane rozwiązania i technologie oraz przy założeniu realizacji określonych w sentencji warunków stwierdza </w:t>
      </w:r>
      <w:r>
        <w:rPr>
          <w:rFonts w:eastAsia="Times New Roman" w:cs="Times New Roman"/>
          <w:b/>
          <w:szCs w:val="28"/>
          <w:lang w:eastAsia="pl-PL"/>
        </w:rPr>
        <w:t>brak możliwości znaczącego oddziaływania na pozostające w zasięgu oddziaływania jednolite części wód i nie stwierdza negatywnego oddziaływania planowanego przedsięwzięcia</w:t>
      </w:r>
      <w:r>
        <w:rPr>
          <w:rFonts w:eastAsia="Times New Roman" w:cs="Times New Roman"/>
          <w:szCs w:val="28"/>
          <w:lang w:eastAsia="pl-PL"/>
        </w:rPr>
        <w:t xml:space="preserve">, stwarzającego </w:t>
      </w:r>
      <w:r>
        <w:rPr>
          <w:rFonts w:eastAsia="Times New Roman" w:cs="Times New Roman"/>
          <w:szCs w:val="28"/>
          <w:lang w:eastAsia="pl-PL"/>
        </w:rPr>
        <w:lastRenderedPageBreak/>
        <w:t>zagrożenie dla realizacji celów środowiskowych, o których mowa w ustawie – Prawo wodne.</w:t>
      </w:r>
    </w:p>
    <w:p w:rsidR="00BD0521" w:rsidRDefault="00BD0521" w:rsidP="00BD0521">
      <w:pPr>
        <w:ind w:firstLine="708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Powyższy pogląd podzielił również </w:t>
      </w:r>
      <w:r>
        <w:rPr>
          <w:rFonts w:eastAsia="Times New Roman" w:cs="Times New Roman"/>
          <w:b/>
          <w:szCs w:val="28"/>
          <w:lang w:eastAsia="pl-PL"/>
        </w:rPr>
        <w:t>Regionalny Dyrektor Ochrony Środowiska w Poznaniu</w:t>
      </w:r>
      <w:r>
        <w:rPr>
          <w:rFonts w:eastAsia="Times New Roman" w:cs="Times New Roman"/>
          <w:szCs w:val="28"/>
          <w:lang w:eastAsia="pl-PL"/>
        </w:rPr>
        <w:t xml:space="preserve">, który stwierdził z kolei, że </w:t>
      </w:r>
      <w:r>
        <w:rPr>
          <w:rFonts w:eastAsia="Times New Roman" w:cs="Times New Roman"/>
          <w:b/>
          <w:szCs w:val="28"/>
          <w:lang w:eastAsia="pl-PL"/>
        </w:rPr>
        <w:t>przedsięwzięcie nie spowoduje</w:t>
      </w:r>
      <w:r>
        <w:rPr>
          <w:rFonts w:eastAsia="Times New Roman" w:cs="Times New Roman"/>
          <w:szCs w:val="28"/>
          <w:lang w:eastAsia="pl-PL"/>
        </w:rPr>
        <w:t xml:space="preserve"> </w:t>
      </w:r>
      <w:r>
        <w:rPr>
          <w:rFonts w:eastAsia="Times New Roman" w:cs="Times New Roman"/>
          <w:b/>
          <w:szCs w:val="28"/>
          <w:lang w:eastAsia="pl-PL"/>
        </w:rPr>
        <w:t>przekroczenia akustycznych standardów jakości środowiska</w:t>
      </w:r>
      <w:r>
        <w:rPr>
          <w:rFonts w:eastAsia="Times New Roman" w:cs="Times New Roman"/>
          <w:szCs w:val="28"/>
          <w:lang w:eastAsia="pl-PL"/>
        </w:rPr>
        <w:t xml:space="preserve"> na najbliższych terenach wymagających ochrony akustycznej, nie przewiduje się znaczącego kumulowania oddziaływań oraz znaczących powiązań planowanego przedsięwzięcia z innymi przedsięwzięciami, zlokalizowanymi w otoczeniu przedmiotowego przedsięwzięcia.</w:t>
      </w:r>
    </w:p>
    <w:p w:rsidR="00BD0521" w:rsidRDefault="00BD0521" w:rsidP="00BD0521">
      <w:pPr>
        <w:ind w:firstLine="708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Oba Organy wydały swoje opinie po przeprowadzeniu postępowań wyjaśniających.</w:t>
      </w:r>
    </w:p>
    <w:p w:rsidR="00BD0521" w:rsidRDefault="00BD0521" w:rsidP="00BD0521">
      <w:pPr>
        <w:ind w:firstLine="708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Natomiast, jako jedyny, odmienną opinię wyraził </w:t>
      </w:r>
      <w:r>
        <w:rPr>
          <w:rFonts w:eastAsia="Times New Roman" w:cs="Times New Roman"/>
          <w:b/>
          <w:szCs w:val="28"/>
          <w:lang w:eastAsia="pl-PL"/>
        </w:rPr>
        <w:t>Państwowy Powiatowy Inspektor Sanitarny w Śremie</w:t>
      </w:r>
      <w:r>
        <w:rPr>
          <w:rFonts w:eastAsia="Times New Roman" w:cs="Times New Roman"/>
          <w:szCs w:val="28"/>
          <w:lang w:eastAsia="pl-PL"/>
        </w:rPr>
        <w:t xml:space="preserve">, a mianowicie </w:t>
      </w:r>
      <w:r>
        <w:rPr>
          <w:rFonts w:eastAsia="Times New Roman" w:cs="Times New Roman"/>
          <w:b/>
          <w:szCs w:val="28"/>
          <w:lang w:eastAsia="pl-PL"/>
        </w:rPr>
        <w:t>o potrzebie przeprowadzenia oceny oddziaływania na środowisko</w:t>
      </w:r>
      <w:r>
        <w:rPr>
          <w:rFonts w:eastAsia="Times New Roman" w:cs="Times New Roman"/>
          <w:szCs w:val="28"/>
          <w:lang w:eastAsia="pl-PL"/>
        </w:rPr>
        <w:t>, uznając, że charakter działalności produkcyjnej zakładu, wzmożona emisja hałasu oraz zanieczyszczeń, a także fakt, że obiekt ze względu na znajdujące się zakładzie substancje zostanie zaliczony do zakładów o zwiększonym ryzyku ze względu na zagrożenie dla zdrowia. Jednocześnie Organ nie powołał się na żaden dane, na których się oparł orzekając o wzmożonej emisji hałasu i zanieczyszczeniu oraz ich źródłach. Wnioski te stoją w sprzeczności, w szczególności, z konkluzją Regionalnego Dyrektora Ochrony Środowiska w Poznaniu.</w:t>
      </w:r>
    </w:p>
    <w:p w:rsidR="00BD0521" w:rsidRDefault="00BD0521" w:rsidP="00BD0521">
      <w:pPr>
        <w:ind w:firstLine="708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Biorąc pod uwagę opinie Organów współdziałających, </w:t>
      </w:r>
      <w:r>
        <w:rPr>
          <w:rFonts w:eastAsia="Times New Roman" w:cs="Times New Roman"/>
          <w:b/>
          <w:szCs w:val="28"/>
          <w:lang w:eastAsia="pl-PL"/>
        </w:rPr>
        <w:t xml:space="preserve">Burmistrz Śremu stwierdził brak potrzeby przeprowadzenia oceny oddziaływania przedsięwzięcia na środowiska </w:t>
      </w:r>
      <w:r>
        <w:rPr>
          <w:rFonts w:eastAsia="Times New Roman" w:cs="Times New Roman"/>
          <w:szCs w:val="28"/>
          <w:lang w:eastAsia="pl-PL"/>
        </w:rPr>
        <w:t>a jednocześnie określił warunki i wymagania konieczne do spełnienia przez wnioskodawcę w fazie realizacji, eksploatacji lub użytkowania przedsięwzięcia, wskazane przez ww. Organy.</w:t>
      </w:r>
    </w:p>
    <w:p w:rsidR="00BD0521" w:rsidRDefault="00BD0521" w:rsidP="00BD0521">
      <w:pPr>
        <w:ind w:firstLine="567"/>
        <w:jc w:val="both"/>
        <w:rPr>
          <w:rFonts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Warto w tym miejscu podkreślić, że firma </w:t>
      </w:r>
      <w:proofErr w:type="spellStart"/>
      <w:r>
        <w:rPr>
          <w:rFonts w:eastAsia="Times New Roman" w:cs="Times New Roman"/>
          <w:szCs w:val="28"/>
          <w:lang w:eastAsia="pl-PL"/>
        </w:rPr>
        <w:t>Capchem</w:t>
      </w:r>
      <w:proofErr w:type="spellEnd"/>
      <w:r>
        <w:rPr>
          <w:rFonts w:eastAsia="Times New Roman" w:cs="Times New Roman"/>
          <w:szCs w:val="28"/>
          <w:lang w:eastAsia="pl-PL"/>
        </w:rPr>
        <w:t xml:space="preserve"> </w:t>
      </w:r>
      <w:r>
        <w:rPr>
          <w:rFonts w:cs="Times New Roman"/>
          <w:szCs w:val="28"/>
        </w:rPr>
        <w:t xml:space="preserve">od 20 lat, jest </w:t>
      </w:r>
      <w:r>
        <w:rPr>
          <w:rStyle w:val="Pogrubienie"/>
          <w:rFonts w:cs="Times New Roman"/>
          <w:szCs w:val="28"/>
        </w:rPr>
        <w:t xml:space="preserve">potentatem na rynku materiałów (elektrolitów) do akumulatorów i baterii </w:t>
      </w:r>
      <w:proofErr w:type="spellStart"/>
      <w:r>
        <w:rPr>
          <w:rStyle w:val="Pogrubienie"/>
          <w:rFonts w:cs="Times New Roman"/>
          <w:szCs w:val="28"/>
        </w:rPr>
        <w:t>litowo</w:t>
      </w:r>
      <w:proofErr w:type="spellEnd"/>
      <w:r>
        <w:rPr>
          <w:rStyle w:val="Pogrubienie"/>
          <w:rFonts w:cs="Times New Roman"/>
          <w:szCs w:val="28"/>
        </w:rPr>
        <w:t xml:space="preserve">-jonowych. Elektrolity </w:t>
      </w:r>
      <w:r>
        <w:rPr>
          <w:rFonts w:cs="Times New Roman"/>
          <w:szCs w:val="28"/>
        </w:rPr>
        <w:t xml:space="preserve">są umieszczone w wielu przedmiotach codziennego użytku takich, jak: telefony komórkowe, aparaty fotograficzne, słuchawki, laptopy, samochody, hulajnogi elektryczne, sprzęt AGD oraz rozruszniki serca. </w:t>
      </w:r>
      <w:proofErr w:type="spellStart"/>
      <w:r>
        <w:rPr>
          <w:rFonts w:cs="Times New Roman"/>
          <w:b/>
          <w:szCs w:val="28"/>
        </w:rPr>
        <w:t>Capchem</w:t>
      </w:r>
      <w:proofErr w:type="spellEnd"/>
      <w:r>
        <w:rPr>
          <w:rFonts w:cs="Times New Roman"/>
          <w:b/>
          <w:szCs w:val="28"/>
        </w:rPr>
        <w:t xml:space="preserve"> produkuje </w:t>
      </w:r>
      <w:r>
        <w:rPr>
          <w:rFonts w:cs="Times New Roman"/>
          <w:b/>
          <w:szCs w:val="28"/>
          <w:lang w:eastAsia="pl-PL"/>
        </w:rPr>
        <w:t>elektrolity dla sektora e mobilności i jest wiarygodnym partnerem wg Polskiej Agencji Inwestycji i Handlu (agencja rządowa).</w:t>
      </w:r>
      <w:r>
        <w:rPr>
          <w:rFonts w:cs="Times New Roman"/>
          <w:szCs w:val="28"/>
          <w:lang w:eastAsia="pl-PL"/>
        </w:rPr>
        <w:t xml:space="preserve"> </w:t>
      </w:r>
    </w:p>
    <w:p w:rsidR="00BD0521" w:rsidRDefault="00BD0521" w:rsidP="00BD0521">
      <w:pPr>
        <w:ind w:firstLine="567"/>
        <w:jc w:val="both"/>
        <w:rPr>
          <w:rFonts w:cs="Times New Roman"/>
          <w:szCs w:val="28"/>
          <w:lang w:eastAsia="pl-PL"/>
        </w:rPr>
      </w:pPr>
      <w:r>
        <w:rPr>
          <w:rFonts w:cs="Times New Roman"/>
          <w:szCs w:val="28"/>
          <w:lang w:eastAsia="hi-IN"/>
        </w:rPr>
        <w:t xml:space="preserve">W analizowanej sprawie proces technologiczny będzie polegał na mieszaniu surowców podstawowych tj. soli litu z rozpuszczalnikami organicznymi oraz dodatkami. Podstawowym procesem produkcji będzie proces mieszania (proces fizyczny), przy czym nie będzie zachodziła żadna reakcja chemiczna. Nie przewiduje się, aby </w:t>
      </w:r>
      <w:r>
        <w:rPr>
          <w:rFonts w:cs="Times New Roman"/>
          <w:szCs w:val="28"/>
          <w:lang w:eastAsia="pl-PL"/>
        </w:rPr>
        <w:t xml:space="preserve">inwestycja powodowała naruszenia wymagań ochrony środowiska. Ponadto zakład będzie </w:t>
      </w:r>
      <w:r>
        <w:rPr>
          <w:rFonts w:cs="Times New Roman"/>
          <w:szCs w:val="28"/>
          <w:lang w:eastAsia="pl-PL"/>
        </w:rPr>
        <w:lastRenderedPageBreak/>
        <w:t>wyposażony w instalacje: czujników ciągłego monitorowania, ciśnienia, detekcji, przeciwwybuchową.</w:t>
      </w:r>
    </w:p>
    <w:p w:rsidR="00BD0521" w:rsidRDefault="00BD0521" w:rsidP="00BD0521">
      <w:pPr>
        <w:ind w:firstLine="567"/>
        <w:jc w:val="both"/>
        <w:rPr>
          <w:rFonts w:cs="Times New Roman"/>
          <w:szCs w:val="28"/>
          <w:lang w:eastAsia="pl-PL"/>
        </w:rPr>
      </w:pPr>
      <w:r>
        <w:rPr>
          <w:rFonts w:cs="Times New Roman"/>
          <w:szCs w:val="28"/>
          <w:lang w:eastAsia="pl-PL"/>
        </w:rPr>
        <w:t>W związku z prowadzoną działalnością w ciągu doby ruch samochodowy zwiększy się o 25 samochodów ciężarowych praz około 80 aut osobowych, którymi będą poruszać się pracownicy zakładu.</w:t>
      </w:r>
    </w:p>
    <w:p w:rsidR="00BD0521" w:rsidRDefault="00BD0521" w:rsidP="00BD0521">
      <w:pPr>
        <w:ind w:firstLine="567"/>
        <w:jc w:val="both"/>
        <w:rPr>
          <w:rFonts w:cs="Times New Roman"/>
          <w:szCs w:val="28"/>
          <w:lang w:eastAsia="pl-PL"/>
        </w:rPr>
      </w:pPr>
    </w:p>
    <w:p w:rsidR="00BD0521" w:rsidRDefault="00BD0521" w:rsidP="00BD0521">
      <w:pPr>
        <w:ind w:firstLine="567"/>
        <w:jc w:val="both"/>
        <w:rPr>
          <w:rFonts w:cs="Times New Roman"/>
          <w:szCs w:val="28"/>
          <w:lang w:eastAsia="pl-PL"/>
        </w:rPr>
      </w:pPr>
      <w:r>
        <w:rPr>
          <w:rFonts w:cs="Times New Roman"/>
          <w:szCs w:val="28"/>
          <w:lang w:eastAsia="pl-PL"/>
        </w:rPr>
        <w:t>Sprawy związane np. z zagospodarowaniem ścieków są przedmiotem odrębnego postępowania prowadzonego przez służby Państwowego Gospodarstwa Wodnego Wody Polskie i związane są z obowiązkiem uzyskania pozwolenia wodnoprawnego.</w:t>
      </w:r>
    </w:p>
    <w:p w:rsidR="00BD0521" w:rsidRDefault="00BD0521" w:rsidP="00BD0521">
      <w:pPr>
        <w:ind w:firstLine="708"/>
        <w:jc w:val="both"/>
        <w:rPr>
          <w:rFonts w:cs="Times New Roman"/>
          <w:szCs w:val="28"/>
          <w:lang w:eastAsia="pl-PL"/>
        </w:rPr>
      </w:pPr>
    </w:p>
    <w:p w:rsidR="00BD0521" w:rsidRDefault="00BD0521" w:rsidP="00BD0521">
      <w:pPr>
        <w:ind w:firstLine="708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lang w:eastAsia="pl-PL"/>
        </w:rPr>
        <w:t xml:space="preserve">Kwestie związane z </w:t>
      </w:r>
      <w:r>
        <w:rPr>
          <w:rFonts w:cs="Times New Roman"/>
          <w:szCs w:val="28"/>
          <w:shd w:val="clear" w:color="auto" w:fill="FFFFFF"/>
        </w:rPr>
        <w:t xml:space="preserve"> kwalifikacją zakładu jako stwarzającego zagrożenie wystąpienia poważnej awarii przemysłowej reguluje ustawa – Prawo ochrony środowiska. Zgodnie z obowiązującymi przepisami każdy, kto zamierza prowadzić lub prowadzi zakład o zwiększonym ryzyku lub o dużym ryzyku, jest obowiązany do zapewnienia, aby zakład ten był zaprojektowany, wykonany, prowadzony i likwidowany w sposób zapobiegający awariom przemysłowym i ograniczający ich skutki dla ludzi oraz środowiska. Ponadto ustawa nakłada na prowadzącego taki zakład szereg obowiązków, których wykonanie podlega nadzorowi ze strony komendanta wojewódzkiego Państwowej Straży Pożarnej i wojewódzkiego inspektora ochrony środowiska. </w:t>
      </w:r>
    </w:p>
    <w:p w:rsidR="00BD0521" w:rsidRDefault="00BD0521" w:rsidP="00BD0521">
      <w:pPr>
        <w:jc w:val="both"/>
        <w:rPr>
          <w:rFonts w:cs="Times New Roman"/>
          <w:szCs w:val="28"/>
          <w:lang w:eastAsia="pl-PL"/>
        </w:rPr>
      </w:pPr>
    </w:p>
    <w:p w:rsidR="00BD0521" w:rsidRDefault="00BD0521" w:rsidP="00BD0521">
      <w:pPr>
        <w:ind w:firstLine="708"/>
        <w:jc w:val="both"/>
        <w:rPr>
          <w:rFonts w:cs="Times New Roman"/>
          <w:szCs w:val="28"/>
          <w:lang w:eastAsia="pl-PL"/>
        </w:rPr>
      </w:pPr>
      <w:r>
        <w:rPr>
          <w:rFonts w:cs="Times New Roman"/>
          <w:szCs w:val="28"/>
          <w:lang w:eastAsia="pl-PL"/>
        </w:rPr>
        <w:t xml:space="preserve">Ustalanie środowiskowych uwarunkowań realizacji przedsięwzięć na terenie gminy Śrem, w postaci decyzji, nie jest niczym nadzwyczajnym. Na poparcie tego faktu warto przytoczyć dane choćby z ostatniego okresu. Otóż, począwszy od 2018 r. Burmistrz Śremu wydał: </w:t>
      </w:r>
    </w:p>
    <w:p w:rsidR="00BD0521" w:rsidRDefault="00BD0521" w:rsidP="00BD0521">
      <w:pPr>
        <w:ind w:firstLine="708"/>
        <w:jc w:val="both"/>
        <w:rPr>
          <w:rFonts w:cs="Times New Roman"/>
          <w:szCs w:val="28"/>
          <w:lang w:eastAsia="pl-PL"/>
        </w:rPr>
      </w:pPr>
    </w:p>
    <w:p w:rsidR="00BD0521" w:rsidRDefault="00BD0521" w:rsidP="00BD0521">
      <w:pPr>
        <w:pStyle w:val="Akapitzlist"/>
        <w:numPr>
          <w:ilvl w:val="0"/>
          <w:numId w:val="4"/>
        </w:num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34 decyzje środowiskowe dla przedsięwzięć mogących potencjalnie znacząco oddziaływać na środowisko, przy czym w 26 % przypadkach nałożył obowiązek </w:t>
      </w:r>
      <w:r>
        <w:rPr>
          <w:rFonts w:cs="Times New Roman"/>
          <w:szCs w:val="28"/>
        </w:rPr>
        <w:t>przeprowadzenia oceny oddziaływania na środowisko dla planowanego przedsięwzięcia</w:t>
      </w:r>
      <w:r>
        <w:rPr>
          <w:rFonts w:eastAsia="Times New Roman" w:cs="Times New Roman"/>
          <w:szCs w:val="28"/>
          <w:lang w:eastAsia="pl-PL"/>
        </w:rPr>
        <w:t xml:space="preserve"> oraz</w:t>
      </w:r>
    </w:p>
    <w:p w:rsidR="00736E40" w:rsidRPr="00BD0521" w:rsidRDefault="00BD0521" w:rsidP="00736E40">
      <w:pPr>
        <w:pStyle w:val="Akapitzlist"/>
        <w:numPr>
          <w:ilvl w:val="0"/>
          <w:numId w:val="4"/>
        </w:num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kolejne sześć decyzji dla przedsięwzięć mogących zawsze znacząco oddziaływać na środowisko, w przypadku których przeprowadzenie ocena oddziaływania na środowisko jest, z mocy ustawy, obligatoryjne.</w:t>
      </w:r>
    </w:p>
    <w:p w:rsidR="00736E40" w:rsidRDefault="00736E40" w:rsidP="00736E40">
      <w:pPr>
        <w:jc w:val="both"/>
      </w:pPr>
    </w:p>
    <w:p w:rsidR="00736E40" w:rsidRDefault="00736E40" w:rsidP="00736E40">
      <w:pPr>
        <w:pStyle w:val="Akapitzlist"/>
        <w:numPr>
          <w:ilvl w:val="0"/>
          <w:numId w:val="1"/>
        </w:numPr>
        <w:jc w:val="both"/>
      </w:pPr>
      <w:r>
        <w:t>Czy Gmina Śrem miała jakikolwiek wpływ na to, jakiemu podmiotowi forma BASF sprzeda swój majątek?</w:t>
      </w:r>
    </w:p>
    <w:p w:rsidR="00736E40" w:rsidRDefault="00736E40" w:rsidP="00736E40">
      <w:pPr>
        <w:jc w:val="both"/>
      </w:pPr>
    </w:p>
    <w:p w:rsidR="00BD0521" w:rsidRDefault="00BD0521" w:rsidP="00BD0521">
      <w:pPr>
        <w:tabs>
          <w:tab w:val="left" w:pos="567"/>
          <w:tab w:val="left" w:pos="851"/>
        </w:tabs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b/>
          <w:szCs w:val="28"/>
          <w:lang w:eastAsia="pl-PL"/>
        </w:rPr>
        <w:tab/>
      </w:r>
      <w:r w:rsidRPr="00BD0521">
        <w:rPr>
          <w:rFonts w:eastAsia="Times New Roman" w:cs="Times New Roman"/>
          <w:b/>
          <w:szCs w:val="28"/>
          <w:lang w:eastAsia="pl-PL"/>
        </w:rPr>
        <w:t>Gmina Śrem nie ma prawa decydować</w:t>
      </w:r>
      <w:r w:rsidRPr="00BD0521">
        <w:rPr>
          <w:rFonts w:eastAsia="Times New Roman" w:cs="Times New Roman"/>
          <w:szCs w:val="28"/>
          <w:lang w:eastAsia="pl-PL"/>
        </w:rPr>
        <w:t xml:space="preserve"> za inne, niezależne i samodzielne podmioty sektora prywatnego, czy też w jakikolwiek sposób wpływać na podejmowane przez te podmioty decyzje związane ze sposobem </w:t>
      </w:r>
    </w:p>
    <w:p w:rsidR="00BD0521" w:rsidRDefault="00BD0521" w:rsidP="00BD0521">
      <w:pPr>
        <w:tabs>
          <w:tab w:val="left" w:pos="567"/>
          <w:tab w:val="left" w:pos="851"/>
        </w:tabs>
        <w:jc w:val="both"/>
        <w:rPr>
          <w:rFonts w:eastAsia="Times New Roman" w:cs="Times New Roman"/>
          <w:szCs w:val="28"/>
          <w:lang w:eastAsia="pl-PL"/>
        </w:rPr>
      </w:pPr>
    </w:p>
    <w:p w:rsidR="00BD0521" w:rsidRPr="00BD0521" w:rsidRDefault="00BD0521" w:rsidP="00BD0521">
      <w:pPr>
        <w:tabs>
          <w:tab w:val="left" w:pos="567"/>
          <w:tab w:val="left" w:pos="851"/>
        </w:tabs>
        <w:jc w:val="both"/>
        <w:rPr>
          <w:rFonts w:eastAsia="Times New Roman" w:cs="Times New Roman"/>
          <w:szCs w:val="28"/>
          <w:lang w:eastAsia="pl-PL"/>
        </w:rPr>
      </w:pPr>
      <w:r w:rsidRPr="00BD0521">
        <w:rPr>
          <w:rFonts w:eastAsia="Times New Roman" w:cs="Times New Roman"/>
          <w:szCs w:val="28"/>
          <w:lang w:eastAsia="pl-PL"/>
        </w:rPr>
        <w:t>rozrządzania majątkiem, który nie stanowi majątku gminy. Sytuacja taka miała również miejsce w analizowanej sprawie.</w:t>
      </w:r>
    </w:p>
    <w:p w:rsidR="00BD0521" w:rsidRDefault="00BD0521" w:rsidP="00BD0521">
      <w:pPr>
        <w:tabs>
          <w:tab w:val="left" w:pos="567"/>
          <w:tab w:val="left" w:pos="851"/>
        </w:tabs>
        <w:jc w:val="both"/>
        <w:rPr>
          <w:rFonts w:eastAsia="Times New Roman" w:cs="Times New Roman"/>
          <w:szCs w:val="28"/>
          <w:lang w:eastAsia="pl-PL"/>
        </w:rPr>
      </w:pPr>
    </w:p>
    <w:p w:rsidR="00BD0521" w:rsidRDefault="00BD0521" w:rsidP="00BD0521">
      <w:pPr>
        <w:tabs>
          <w:tab w:val="left" w:pos="567"/>
          <w:tab w:val="left" w:pos="851"/>
        </w:tabs>
        <w:ind w:firstLine="567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Odnosząc się natomiast do zarzutu braku informacji w sferze publicznej na temat związany ze sprzedażą, należy podkreślić, że gmina Śrem nie jest uprawniona do rozpowszechniania informacji o transakcjach zawieranych przez niezależne od gminy podmioty. </w:t>
      </w:r>
    </w:p>
    <w:p w:rsidR="00BD0521" w:rsidRDefault="00BD0521" w:rsidP="00BD0521">
      <w:pPr>
        <w:tabs>
          <w:tab w:val="left" w:pos="567"/>
          <w:tab w:val="left" w:pos="851"/>
        </w:tabs>
        <w:ind w:firstLine="567"/>
        <w:jc w:val="both"/>
        <w:rPr>
          <w:rFonts w:eastAsia="Times New Roman" w:cs="Times New Roman"/>
          <w:szCs w:val="28"/>
          <w:lang w:eastAsia="pl-PL"/>
        </w:rPr>
      </w:pPr>
    </w:p>
    <w:p w:rsidR="00BD0521" w:rsidRDefault="00BD0521" w:rsidP="00BD0521">
      <w:pPr>
        <w:tabs>
          <w:tab w:val="left" w:pos="567"/>
          <w:tab w:val="left" w:pos="851"/>
        </w:tabs>
        <w:ind w:firstLine="567"/>
        <w:jc w:val="both"/>
        <w:rPr>
          <w:rFonts w:eastAsia="Times New Roman" w:cs="Times New Roman"/>
          <w:szCs w:val="28"/>
          <w:lang w:eastAsia="pl-PL"/>
        </w:rPr>
      </w:pPr>
    </w:p>
    <w:p w:rsidR="00BD0521" w:rsidRDefault="00BD0521" w:rsidP="00BD0521">
      <w:pPr>
        <w:tabs>
          <w:tab w:val="left" w:pos="567"/>
          <w:tab w:val="left" w:pos="851"/>
        </w:tabs>
        <w:ind w:firstLine="567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Burmistrz Śremu jest jednak zobowiązany do udostępniania informacji o prowadzonych postępowaniach i czyni to w różnoraki sposób. </w:t>
      </w:r>
      <w:r>
        <w:rPr>
          <w:rFonts w:eastAsia="Times New Roman" w:cs="Times New Roman"/>
          <w:b/>
          <w:szCs w:val="28"/>
          <w:lang w:eastAsia="pl-PL"/>
        </w:rPr>
        <w:t>Obowiązku informacyjnego Burmistrz Śremu dochował w kwestii planowanej inwestycji</w:t>
      </w:r>
      <w:r>
        <w:rPr>
          <w:rFonts w:eastAsia="Times New Roman" w:cs="Times New Roman"/>
          <w:szCs w:val="28"/>
          <w:lang w:eastAsia="pl-PL"/>
        </w:rPr>
        <w:t xml:space="preserve">. </w:t>
      </w:r>
      <w:r>
        <w:rPr>
          <w:rFonts w:eastAsia="Times New Roman" w:cs="Times New Roman"/>
          <w:b/>
          <w:szCs w:val="28"/>
          <w:lang w:eastAsia="pl-PL"/>
        </w:rPr>
        <w:t>Wszelkie obwieszczenia związane ze sprawą</w:t>
      </w:r>
      <w:r>
        <w:rPr>
          <w:rFonts w:eastAsia="Times New Roman" w:cs="Times New Roman"/>
          <w:szCs w:val="28"/>
          <w:lang w:eastAsia="pl-PL"/>
        </w:rPr>
        <w:t xml:space="preserve"> (o wszczęciu postępowania z dnia 04.05.2020 r., o wyznaczeniu nowego terminu załatwienia sprawy z dni 25.05.2020 r., 23.06.2020 r., o ponownym wystąpieniu do organów współdziałających o wyrażenie opinii co do potrzeby przeprowadzenia oceny oddziaływania na środowisko z dnia 01.07.2020 r., o możliwości zapoznania się i wypowiedzenia co do materiałów zgromadzonych w sprawie przed wydaniem decyzji z dnia 13.07.2020 r., o wydaniu decyzji o środowiskowych uwarunkowaniach 21.08.2020 r.) </w:t>
      </w:r>
      <w:r>
        <w:rPr>
          <w:rFonts w:eastAsia="Times New Roman" w:cs="Times New Roman"/>
          <w:b/>
          <w:szCs w:val="28"/>
          <w:lang w:eastAsia="pl-PL"/>
        </w:rPr>
        <w:t>zostały udostępnione w Biuletynie Informacji Publicznej Urzędu Miejskiego w Śremie</w:t>
      </w:r>
      <w:r>
        <w:rPr>
          <w:rFonts w:eastAsia="Times New Roman" w:cs="Times New Roman"/>
          <w:szCs w:val="28"/>
          <w:lang w:eastAsia="pl-PL"/>
        </w:rPr>
        <w:t xml:space="preserve"> (</w:t>
      </w:r>
      <w:hyperlink r:id="rId8" w:history="1">
        <w:r>
          <w:rPr>
            <w:rStyle w:val="Hipercze"/>
            <w:rFonts w:eastAsia="Times New Roman" w:cs="Times New Roman"/>
            <w:szCs w:val="28"/>
            <w:lang w:eastAsia="pl-PL"/>
          </w:rPr>
          <w:t>http://umsrem.bip.eur.pl/public/?id=200854</w:t>
        </w:r>
      </w:hyperlink>
      <w:r>
        <w:rPr>
          <w:rFonts w:eastAsia="Times New Roman" w:cs="Times New Roman"/>
          <w:szCs w:val="28"/>
          <w:lang w:eastAsia="pl-PL"/>
        </w:rPr>
        <w:t xml:space="preserve">). Nadto </w:t>
      </w:r>
      <w:r>
        <w:rPr>
          <w:rFonts w:eastAsia="Times New Roman" w:cs="Times New Roman"/>
          <w:b/>
          <w:szCs w:val="28"/>
          <w:lang w:eastAsia="pl-PL"/>
        </w:rPr>
        <w:t>do obwieszczenia o wydaniu decyzji środowiskowej została dołączona sama decyzja.</w:t>
      </w:r>
      <w:r>
        <w:rPr>
          <w:rFonts w:eastAsia="Times New Roman" w:cs="Times New Roman"/>
          <w:szCs w:val="28"/>
          <w:lang w:eastAsia="pl-PL"/>
        </w:rPr>
        <w:t xml:space="preserve"> </w:t>
      </w:r>
    </w:p>
    <w:p w:rsidR="00BD0521" w:rsidRDefault="00BD0521" w:rsidP="00BD0521">
      <w:pPr>
        <w:tabs>
          <w:tab w:val="left" w:pos="567"/>
          <w:tab w:val="left" w:pos="851"/>
        </w:tabs>
        <w:ind w:firstLine="567"/>
        <w:jc w:val="both"/>
        <w:rPr>
          <w:rFonts w:eastAsia="Times New Roman" w:cs="Times New Roman"/>
          <w:szCs w:val="28"/>
          <w:lang w:eastAsia="pl-PL"/>
        </w:rPr>
      </w:pPr>
    </w:p>
    <w:p w:rsidR="00BD0521" w:rsidRDefault="00BD0521" w:rsidP="00BD0521">
      <w:pPr>
        <w:tabs>
          <w:tab w:val="left" w:pos="567"/>
          <w:tab w:val="left" w:pos="851"/>
        </w:tabs>
        <w:ind w:firstLine="567"/>
        <w:jc w:val="both"/>
        <w:rPr>
          <w:rFonts w:cs="Times New Roman"/>
          <w:szCs w:val="28"/>
        </w:rPr>
      </w:pPr>
      <w:r>
        <w:rPr>
          <w:rFonts w:eastAsia="Times New Roman" w:cs="Times New Roman"/>
          <w:szCs w:val="28"/>
          <w:lang w:eastAsia="pl-PL"/>
        </w:rPr>
        <w:t xml:space="preserve">Informacja o wydanej decyzji środowiskowej znalazła się również w sprawozdaniu nr 4/2020 Burmistrza Śremu z dnia 25.08.2020 r. z działalności międzysesyjnej od 19.06.2020 r. do 24.08.2020 r. w brzmieniu: 21.08.2020 r. decyzja środowiskowa: </w:t>
      </w:r>
      <w:r>
        <w:rPr>
          <w:rFonts w:cs="Times New Roman"/>
          <w:szCs w:val="28"/>
        </w:rPr>
        <w:t xml:space="preserve">budowa budynku produkcyjnego (produkcja elektrolitu do baterii </w:t>
      </w:r>
      <w:proofErr w:type="spellStart"/>
      <w:r>
        <w:rPr>
          <w:rFonts w:cs="Times New Roman"/>
          <w:szCs w:val="28"/>
        </w:rPr>
        <w:t>litowo</w:t>
      </w:r>
      <w:proofErr w:type="spellEnd"/>
      <w:r>
        <w:rPr>
          <w:rFonts w:cs="Times New Roman"/>
          <w:szCs w:val="28"/>
        </w:rPr>
        <w:t xml:space="preserve">-jonowych z wykorzystaniem procesów fizycznych tj. mieszanie, rozpuszczanie, przepompowywanie), na działkach o nr </w:t>
      </w:r>
      <w:proofErr w:type="spellStart"/>
      <w:r>
        <w:rPr>
          <w:rFonts w:cs="Times New Roman"/>
          <w:szCs w:val="28"/>
        </w:rPr>
        <w:t>ewid</w:t>
      </w:r>
      <w:proofErr w:type="spellEnd"/>
      <w:r>
        <w:rPr>
          <w:rFonts w:cs="Times New Roman"/>
          <w:szCs w:val="28"/>
        </w:rPr>
        <w:t xml:space="preserve">.: 2985/7; 2985/12; 2985/13; 2985/14; 2500/21, obręb Śrem (przy obwodnicy Śremu na terenie byłego zakładu spółki BASF), wnioskodawca: </w:t>
      </w:r>
      <w:proofErr w:type="spellStart"/>
      <w:r>
        <w:rPr>
          <w:rFonts w:cs="Times New Roman"/>
          <w:szCs w:val="28"/>
        </w:rPr>
        <w:t>Capchem</w:t>
      </w:r>
      <w:proofErr w:type="spellEnd"/>
      <w:r>
        <w:rPr>
          <w:rFonts w:cs="Times New Roman"/>
          <w:szCs w:val="28"/>
        </w:rPr>
        <w:t xml:space="preserve"> Poland Sp. z o.o., ul. Swobodna 1, 50-088 Wrocław. Sprawozdanie to udostępnione zostało nie tylko Paniom i Panom Radnym, ale także wszystkim zainteresowanym w Biuletynie.</w:t>
      </w:r>
    </w:p>
    <w:p w:rsidR="00BD0521" w:rsidRDefault="00BD0521" w:rsidP="00BD0521">
      <w:pPr>
        <w:tabs>
          <w:tab w:val="left" w:pos="567"/>
          <w:tab w:val="left" w:pos="851"/>
        </w:tabs>
        <w:ind w:firstLine="567"/>
        <w:jc w:val="both"/>
        <w:rPr>
          <w:rFonts w:eastAsia="Times New Roman" w:cs="Times New Roman"/>
          <w:szCs w:val="28"/>
          <w:lang w:eastAsia="pl-PL"/>
        </w:rPr>
      </w:pPr>
    </w:p>
    <w:p w:rsidR="00BD0521" w:rsidRDefault="00BD0521" w:rsidP="00BD0521">
      <w:pPr>
        <w:tabs>
          <w:tab w:val="left" w:pos="567"/>
          <w:tab w:val="left" w:pos="851"/>
        </w:tabs>
        <w:ind w:firstLine="567"/>
        <w:jc w:val="both"/>
        <w:rPr>
          <w:rFonts w:eastAsia="Times New Roman" w:cs="Times New Roman"/>
          <w:szCs w:val="28"/>
          <w:lang w:eastAsia="pl-PL"/>
        </w:rPr>
      </w:pPr>
    </w:p>
    <w:p w:rsidR="00BD0521" w:rsidRDefault="00BD0521" w:rsidP="00BD0521">
      <w:pPr>
        <w:tabs>
          <w:tab w:val="left" w:pos="567"/>
          <w:tab w:val="left" w:pos="851"/>
        </w:tabs>
        <w:ind w:firstLine="567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Podsumowując Burmistrz Śremu przeprowadził postępowania w sposób jawny i przejrzysty, zapewniając każdemu zainteresowanemu możliwość </w:t>
      </w:r>
      <w:r>
        <w:rPr>
          <w:rFonts w:eastAsia="Times New Roman" w:cs="Times New Roman"/>
          <w:szCs w:val="28"/>
          <w:lang w:eastAsia="pl-PL"/>
        </w:rPr>
        <w:lastRenderedPageBreak/>
        <w:t xml:space="preserve">zapoznania się z dokumentacją sprawy, jak i z samą decyzją (udostępnioną w możliwie najłatwiejszy sposób w sytuacji epidemii, czyli w Internecie). </w:t>
      </w:r>
    </w:p>
    <w:p w:rsidR="00BD0521" w:rsidRDefault="00BD0521" w:rsidP="00BD0521">
      <w:pPr>
        <w:jc w:val="both"/>
        <w:rPr>
          <w:rFonts w:eastAsia="Times New Roman" w:cs="Times New Roman"/>
          <w:szCs w:val="28"/>
          <w:lang w:eastAsia="pl-PL"/>
        </w:rPr>
      </w:pPr>
    </w:p>
    <w:p w:rsidR="00BD0521" w:rsidRDefault="00BD0521" w:rsidP="00BD0521">
      <w:pPr>
        <w:jc w:val="both"/>
        <w:rPr>
          <w:rFonts w:eastAsia="Times New Roman" w:cs="Times New Roman"/>
          <w:szCs w:val="28"/>
          <w:lang w:eastAsia="pl-PL"/>
        </w:rPr>
      </w:pPr>
    </w:p>
    <w:p w:rsidR="00BD0521" w:rsidRPr="005F0A2D" w:rsidRDefault="005F0A2D" w:rsidP="00BD0521">
      <w:pPr>
        <w:jc w:val="both"/>
        <w:rPr>
          <w:rFonts w:eastAsia="Times New Roman" w:cs="Times New Roman"/>
          <w:i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ab/>
      </w:r>
      <w:r>
        <w:rPr>
          <w:rFonts w:eastAsia="Times New Roman" w:cs="Times New Roman"/>
          <w:szCs w:val="28"/>
          <w:lang w:eastAsia="pl-PL"/>
        </w:rPr>
        <w:tab/>
      </w:r>
      <w:r>
        <w:rPr>
          <w:rFonts w:eastAsia="Times New Roman" w:cs="Times New Roman"/>
          <w:szCs w:val="28"/>
          <w:lang w:eastAsia="pl-PL"/>
        </w:rPr>
        <w:tab/>
      </w:r>
      <w:r>
        <w:rPr>
          <w:rFonts w:eastAsia="Times New Roman" w:cs="Times New Roman"/>
          <w:szCs w:val="28"/>
          <w:lang w:eastAsia="pl-PL"/>
        </w:rPr>
        <w:tab/>
      </w:r>
      <w:r>
        <w:rPr>
          <w:rFonts w:eastAsia="Times New Roman" w:cs="Times New Roman"/>
          <w:szCs w:val="28"/>
          <w:lang w:eastAsia="pl-PL"/>
        </w:rPr>
        <w:tab/>
      </w:r>
      <w:r>
        <w:rPr>
          <w:rFonts w:eastAsia="Times New Roman" w:cs="Times New Roman"/>
          <w:szCs w:val="28"/>
          <w:lang w:eastAsia="pl-PL"/>
        </w:rPr>
        <w:tab/>
      </w:r>
      <w:r>
        <w:rPr>
          <w:rFonts w:eastAsia="Times New Roman" w:cs="Times New Roman"/>
          <w:szCs w:val="28"/>
          <w:lang w:eastAsia="pl-PL"/>
        </w:rPr>
        <w:tab/>
        <w:t xml:space="preserve"> </w:t>
      </w:r>
      <w:r w:rsidRPr="005F0A2D">
        <w:rPr>
          <w:rFonts w:eastAsia="Times New Roman" w:cs="Times New Roman"/>
          <w:i/>
          <w:szCs w:val="28"/>
          <w:lang w:eastAsia="pl-PL"/>
        </w:rPr>
        <w:t>BURMISTRZ ŚREMU</w:t>
      </w:r>
    </w:p>
    <w:p w:rsidR="005F0A2D" w:rsidRPr="005F0A2D" w:rsidRDefault="005F0A2D" w:rsidP="00BD0521">
      <w:pPr>
        <w:jc w:val="both"/>
        <w:rPr>
          <w:rFonts w:eastAsia="Times New Roman" w:cs="Times New Roman"/>
          <w:i/>
          <w:szCs w:val="28"/>
          <w:lang w:eastAsia="pl-PL"/>
        </w:rPr>
      </w:pPr>
    </w:p>
    <w:p w:rsidR="005F0A2D" w:rsidRPr="005F0A2D" w:rsidRDefault="005F0A2D" w:rsidP="00BD0521">
      <w:pPr>
        <w:jc w:val="both"/>
        <w:rPr>
          <w:rFonts w:eastAsia="Times New Roman" w:cs="Times New Roman"/>
          <w:i/>
          <w:szCs w:val="28"/>
          <w:lang w:eastAsia="pl-PL"/>
        </w:rPr>
      </w:pPr>
      <w:r w:rsidRPr="005F0A2D">
        <w:rPr>
          <w:rFonts w:eastAsia="Times New Roman" w:cs="Times New Roman"/>
          <w:i/>
          <w:szCs w:val="28"/>
          <w:lang w:eastAsia="pl-PL"/>
        </w:rPr>
        <w:tab/>
      </w:r>
      <w:r w:rsidRPr="005F0A2D">
        <w:rPr>
          <w:rFonts w:eastAsia="Times New Roman" w:cs="Times New Roman"/>
          <w:i/>
          <w:szCs w:val="28"/>
          <w:lang w:eastAsia="pl-PL"/>
        </w:rPr>
        <w:tab/>
      </w:r>
      <w:r w:rsidRPr="005F0A2D">
        <w:rPr>
          <w:rFonts w:eastAsia="Times New Roman" w:cs="Times New Roman"/>
          <w:i/>
          <w:szCs w:val="28"/>
          <w:lang w:eastAsia="pl-PL"/>
        </w:rPr>
        <w:tab/>
      </w:r>
      <w:r w:rsidRPr="005F0A2D">
        <w:rPr>
          <w:rFonts w:eastAsia="Times New Roman" w:cs="Times New Roman"/>
          <w:i/>
          <w:szCs w:val="28"/>
          <w:lang w:eastAsia="pl-PL"/>
        </w:rPr>
        <w:tab/>
      </w:r>
      <w:r w:rsidRPr="005F0A2D">
        <w:rPr>
          <w:rFonts w:eastAsia="Times New Roman" w:cs="Times New Roman"/>
          <w:i/>
          <w:szCs w:val="28"/>
          <w:lang w:eastAsia="pl-PL"/>
        </w:rPr>
        <w:tab/>
      </w:r>
      <w:r w:rsidRPr="005F0A2D">
        <w:rPr>
          <w:rFonts w:eastAsia="Times New Roman" w:cs="Times New Roman"/>
          <w:i/>
          <w:szCs w:val="28"/>
          <w:lang w:eastAsia="pl-PL"/>
        </w:rPr>
        <w:tab/>
      </w:r>
      <w:r w:rsidRPr="005F0A2D">
        <w:rPr>
          <w:rFonts w:eastAsia="Times New Roman" w:cs="Times New Roman"/>
          <w:i/>
          <w:szCs w:val="28"/>
          <w:lang w:eastAsia="pl-PL"/>
        </w:rPr>
        <w:tab/>
        <w:t xml:space="preserve">  Adam Lewandowski</w:t>
      </w:r>
    </w:p>
    <w:p w:rsidR="00BD0521" w:rsidRPr="005F0A2D" w:rsidRDefault="00BD0521" w:rsidP="00BD0521">
      <w:pPr>
        <w:jc w:val="both"/>
        <w:rPr>
          <w:rFonts w:eastAsia="Times New Roman" w:cs="Times New Roman"/>
          <w:i/>
          <w:szCs w:val="28"/>
          <w:lang w:eastAsia="pl-PL"/>
        </w:rPr>
      </w:pPr>
    </w:p>
    <w:p w:rsidR="00BD0521" w:rsidRDefault="00BD0521" w:rsidP="00BD0521">
      <w:pPr>
        <w:jc w:val="both"/>
        <w:rPr>
          <w:rFonts w:eastAsia="Times New Roman" w:cs="Times New Roman"/>
          <w:szCs w:val="28"/>
          <w:lang w:eastAsia="pl-PL"/>
        </w:rPr>
      </w:pPr>
    </w:p>
    <w:p w:rsidR="00BD0521" w:rsidRDefault="00BD0521" w:rsidP="00BD0521">
      <w:pPr>
        <w:jc w:val="both"/>
        <w:rPr>
          <w:rFonts w:eastAsia="Times New Roman" w:cs="Times New Roman"/>
          <w:szCs w:val="28"/>
          <w:lang w:eastAsia="pl-PL"/>
        </w:rPr>
      </w:pPr>
    </w:p>
    <w:p w:rsidR="00BD0521" w:rsidRDefault="00BD0521" w:rsidP="00BD0521">
      <w:pPr>
        <w:jc w:val="both"/>
        <w:rPr>
          <w:rFonts w:eastAsia="Times New Roman" w:cs="Times New Roman"/>
          <w:szCs w:val="28"/>
          <w:lang w:eastAsia="pl-PL"/>
        </w:rPr>
      </w:pPr>
    </w:p>
    <w:p w:rsidR="005F0A2D" w:rsidRDefault="005F0A2D" w:rsidP="00BD0521">
      <w:pPr>
        <w:jc w:val="both"/>
        <w:rPr>
          <w:rFonts w:eastAsia="Times New Roman" w:cs="Times New Roman"/>
          <w:szCs w:val="28"/>
          <w:lang w:eastAsia="pl-PL"/>
        </w:rPr>
      </w:pPr>
      <w:bookmarkStart w:id="0" w:name="_GoBack"/>
      <w:bookmarkEnd w:id="0"/>
    </w:p>
    <w:p w:rsidR="00BD0521" w:rsidRDefault="00BD0521" w:rsidP="00BD0521">
      <w:p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Otrzymują:</w:t>
      </w:r>
    </w:p>
    <w:p w:rsidR="00BD0521" w:rsidRPr="00BD0521" w:rsidRDefault="00BD0521" w:rsidP="00BD0521">
      <w:p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1.</w:t>
      </w:r>
      <w:r w:rsidRPr="00BD0521">
        <w:rPr>
          <w:rFonts w:eastAsia="Times New Roman" w:cs="Times New Roman"/>
          <w:szCs w:val="28"/>
          <w:lang w:eastAsia="pl-PL"/>
        </w:rPr>
        <w:t>Radny, Pan Krzysztof Lewandowski</w:t>
      </w:r>
    </w:p>
    <w:p w:rsidR="00BD0521" w:rsidRDefault="00BD0521" w:rsidP="00BD0521">
      <w:p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2.Radni Rady Miejskiej w Śremie </w:t>
      </w:r>
    </w:p>
    <w:p w:rsidR="00736E40" w:rsidRDefault="00736E40" w:rsidP="00736E40">
      <w:pPr>
        <w:jc w:val="both"/>
      </w:pPr>
    </w:p>
    <w:p w:rsidR="006F7A1F" w:rsidRDefault="006F7A1F"/>
    <w:p w:rsidR="00BD0521" w:rsidRDefault="00BD0521">
      <w:pPr>
        <w:rPr>
          <w:sz w:val="24"/>
          <w:szCs w:val="24"/>
        </w:rPr>
      </w:pPr>
    </w:p>
    <w:p w:rsidR="00BD0521" w:rsidRDefault="00BD0521">
      <w:pPr>
        <w:rPr>
          <w:sz w:val="24"/>
          <w:szCs w:val="24"/>
        </w:rPr>
      </w:pPr>
    </w:p>
    <w:p w:rsidR="00BD0521" w:rsidRDefault="00BD0521">
      <w:pPr>
        <w:rPr>
          <w:sz w:val="24"/>
          <w:szCs w:val="24"/>
        </w:rPr>
      </w:pPr>
    </w:p>
    <w:p w:rsidR="00BD0521" w:rsidRDefault="00BD0521">
      <w:pPr>
        <w:rPr>
          <w:sz w:val="24"/>
          <w:szCs w:val="24"/>
        </w:rPr>
      </w:pPr>
    </w:p>
    <w:p w:rsidR="00BD0521" w:rsidRDefault="00BD0521">
      <w:pPr>
        <w:rPr>
          <w:sz w:val="24"/>
          <w:szCs w:val="24"/>
        </w:rPr>
      </w:pPr>
    </w:p>
    <w:p w:rsidR="00BD0521" w:rsidRDefault="00BD0521">
      <w:pPr>
        <w:rPr>
          <w:sz w:val="24"/>
          <w:szCs w:val="24"/>
        </w:rPr>
      </w:pPr>
    </w:p>
    <w:p w:rsidR="00BD0521" w:rsidRDefault="00BD0521">
      <w:pPr>
        <w:rPr>
          <w:sz w:val="24"/>
          <w:szCs w:val="24"/>
        </w:rPr>
      </w:pPr>
    </w:p>
    <w:p w:rsidR="00BD0521" w:rsidRDefault="00BD0521">
      <w:pPr>
        <w:rPr>
          <w:sz w:val="24"/>
          <w:szCs w:val="24"/>
        </w:rPr>
      </w:pPr>
    </w:p>
    <w:p w:rsidR="00BD0521" w:rsidRDefault="00BD0521">
      <w:pPr>
        <w:rPr>
          <w:sz w:val="24"/>
          <w:szCs w:val="24"/>
        </w:rPr>
      </w:pPr>
    </w:p>
    <w:p w:rsidR="00BD0521" w:rsidRDefault="00BD0521">
      <w:pPr>
        <w:rPr>
          <w:sz w:val="24"/>
          <w:szCs w:val="24"/>
        </w:rPr>
      </w:pPr>
    </w:p>
    <w:p w:rsidR="00736E40" w:rsidRPr="00736E40" w:rsidRDefault="00736E40">
      <w:pPr>
        <w:rPr>
          <w:sz w:val="24"/>
          <w:szCs w:val="24"/>
        </w:rPr>
      </w:pPr>
      <w:r w:rsidRPr="00736E40">
        <w:rPr>
          <w:sz w:val="24"/>
          <w:szCs w:val="24"/>
        </w:rPr>
        <w:t>Odpowiedzi udzieli</w:t>
      </w:r>
      <w:r w:rsidR="00BD0521">
        <w:rPr>
          <w:sz w:val="24"/>
          <w:szCs w:val="24"/>
        </w:rPr>
        <w:t>ła:</w:t>
      </w:r>
    </w:p>
    <w:p w:rsidR="00736E40" w:rsidRPr="00736E40" w:rsidRDefault="00736E40">
      <w:pPr>
        <w:rPr>
          <w:sz w:val="24"/>
          <w:szCs w:val="24"/>
        </w:rPr>
      </w:pPr>
      <w:r w:rsidRPr="00736E40">
        <w:rPr>
          <w:sz w:val="24"/>
          <w:szCs w:val="24"/>
        </w:rPr>
        <w:t>Katarzyna Bednarowicz</w:t>
      </w:r>
    </w:p>
    <w:p w:rsidR="00736E40" w:rsidRPr="00736E40" w:rsidRDefault="00736E40">
      <w:pPr>
        <w:rPr>
          <w:sz w:val="24"/>
          <w:szCs w:val="24"/>
        </w:rPr>
      </w:pPr>
      <w:r w:rsidRPr="00736E40">
        <w:rPr>
          <w:sz w:val="24"/>
          <w:szCs w:val="24"/>
        </w:rPr>
        <w:t>Naczelnik PPS</w:t>
      </w:r>
    </w:p>
    <w:p w:rsidR="00736E40" w:rsidRPr="00736E40" w:rsidRDefault="00736E40">
      <w:pPr>
        <w:rPr>
          <w:sz w:val="24"/>
          <w:szCs w:val="24"/>
        </w:rPr>
      </w:pPr>
      <w:r w:rsidRPr="00736E40">
        <w:rPr>
          <w:sz w:val="24"/>
          <w:szCs w:val="24"/>
        </w:rPr>
        <w:t>tel. 61 28 47 107</w:t>
      </w:r>
    </w:p>
    <w:p w:rsidR="00736E40" w:rsidRPr="00736E40" w:rsidRDefault="00736E40">
      <w:pPr>
        <w:rPr>
          <w:sz w:val="24"/>
          <w:szCs w:val="24"/>
        </w:rPr>
      </w:pPr>
    </w:p>
    <w:p w:rsidR="00736E40" w:rsidRDefault="00736E40">
      <w:pPr>
        <w:rPr>
          <w:sz w:val="24"/>
          <w:szCs w:val="24"/>
        </w:rPr>
      </w:pPr>
    </w:p>
    <w:p w:rsidR="00BD0521" w:rsidRPr="00736E40" w:rsidRDefault="00BD0521">
      <w:pPr>
        <w:rPr>
          <w:sz w:val="24"/>
          <w:szCs w:val="24"/>
        </w:rPr>
      </w:pPr>
    </w:p>
    <w:sectPr w:rsidR="00BD0521" w:rsidRPr="00736E40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890" w:rsidRDefault="00EC4890" w:rsidP="00736E40">
      <w:r>
        <w:separator/>
      </w:r>
    </w:p>
  </w:endnote>
  <w:endnote w:type="continuationSeparator" w:id="0">
    <w:p w:rsidR="00EC4890" w:rsidRDefault="00EC4890" w:rsidP="00736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7877998"/>
      <w:docPartObj>
        <w:docPartGallery w:val="Page Numbers (Bottom of Page)"/>
        <w:docPartUnique/>
      </w:docPartObj>
    </w:sdtPr>
    <w:sdtEndPr/>
    <w:sdtContent>
      <w:p w:rsidR="00736E40" w:rsidRDefault="00736E4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0A2D">
          <w:rPr>
            <w:noProof/>
          </w:rPr>
          <w:t>1</w:t>
        </w:r>
        <w:r>
          <w:fldChar w:fldCharType="end"/>
        </w:r>
      </w:p>
    </w:sdtContent>
  </w:sdt>
  <w:p w:rsidR="00736E40" w:rsidRDefault="00736E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890" w:rsidRDefault="00EC4890" w:rsidP="00736E40">
      <w:r>
        <w:separator/>
      </w:r>
    </w:p>
  </w:footnote>
  <w:footnote w:type="continuationSeparator" w:id="0">
    <w:p w:rsidR="00EC4890" w:rsidRDefault="00EC4890" w:rsidP="00736E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16A9"/>
    <w:multiLevelType w:val="hybridMultilevel"/>
    <w:tmpl w:val="EF146C58"/>
    <w:lvl w:ilvl="0" w:tplc="D69CBDCE">
      <w:start w:val="1"/>
      <w:numFmt w:val="decimal"/>
      <w:lvlText w:val="%1."/>
      <w:lvlJc w:val="left"/>
      <w:pPr>
        <w:ind w:left="10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2" w:hanging="360"/>
      </w:pPr>
    </w:lvl>
    <w:lvl w:ilvl="2" w:tplc="0415001B">
      <w:start w:val="1"/>
      <w:numFmt w:val="lowerRoman"/>
      <w:lvlText w:val="%3."/>
      <w:lvlJc w:val="right"/>
      <w:pPr>
        <w:ind w:left="2442" w:hanging="180"/>
      </w:pPr>
    </w:lvl>
    <w:lvl w:ilvl="3" w:tplc="0415000F">
      <w:start w:val="1"/>
      <w:numFmt w:val="decimal"/>
      <w:lvlText w:val="%4."/>
      <w:lvlJc w:val="left"/>
      <w:pPr>
        <w:ind w:left="3162" w:hanging="360"/>
      </w:pPr>
    </w:lvl>
    <w:lvl w:ilvl="4" w:tplc="04150019">
      <w:start w:val="1"/>
      <w:numFmt w:val="lowerLetter"/>
      <w:lvlText w:val="%5."/>
      <w:lvlJc w:val="left"/>
      <w:pPr>
        <w:ind w:left="3882" w:hanging="360"/>
      </w:pPr>
    </w:lvl>
    <w:lvl w:ilvl="5" w:tplc="0415001B">
      <w:start w:val="1"/>
      <w:numFmt w:val="lowerRoman"/>
      <w:lvlText w:val="%6."/>
      <w:lvlJc w:val="right"/>
      <w:pPr>
        <w:ind w:left="4602" w:hanging="180"/>
      </w:pPr>
    </w:lvl>
    <w:lvl w:ilvl="6" w:tplc="0415000F">
      <w:start w:val="1"/>
      <w:numFmt w:val="decimal"/>
      <w:lvlText w:val="%7."/>
      <w:lvlJc w:val="left"/>
      <w:pPr>
        <w:ind w:left="5322" w:hanging="360"/>
      </w:pPr>
    </w:lvl>
    <w:lvl w:ilvl="7" w:tplc="04150019">
      <w:start w:val="1"/>
      <w:numFmt w:val="lowerLetter"/>
      <w:lvlText w:val="%8."/>
      <w:lvlJc w:val="left"/>
      <w:pPr>
        <w:ind w:left="6042" w:hanging="360"/>
      </w:pPr>
    </w:lvl>
    <w:lvl w:ilvl="8" w:tplc="0415001B">
      <w:start w:val="1"/>
      <w:numFmt w:val="lowerRoman"/>
      <w:lvlText w:val="%9."/>
      <w:lvlJc w:val="right"/>
      <w:pPr>
        <w:ind w:left="6762" w:hanging="180"/>
      </w:pPr>
    </w:lvl>
  </w:abstractNum>
  <w:abstractNum w:abstractNumId="1">
    <w:nsid w:val="20767981"/>
    <w:multiLevelType w:val="hybridMultilevel"/>
    <w:tmpl w:val="12EE8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217132"/>
    <w:multiLevelType w:val="hybridMultilevel"/>
    <w:tmpl w:val="DAAA55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CA65FF"/>
    <w:multiLevelType w:val="hybridMultilevel"/>
    <w:tmpl w:val="9498180E"/>
    <w:lvl w:ilvl="0" w:tplc="7E506170">
      <w:start w:val="1"/>
      <w:numFmt w:val="decimal"/>
      <w:lvlText w:val="%1)"/>
      <w:lvlJc w:val="left"/>
      <w:pPr>
        <w:ind w:left="720" w:hanging="360"/>
      </w:pPr>
      <w:rPr>
        <w:rFonts w:eastAsia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313"/>
    <w:rsid w:val="00405313"/>
    <w:rsid w:val="005F0A2D"/>
    <w:rsid w:val="00660AF1"/>
    <w:rsid w:val="006F7A1F"/>
    <w:rsid w:val="00736E40"/>
    <w:rsid w:val="00A939ED"/>
    <w:rsid w:val="00BD0521"/>
    <w:rsid w:val="00C953B1"/>
    <w:rsid w:val="00DD3B5C"/>
    <w:rsid w:val="00EC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E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6E4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36E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6E40"/>
  </w:style>
  <w:style w:type="paragraph" w:styleId="Stopka">
    <w:name w:val="footer"/>
    <w:basedOn w:val="Normalny"/>
    <w:link w:val="StopkaZnak"/>
    <w:uiPriority w:val="99"/>
    <w:unhideWhenUsed/>
    <w:rsid w:val="00736E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6E40"/>
  </w:style>
  <w:style w:type="character" w:styleId="Pogrubienie">
    <w:name w:val="Strong"/>
    <w:basedOn w:val="Domylnaczcionkaakapitu"/>
    <w:uiPriority w:val="22"/>
    <w:qFormat/>
    <w:rsid w:val="00BD0521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D05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E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6E4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36E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6E40"/>
  </w:style>
  <w:style w:type="paragraph" w:styleId="Stopka">
    <w:name w:val="footer"/>
    <w:basedOn w:val="Normalny"/>
    <w:link w:val="StopkaZnak"/>
    <w:uiPriority w:val="99"/>
    <w:unhideWhenUsed/>
    <w:rsid w:val="00736E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6E40"/>
  </w:style>
  <w:style w:type="character" w:styleId="Pogrubienie">
    <w:name w:val="Strong"/>
    <w:basedOn w:val="Domylnaczcionkaakapitu"/>
    <w:uiPriority w:val="22"/>
    <w:qFormat/>
    <w:rsid w:val="00BD0521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D05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7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20085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1644</Words>
  <Characters>9865</Characters>
  <Application>Microsoft Office Word</Application>
  <DocSecurity>0</DocSecurity>
  <Lines>82</Lines>
  <Paragraphs>22</Paragraphs>
  <ScaleCrop>false</ScaleCrop>
  <Company/>
  <LinksUpToDate>false</LinksUpToDate>
  <CharactersWithSpaces>11487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2020-11-23T12:25:00Z</dcterms:created>
  <dcterms:modified xsi:type="dcterms:W3CDTF">2020-11-24T09:08:00Z</dcterms:modified>
</cp:coreProperties>
</file>