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5F" w:rsidRPr="003A5330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Remont </w:t>
      </w:r>
      <w:r w:rsidR="00AC391A">
        <w:rPr>
          <w:rFonts w:ascii="Arial" w:hAnsi="Arial" w:cs="Arial"/>
          <w:b/>
          <w:color w:val="000000"/>
          <w:sz w:val="24"/>
          <w:szCs w:val="24"/>
        </w:rPr>
        <w:t>Sali sportowej wraz z przynależnymi pomieszczeniami w SP1 w Śremie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AC391A" w:rsidRPr="00AC391A" w:rsidRDefault="00F00B5F" w:rsidP="00AC391A">
      <w:pPr>
        <w:spacing w:line="240" w:lineRule="auto"/>
        <w:jc w:val="both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AC391A" w:rsidRPr="00AC391A">
        <w:rPr>
          <w:rFonts w:ascii="Arial" w:hAnsi="Arial" w:cs="Arial"/>
          <w:sz w:val="24"/>
          <w:szCs w:val="22"/>
        </w:rPr>
        <w:t>45100000-8, 45214200-2, 45442100-8, 45330000-9</w:t>
      </w:r>
    </w:p>
    <w:p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AC391A">
        <w:rPr>
          <w:rFonts w:ascii="Arial" w:hAnsi="Arial" w:cs="Arial"/>
          <w:bCs/>
          <w:color w:val="000000"/>
          <w:sz w:val="24"/>
          <w:szCs w:val="24"/>
        </w:rPr>
        <w:t>Remont sali sportowej wraz z przynależnymi pomieszcz</w:t>
      </w:r>
      <w:r w:rsidR="00AC391A">
        <w:rPr>
          <w:rFonts w:ascii="Arial" w:hAnsi="Arial" w:cs="Arial"/>
          <w:bCs/>
          <w:color w:val="000000"/>
          <w:sz w:val="24"/>
          <w:szCs w:val="24"/>
        </w:rPr>
        <w:t>e</w:t>
      </w:r>
      <w:r w:rsidR="00AC391A">
        <w:rPr>
          <w:rFonts w:ascii="Arial" w:hAnsi="Arial" w:cs="Arial"/>
          <w:bCs/>
          <w:color w:val="000000"/>
          <w:sz w:val="24"/>
          <w:szCs w:val="24"/>
        </w:rPr>
        <w:t>niami w SP1 w Śremie.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standardowej specyfikacji technicznej (ST) są wymagania ogólne dotyczące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i odbioru robót w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budynek o zabudowie bliźniaczej, szeregowej lub grupowej, sł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żący zaspokajaniu potrzeb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mieszkaniowych, stanowiący konstrukcyjnie samodzielna całość, w którym dopuszcza się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wydzielenie nie więcej niż dwóch lokali mieszkalnych albo jednego lokalu mieszkalnego i lokalu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użytkowego o powierzchni całkowitej 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dynkiem lub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małej architektury, jak: lotniska, drogi, linie kolejowe, mosty, estakady, tunele, sieci techniczne,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wolno stojące maszty antenowe, wolno stojące trwale związane z gruntem urządzenia reklamowe,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budowle ziemne, obronne (fortyf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kacje), ochronne, hydrotechniczne, zbiorniki, wolno stojące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instalacje przemysłowe lub urządzenia techniczne, oczyszczalnie ścieków, składowiska odpadów,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stacje uzdatniania wody, konstrukcje oporowe, nadziemne i podziemne przejścia dla pi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szych, sieci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uzbrojenia terenu, budowle sportowe, cmentarze, pomniki, a także części budowlane urządzeń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(kotłów, pieców przemysłowych i innych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dzeń) oraz fundamenty pod maszyny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urządzenia, jako odrębne pod względem technicznym części przedmiotów składających się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lany przeznaczony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czasowego użytkowania w okresie krótszym od jego trwałości technicznej, przewidziany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przeniesienia w inne miejsce lub rozbiórki, a także obiekt budowlany nie połączony trwale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gruntem, jak: strzelnice, kioski uliczne, paw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lony sprzedaży ulicznej i wystawowe,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przekrycia</w:t>
      </w:r>
      <w:proofErr w:type="spellEnd"/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ślonym miejscu, 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legające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dowlanym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polegających na odtworzeniu stanu pierwotnego, a nie stanowiących bieżącej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zapewniające możliwość użytkowania obiektu zgodnie z jego przeznaczeniem, jak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przyłącza i urządzenia instalacyjne, w tym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 oczyszczaniu lub gromadzeniu ścieków, a także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przejazdy, ogrodzenia, place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wraz z przestrzenia zajmowana przez urządzenia zaplecza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prawny wynikający z prawa własności, użytkowania wieczystego, zarządu, ograniczonego prawa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rzeczowego albo stosunku zobowiązaniowego,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widującego uprawnienia do wykonywania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rozpoczęcie i prowadzenie budowy lub wykonywanie robót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innych niż budowa obiektu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projektem budowlanym, dziennik budowy, protokoły odbiorów częściowych i końcowych, w miarę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potrzeby, rysunki i opisy służące realizacji obie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tu, operaty geodezyjne i książkę obmiarów, a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przypadku realizacji obiektów met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 z naniesionymi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zmianami dokonanymi w toku wykonywania robót oraz geod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zacyjnych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podległych Ministrowi Obrony Narodowej, Ministrowi Spraw Wewnętrznych i Administracji oraz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na wyrobu,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no-budowlanego lub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 specjalistycznego nadzoru budowlanego, stosownie do ich właściwości określonych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o ocenie zgodności,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wytworzony w celu wbudowania, wmontowania, zainstal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lub zastosowania w sposób trwały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obiekcie budowlanym, wprowadzany do obrotu jako wyrób pojedynczy lub jako zestaw wyborów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stosowania we wzaje</w:t>
      </w:r>
      <w:r w:rsidRPr="00F00B5F">
        <w:rPr>
          <w:rFonts w:ascii="Arial" w:hAnsi="Arial" w:cs="Arial"/>
          <w:color w:val="000000"/>
          <w:sz w:val="24"/>
          <w:szCs w:val="24"/>
        </w:rPr>
        <w:t>m</w:t>
      </w:r>
      <w:r w:rsidRPr="00F00B5F">
        <w:rPr>
          <w:rFonts w:ascii="Arial" w:hAnsi="Arial" w:cs="Arial"/>
          <w:color w:val="000000"/>
          <w:sz w:val="24"/>
          <w:szCs w:val="24"/>
        </w:rPr>
        <w:t>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ne w ustawie z dnia 15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2000 r. o samorządach zawodowych architektów, inżynierów budownictwa oraz urbanistów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(Dz. U. z 2001 r.</w:t>
      </w:r>
      <w:r w:rsidR="00AC391A">
        <w:rPr>
          <w:rFonts w:ascii="Arial" w:hAnsi="Arial" w:cs="Arial"/>
          <w:color w:val="000000"/>
          <w:sz w:val="24"/>
          <w:szCs w:val="24"/>
        </w:rPr>
        <w:t xml:space="preserve"> Nr 5, poz. 42 z </w:t>
      </w:r>
      <w:proofErr w:type="spellStart"/>
      <w:r w:rsidR="00AC391A">
        <w:rPr>
          <w:rFonts w:ascii="Arial" w:hAnsi="Arial" w:cs="Arial"/>
          <w:color w:val="000000"/>
          <w:sz w:val="24"/>
          <w:szCs w:val="24"/>
        </w:rPr>
        <w:t>póź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 w otoczeniu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wiązanego za określone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nie przygotowana,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przeznaczona do ruchu pojazdów obsługujących roboty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ne na czas ich wykonywania,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wy organ zgodnie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obowiązującymi przepisami, stanowiący urzędowy dokument przebiegu robót budowlanych oraz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zdarzeń i okoliczności zachodzących w czasie wykonywania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</w:t>
      </w:r>
      <w:r w:rsidRPr="00F00B5F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niona do kierowania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cji kontraktu, ponosząca ustawowa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tora nadzoru książkę 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formie wyliczeń, szkiców i ewentualnie dodatkowych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z ocena jakości stosowanych wyrobów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rodzajów 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rzane jak również różne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tworzywa i wyroby niezbędne do wykonania robót, zgodnie z dokumentacja projektowa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specyfikacjami technicznymi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tolerancjami, a jeśli granice tolerancji nie zostały określone – z przeciętnymi tolerancjami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przyjmowanymi zwyczajowo dla danego rodzaju robót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zyczna będąca autorem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nie i przywrócenie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spełniania przewidywanych funkcji techniczno-użytkowych i możliwa do odebrania i przekazania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rozporządzeniu nr 2195/2002 z dnia 5 listopada 2002 r. w sprawie Wspólnego Słownika Zamówień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pózn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kształcenie techniczne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ca samodzielne funkcje techniczne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budownictwie, której inwestor powierza nadzór nad budowa obiektu budowlanego. Reprezentuje on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maszyn, określająca rodzaje i kolejność lub współzależność czynności obsługi,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przeglądów i zabiegów konserwacyjnych,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kujących ich efektywne i bezpieczne użytkowanie.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Europejski Komitet Standaryzacji elektrotechnicznej (C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NELEC) jako „standardy europejskie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(EN)” lub „dokumenty harmonizacje (HD)”, zgodnie z ogólnymi zasadami działania tych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stawowych w kolejności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technologicznej ich wykonania, ze szczegółowym opisem lub wskazaniem podstaw ustalających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CF6A2D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we do odebrania pod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stworzonych na potrzeby zamówień publicznych. Składa się ze słownika głównego oraz słownika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uzupełniającego. Obowiązuje we wszystkich kr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jach Unii Europejskiej. Zgodnie z postanowieniami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rozporządzenia 2151/2003, st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sowanie kodów CPV do określania przedmiotu zamówienia przez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zamawiających z ówczesnych Państw Członkowskich UE stało się obowiązkowe z dniem 20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ślona w istotnych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postanowieniach umowy, zwana dalej zarządzającym, wyznaczona przez zamawiającego,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upoważniona do nadzorowania realizacji robót i administr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umowa w zakresie określonym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udzielonym pełnomocnictwie (zarządzający realizacja nie jest obecnie prawnie określony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przepisach).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oraz za ich zgodność z dokumentacja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wszystkimi wymaganymi uzgodnieniami prawnymi i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stracyjnymi, poda lokalizacje i współrzędne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punktów głównych obiektu oraz reperów, przekaże dziennik budowy oraz dwa egzemplarze dokumentacji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chwili odbioru końcowego robót. Uszkodzone lub zniszczone punkty pomiarowe Wykonawca odtworzy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nione w choćby jednym z nich są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przypadku rozbieżności w ustaleniach poszczególnych dokumentów obowiązuje kolejność ich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kach umowy”.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Wykonawca nie może wykorzystywać błędów lub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w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mentach kontraktowych, a o ich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cja projektowa i ST.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Wielkości określone w dokumentacji projektowej i w SST będą uważane za wartości docelowe, od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których dopuszczalne są odchylenia w ramach określonego przedziału tolerancji. Cechy materiałów i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projektowa lub ST i maja wpływ na niezadowalająca jakość elementu budowli, to takie materiały zostaną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okresie trwania budowy i wykonywania robót wykończeniowych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b) podejmować wszelkie konieczne kroki mające na celu stosowanie się do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i norm dotyczących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ochrony środowiska na terenie i wokół terenu budowy oraz będzie unikać uszkodzeń lub uciążliwości dla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osób lub własności społecznej, a wyn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kających ze skażenia, hałasu lub innych przyczyn powstałych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wiednimi przepisami,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terenie baz produkcyjnych, w pomieszczeniach biurowych, mieszkalnych i magazynowych oraz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łanym jako rezultat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wierzchni terenu i pod jego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poziomem, takie jak rurociągi, kable itp. Wykonawca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 właściwe oznaczenie i zabezpieczenie przed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i zainteresowanych użytkowników oraz będzie z nimi współpracował, dostarczając wszelkiej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pomocy potrzebnej przy dokonywaniu 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ziemnych wykazanych w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 i wyposażenia na i z terenu robót. Uzyska on wszelkie niezbędne zezwolenia od władz co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przewozu nietypowych wagowo ładunków i w sposób ciągły będzie o każdym takim przewozie powiadamiał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 Pojazdy i ładunki powodujące nadmierne obciążenie osiowe nie będą dopuszczone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świeżo ukończony fragment budowy w obrębie terenu budowy i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 odpowiadał za naprawę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robót w ten sposób uszkodzonych, zgodnie z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niebezpiecznych, szkodliwych dla zdrowia oraz nie spełniających odpowiednich wymagań sanitarnych.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zapewni i będzie utrzymywał wszelkie urządzenia zabezpieczające, socjalne oraz sprzęt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Uznaje się, ze wszelkie koszty związane z wypełnieniem wymagań określonych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wyżej nie podlegają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 używane do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stracji państwowej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samorządowej, które są w jakikolwiek sposób związane z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tami i będzie w pełni odpowiedzialny za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przestrzeganie tych praw, przepisów i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tycznych podczas prowadzenia robót. Np. rozporządzenie Ministra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 i Polityki Socjalnej z dnia 26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września 1997 r. w sprawie ogólnych przepisów be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wszelkich wymagań prawnych odnośnie wykorzystania opatentow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urządzeń lub metod i w sposób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zobowiązany jest do prowadzenia ciągłych badan określonych w ST w celu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aprobatami technicznymi, o których mowa w Szczegółowych Specyfikacjach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 jakichkolwiek złóż miejscowych, włączając w to źródła wskazane przez Zamawiającego i jest zobowiązany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dostarczyć Inspektorowi nadzoru wymagane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boratoryjnych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ściowych materiałów 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formowane w hałdy i wykorzystywane przy zasypce i rekultywacji terenu po ukończeniu robót.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Wszystkie odpowiednie materiały pozyskane z wykopów na terenie budowy lub z innych miejsc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wskazanych w dokumentach umowy będą wykorzystane do robót lub odwiezione na odkład odpowiednio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Eksploatacja źródeł materiałów będzie zgodna z wszelkimi regulacjami prawnymi obowiązującymi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były zabezpieczone przed zanieczyszczeniem, zachowały swoja jakość i właściwość do robót i były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dostępne do kontroli przez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renu budowy w miejscach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 Wykonawca powiadomi Inspektora nadzoru o zamiarze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riału. Wybrany i zaakceptowany rodzaj materiału nie może 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duje niekorzystnego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 powinien być zgodny z oferta Wykonawcy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określonymi w dokumentacji projektowej, ST i wskazaniach Inspektora nadzoru w terminie przewidzianym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stanie i gotowości do pracy. Bedzie spełniał normy ochrony środowiska i przepisy dotyczące jego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wykonywanych robotach, wykonawca powiadomi Inspektora nadzoru o swoim zamiarze wyboru i uzyska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jego akceptacje przed użyciem sprzętu. Wybrany sprzęt, po akceptacji Inspektora nadzoru, nie może 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zmieniany bez jego zgody.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nie wpłyną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niekorzystnie na jakość wykonywanych robót i właściwości przewoż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materiałów.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Liczba środków transportu będzie zapewniać prowadzenie robót zgodnie z zasadami określonymi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projektowej, ST i wskazaniach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Przy ruchu na drogach publicznych pojazdy będą spełniać wymagania dotyczące przepisów ruchu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drogowego w odniesieniu do dopuszczalnych obciążeń na osie i innych parametrów technicznych. Środki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nie odpowiadające warunkom dopuszczalnych obciążeń na osie mogą być dopuszczone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właściwy zarząd drogi pod warunkiem przywrócenia stanu pierwotnego użytkowanych odcinków dróg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pojazdami na drogach publicznych oraz dojazdach do terenu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mentów konstrukcyjnych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E038A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E038A0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konywaniu wszystkich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elementów robót określonych w dokumentacji projektowej lub przekazanych na piśmie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czeniu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 wykonywaniu robót zostaną, jeśli wymagać tego będzie Inspektor nadzoru, poprawione przez Wykonawcę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oparte na wymaganiach sformułowanych w dokumentach umowy, dokumentacji projektowej i w ST, a także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później niż w czasie przez niego wyznaczonym, pod groźba wstrzymania robót. Skutki finansowe z tytułu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programu zapewnienia jakości (PZJ), w którym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stawi on zamierzony sposób wykonania robót,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możliwości techniczne, kadrowe i o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system (sposób i procedurę) proponowanej kontroli i sterowania jakością wykon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snego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wniosków i zastosowanych korekt w procesie technologicznym, proponowany sposób i formę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sprawdzanie urządzeń itp.) prowadzonych podczas dostaw materiałów, wytwarzania mieszanek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riałów. Wykonawca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urządzenia niezbędne do pobierania próbek i badan materiałów oraz robót.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 będzie przeprowadzać pomiary i badania materiałów oraz robót z częstotliwością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ty wykonano zgodnie z wymaganiami zawartymi w dokumentacji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zostały one tam określone, Inspektor nadzoru ustali jaki zakres kontroli jest konieczny, aby zapewnić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nych Wykonawcy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wiek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niedociągnięciach dotyczących urządzeń laboratoryjnych, sprzętu, zaopatrzenia laboratorium, pracy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personelu lub metod badawczych. Jeżeli niedociągnięcia te będą tak poważne, ze mogą wpłynąć ujemnie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</w:t>
      </w:r>
      <w:r w:rsidRPr="00F00B5F">
        <w:rPr>
          <w:rFonts w:ascii="Arial" w:hAnsi="Arial" w:cs="Arial"/>
          <w:color w:val="000000"/>
          <w:sz w:val="24"/>
          <w:szCs w:val="24"/>
        </w:rPr>
        <w:t>h</w:t>
      </w:r>
      <w:r w:rsidRPr="00F00B5F">
        <w:rPr>
          <w:rFonts w:ascii="Arial" w:hAnsi="Arial" w:cs="Arial"/>
          <w:color w:val="000000"/>
          <w:sz w:val="24"/>
          <w:szCs w:val="24"/>
        </w:rPr>
        <w:t>miast wstrzyma użycie do robót badanych materiałów i dopuści je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rania próbek, opartych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będzie mieć zapewniona możliwość udzi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łu w pobieraniu próbek. Na zlecenie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 Wykonawca będzie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prowadzać dodatkowe badania tych materiałów, które budzą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Pojemniki do pobierania próbek będą dostarczone przez Wykonawcę i zatwierdzone przez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powiednio opisane i oznakowane,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sposób zaakceptowany przez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procedury,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Przed przystąpieniem do pomiarów lub badan, Wykonawca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 nadzoru o rodzaju,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miejscu i terminie pomiaru lub badania. Po wykonaniu pomiaru lub badania, Wykonawca przedstawi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piśmie ich wyniki do a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później jednak niż w terminie określonym w programie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pewnienia jakości.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Wyniki badan (kopie) będą przekazywane Inspektorowi nadzoru na formularzach według dostarczonego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zaaprobowanych.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konywania kontroli,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i badania materiałów u źródła ich wytwarzania. Do umożliwienia jemu kontroli zapewniona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ryfikacji systemu kontroli robót prowadzonego przez Wykonawcę,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łów i prowadzić badania niezależnie od Wykonawcy, na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poleci Wykonawcy lub zleci niezależnemu laboratorium przeprowadzenie powtórnych lub dodatkowych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badan, albo oprze się wyłącznie na własnych badaniach przy oc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nie zgodności materiałów i robót 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dokumentacja projektowa i ST. W takim przypa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ku, całkowite koszty powtórnych lub dodatkowych badan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poni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ność z kryteriami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technicznymi określonymi na podstawie Polskich Norm, aprobat technicznych oraz właściwych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przepisów i informacji o ich istnieniu zgodnie z rozp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</w:t>
      </w:r>
      <w:r w:rsidR="00003BAC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aprobata techniczna, w przypadku wyrobów, dla których nie ustanowiono Polskiej Normy, jeżeli nie są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objęte certyfikacja określona w pkt. 1 i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spełniają wymogi ST.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W przypadku materiałów, dla których ww. dokumenty są wymagane przez ST, każda ich partia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dostarczona do robót będzie posiadać te dokumenty, określające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lastRenderedPageBreak/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j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nym numerem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badan z podaniem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Wpis projektanta do dziennika budowy obliguje Inspektora nadzoru do ustosunkow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 Projektant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pu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materiałów, recepty robocze i kontrolne wyniki badan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nawcy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Dokumenty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kumentacja projektowa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 o zakresie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obmierzanych robót i terminie obmiaru, co najmniej na 3 dni przed tym terminem.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sie ofertowym lub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konawcy lub w innym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nych i lub w KNR-ach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oraz KNNR-ach.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posiadać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8.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ewentualnych korekt i poprawek bez hamowania ogólnego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szenia wpisem do dziennika budowy i powiadomienia o tym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fakcie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sieniu do zakresu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dzona przez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mentów, o których mowa w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 zwłaszcza w zakresie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kowych.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 stwierdzenia przez komisje, 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szczególnych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asortymentach nieznacznie odbiega od wymaganej dokumentacja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E038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</w:t>
      </w:r>
      <w:r w:rsidRPr="00F00B5F">
        <w:rPr>
          <w:rFonts w:ascii="Arial" w:hAnsi="Arial" w:cs="Arial"/>
          <w:color w:val="000000"/>
          <w:sz w:val="24"/>
          <w:szCs w:val="24"/>
        </w:rPr>
        <w:t>s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przygotować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katy na znak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 odbioru ostatecznego, komisja w porozumieniu z Wykonawca wyznaczy ponowny termin odbioru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zestawione wg wzoru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nanych robót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wizualnej obiektu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dokumentacji projektowej.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nych ubytków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</w:t>
      </w:r>
      <w:r w:rsidRPr="00F00B5F">
        <w:rPr>
          <w:rFonts w:ascii="Arial" w:hAnsi="Arial" w:cs="Arial"/>
          <w:color w:val="000000"/>
          <w:sz w:val="24"/>
          <w:szCs w:val="24"/>
        </w:rPr>
        <w:t>t</w:t>
      </w:r>
      <w:r w:rsidRPr="00F00B5F">
        <w:rPr>
          <w:rFonts w:ascii="Arial" w:hAnsi="Arial" w:cs="Arial"/>
          <w:color w:val="000000"/>
          <w:sz w:val="24"/>
          <w:szCs w:val="24"/>
        </w:rPr>
        <w:t>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tucjami projektu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organizacji ruchu na czas trwania budowy, wraz z dostarczeniem kopii projektu Inspektorowi nadzoru i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(d) przygotowanie terenu,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(e) konstrukcje tymczasowej nawierzchni, ramp, chodn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, barier,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="00030D30">
        <w:rPr>
          <w:rFonts w:ascii="Arial" w:hAnsi="Arial" w:cs="Arial"/>
          <w:color w:val="000000"/>
          <w:sz w:val="24"/>
          <w:szCs w:val="24"/>
        </w:rPr>
        <w:t xml:space="preserve"> i drenaż</w:t>
      </w:r>
      <w:r w:rsidRPr="00F00B5F">
        <w:rPr>
          <w:rFonts w:ascii="Arial" w:hAnsi="Arial" w:cs="Arial"/>
          <w:color w:val="000000"/>
          <w:sz w:val="24"/>
          <w:szCs w:val="24"/>
        </w:rPr>
        <w:t>u,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usuniecie tymczasowych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oznakowań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2086).</w:t>
      </w:r>
    </w:p>
    <w:p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="00003BAC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mów oceny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waniem CE (Dz. U. Nr 209,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skich aprobat technicznych,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aprobat oraz trybu ich udzielania, uch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lania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zakresu i formy dokumentacji projektowej, specyfikacji technicznych wykonania i odbioru robót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sobów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deklarowania wyrobów budowlanych oraz sposobu znakowania ich znakiem budowlanym (Dz. U. Nr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nej oraz ogłoszenia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dowlanej,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dawczo-Rozwo</w:t>
      </w:r>
      <w:bookmarkStart w:id="0" w:name="_GoBack"/>
      <w:bookmarkEnd w:id="0"/>
      <w:r w:rsidRPr="00F00B5F">
        <w:rPr>
          <w:rFonts w:ascii="Arial" w:hAnsi="Arial" w:cs="Arial"/>
          <w:color w:val="000000"/>
          <w:sz w:val="24"/>
          <w:szCs w:val="24"/>
        </w:rPr>
        <w:t>jowy</w:t>
      </w:r>
      <w:r w:rsidR="00E361B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Techniki Instalacyjnej INSTAL, Warszawa, 2001.</w:t>
      </w:r>
    </w:p>
    <w:sectPr w:rsidR="00CE1AD5" w:rsidRPr="00F00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C30F9"/>
    <w:multiLevelType w:val="hybridMultilevel"/>
    <w:tmpl w:val="E2EAED0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5F"/>
    <w:rsid w:val="00003BAC"/>
    <w:rsid w:val="00030D30"/>
    <w:rsid w:val="003A5330"/>
    <w:rsid w:val="004F7AB6"/>
    <w:rsid w:val="00547A25"/>
    <w:rsid w:val="00AC391A"/>
    <w:rsid w:val="00CE1AD5"/>
    <w:rsid w:val="00CF6A2D"/>
    <w:rsid w:val="00D11360"/>
    <w:rsid w:val="00E038A0"/>
    <w:rsid w:val="00E361B9"/>
    <w:rsid w:val="00F0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7684</Words>
  <Characters>46104</Characters>
  <Application>Microsoft Office Word</Application>
  <DocSecurity>0</DocSecurity>
  <Lines>384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5</cp:revision>
  <dcterms:created xsi:type="dcterms:W3CDTF">2018-05-23T06:58:00Z</dcterms:created>
  <dcterms:modified xsi:type="dcterms:W3CDTF">2018-07-16T07:03:00Z</dcterms:modified>
</cp:coreProperties>
</file>