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34"/>
          <w:szCs w:val="34"/>
          <w:lang w:eastAsia="pl-PL"/>
        </w:rPr>
      </w:pPr>
      <w:r w:rsidRPr="00AA15D5">
        <w:rPr>
          <w:rFonts w:eastAsia="Times New Roman"/>
          <w:b/>
          <w:color w:val="000000"/>
          <w:sz w:val="34"/>
          <w:szCs w:val="34"/>
          <w:lang w:eastAsia="pl-PL"/>
        </w:rPr>
        <w:t xml:space="preserve">KARTA  GWARANCYJNA 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34"/>
          <w:szCs w:val="34"/>
          <w:lang w:eastAsia="pl-PL"/>
        </w:rPr>
      </w:pPr>
      <w:r w:rsidRPr="00AA15D5">
        <w:rPr>
          <w:rFonts w:eastAsia="Times New Roman"/>
          <w:b/>
          <w:color w:val="000000"/>
          <w:sz w:val="34"/>
          <w:szCs w:val="34"/>
          <w:lang w:eastAsia="pl-PL"/>
        </w:rPr>
        <w:t>(Gwarancja Jakości)</w:t>
      </w:r>
    </w:p>
    <w:p w:rsidR="00AA15D5" w:rsidRPr="00AA15D5" w:rsidRDefault="00AA15D5" w:rsidP="00AA15D5">
      <w:pPr>
        <w:spacing w:line="240" w:lineRule="auto"/>
        <w:jc w:val="left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360" w:lineRule="auto"/>
        <w:rPr>
          <w:rFonts w:eastAsia="Times New Roman"/>
          <w:b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 xml:space="preserve">Gwarantem </w:t>
      </w:r>
      <w:r w:rsidRPr="00AA15D5">
        <w:rPr>
          <w:rFonts w:eastAsia="Times New Roman"/>
          <w:color w:val="000000"/>
          <w:sz w:val="26"/>
          <w:szCs w:val="26"/>
          <w:lang w:eastAsia="pl-PL"/>
        </w:rPr>
        <w:t xml:space="preserve">jest </w:t>
      </w:r>
      <w:r w:rsidRPr="00AA15D5">
        <w:rPr>
          <w:rFonts w:eastAsia="Times New Roman"/>
          <w:b/>
          <w:sz w:val="26"/>
          <w:szCs w:val="26"/>
          <w:lang w:eastAsia="pl-PL"/>
        </w:rPr>
        <w:t>…………………………………………</w:t>
      </w:r>
    </w:p>
    <w:p w:rsidR="00AA15D5" w:rsidRPr="00AA15D5" w:rsidRDefault="00AA15D5" w:rsidP="00AA15D5">
      <w:pPr>
        <w:spacing w:line="360" w:lineRule="auto"/>
        <w:rPr>
          <w:rFonts w:eastAsia="Times New Roman"/>
          <w:b/>
          <w:sz w:val="26"/>
          <w:szCs w:val="26"/>
          <w:lang w:eastAsia="pl-PL"/>
        </w:rPr>
      </w:pPr>
      <w:r w:rsidRPr="00AA15D5">
        <w:rPr>
          <w:rFonts w:eastAsia="Times New Roman"/>
          <w:b/>
          <w:sz w:val="26"/>
          <w:szCs w:val="26"/>
          <w:lang w:eastAsia="pl-PL"/>
        </w:rPr>
        <w:t>……………………………………………………………</w:t>
      </w:r>
    </w:p>
    <w:p w:rsidR="00AA15D5" w:rsidRPr="00AA15D5" w:rsidRDefault="00AA15D5" w:rsidP="00AA15D5">
      <w:pPr>
        <w:tabs>
          <w:tab w:val="left" w:pos="4680"/>
          <w:tab w:val="left" w:pos="5760"/>
        </w:tabs>
        <w:spacing w:line="240" w:lineRule="auto"/>
        <w:ind w:left="426" w:hanging="426"/>
        <w:rPr>
          <w:rFonts w:eastAsia="Times New Roman"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 xml:space="preserve">Uprawnionym z tytułu gwarancji </w:t>
      </w:r>
      <w:r w:rsidRPr="00AA15D5">
        <w:rPr>
          <w:rFonts w:eastAsia="Times New Roman"/>
          <w:color w:val="000000"/>
          <w:sz w:val="26"/>
          <w:szCs w:val="26"/>
          <w:lang w:eastAsia="pl-PL"/>
        </w:rPr>
        <w:t xml:space="preserve">jest: </w:t>
      </w:r>
    </w:p>
    <w:p w:rsidR="00AA15D5" w:rsidRPr="00AA15D5" w:rsidRDefault="00AA15D5" w:rsidP="00AA15D5">
      <w:pPr>
        <w:tabs>
          <w:tab w:val="left" w:pos="4680"/>
          <w:tab w:val="left" w:pos="5760"/>
        </w:tabs>
        <w:spacing w:line="240" w:lineRule="auto"/>
        <w:ind w:left="426" w:hanging="426"/>
        <w:rPr>
          <w:rFonts w:eastAsia="Times New Roman"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bCs/>
          <w:sz w:val="26"/>
          <w:szCs w:val="26"/>
          <w:lang w:eastAsia="pl-PL"/>
        </w:rPr>
        <w:t>Gmina Śrem</w:t>
      </w:r>
    </w:p>
    <w:p w:rsidR="00AA15D5" w:rsidRPr="00AA15D5" w:rsidRDefault="00AA15D5" w:rsidP="00AA15D5">
      <w:pPr>
        <w:spacing w:line="240" w:lineRule="auto"/>
        <w:jc w:val="left"/>
        <w:rPr>
          <w:rFonts w:eastAsia="Times New Roman"/>
          <w:b/>
          <w:bCs/>
          <w:sz w:val="26"/>
          <w:szCs w:val="26"/>
          <w:lang w:eastAsia="pl-PL"/>
        </w:rPr>
      </w:pPr>
      <w:r w:rsidRPr="00AA15D5">
        <w:rPr>
          <w:rFonts w:eastAsia="Times New Roman"/>
          <w:b/>
          <w:bCs/>
          <w:sz w:val="26"/>
          <w:szCs w:val="26"/>
          <w:lang w:eastAsia="pl-PL"/>
        </w:rPr>
        <w:t>Plac 20 Października 1</w:t>
      </w:r>
    </w:p>
    <w:p w:rsidR="00AA15D5" w:rsidRPr="00AA15D5" w:rsidRDefault="00AA15D5" w:rsidP="00AA15D5">
      <w:pPr>
        <w:spacing w:line="240" w:lineRule="auto"/>
        <w:jc w:val="left"/>
        <w:rPr>
          <w:rFonts w:eastAsia="Times New Roman"/>
          <w:b/>
          <w:bCs/>
          <w:sz w:val="26"/>
          <w:szCs w:val="26"/>
          <w:lang w:eastAsia="pl-PL"/>
        </w:rPr>
      </w:pPr>
      <w:r w:rsidRPr="00AA15D5">
        <w:rPr>
          <w:rFonts w:eastAsia="Times New Roman"/>
          <w:b/>
          <w:bCs/>
          <w:sz w:val="26"/>
          <w:szCs w:val="26"/>
          <w:lang w:eastAsia="pl-PL"/>
        </w:rPr>
        <w:t>63-100 Śrem</w:t>
      </w:r>
    </w:p>
    <w:p w:rsidR="00AA15D5" w:rsidRPr="00AA15D5" w:rsidRDefault="00AA15D5" w:rsidP="00AA15D5">
      <w:pPr>
        <w:spacing w:line="240" w:lineRule="auto"/>
        <w:jc w:val="left"/>
        <w:rPr>
          <w:rFonts w:eastAsia="Times New Roman"/>
          <w:b/>
          <w:bCs/>
          <w:sz w:val="26"/>
          <w:szCs w:val="26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1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Przedmiot i termin gwarancji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</w:p>
    <w:p w:rsidR="00AA15D5" w:rsidRPr="00AA15D5" w:rsidRDefault="00AA15D5" w:rsidP="00AA15D5">
      <w:pPr>
        <w:numPr>
          <w:ilvl w:val="0"/>
          <w:numId w:val="1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Niniejsza gwarancja obejmuje całość przedmiotu zadania pn.: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szCs w:val="28"/>
          <w:lang w:eastAsia="pl-PL"/>
        </w:rPr>
      </w:pPr>
      <w:r w:rsidRPr="00AA15D5">
        <w:rPr>
          <w:rFonts w:eastAsia="Times New Roman"/>
          <w:b/>
          <w:szCs w:val="28"/>
          <w:lang w:eastAsia="pl-PL"/>
        </w:rPr>
        <w:t>„</w:t>
      </w:r>
      <w:r w:rsidR="0084078E">
        <w:rPr>
          <w:rFonts w:eastAsia="Times New Roman"/>
          <w:b/>
          <w:bCs/>
          <w:szCs w:val="28"/>
          <w:lang w:eastAsia="pl-PL"/>
        </w:rPr>
        <w:t xml:space="preserve">Budowa </w:t>
      </w:r>
      <w:r w:rsidR="009D7CD2">
        <w:rPr>
          <w:rFonts w:eastAsia="Times New Roman"/>
          <w:b/>
          <w:bCs/>
          <w:szCs w:val="28"/>
          <w:lang w:eastAsia="pl-PL"/>
        </w:rPr>
        <w:t>kładki pieszo-rowerowej nad kanałem ulgi rz. Warty oraz wanny żelbetowej pod mostem zabezpieczającej ścieżką przed wodą dziesięcioletnią</w:t>
      </w:r>
      <w:r w:rsidRPr="00AA15D5">
        <w:rPr>
          <w:rFonts w:eastAsia="Times New Roman"/>
          <w:b/>
          <w:szCs w:val="28"/>
          <w:lang w:eastAsia="pl-PL"/>
        </w:rPr>
        <w:t>".</w:t>
      </w:r>
      <w:bookmarkStart w:id="0" w:name="_GoBack"/>
      <w:bookmarkEnd w:id="0"/>
    </w:p>
    <w:p w:rsidR="00AA15D5" w:rsidRPr="00AA15D5" w:rsidRDefault="00AA15D5" w:rsidP="00AA15D5">
      <w:pPr>
        <w:spacing w:line="240" w:lineRule="auto"/>
        <w:ind w:left="284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określonego w umowie oraz w innych dokumentach będących integralną częścią Umowy.</w:t>
      </w:r>
    </w:p>
    <w:p w:rsidR="00AA15D5" w:rsidRPr="00AA15D5" w:rsidRDefault="00AA15D5" w:rsidP="00AA15D5">
      <w:pPr>
        <w:numPr>
          <w:ilvl w:val="0"/>
          <w:numId w:val="1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Gwarant odpowiada wobec Zamawiającego z tytułu niniejszej karty Gwarancyjnej za cały przedmiot Umowy, w tym także za części realizowane przez podwykonawców. Gwarant jest odpowiedzialny wobec zamawiającego za realizację wszystkich zobowiązań, o których mowa w § 1 umowy.</w:t>
      </w:r>
    </w:p>
    <w:p w:rsidR="00AA15D5" w:rsidRPr="00AA15D5" w:rsidRDefault="00AA15D5" w:rsidP="00AA15D5">
      <w:pPr>
        <w:numPr>
          <w:ilvl w:val="0"/>
          <w:numId w:val="1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Termin gwarancji wynosi 60 miesięcy od daty protokolarnego bezusterkowego odbioru robót.</w:t>
      </w:r>
    </w:p>
    <w:p w:rsidR="00AA15D5" w:rsidRPr="00AA15D5" w:rsidRDefault="00AA15D5" w:rsidP="00AA15D5">
      <w:pPr>
        <w:numPr>
          <w:ilvl w:val="0"/>
          <w:numId w:val="1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Ilekroć w niniejszej Karcie Gwarancyjnej jest mowa o wadzie należy przez to rozumieć wadę fizyczną, o której mowa w art. 556 §1 k.c.</w:t>
      </w:r>
    </w:p>
    <w:p w:rsidR="00AA15D5" w:rsidRPr="00AA15D5" w:rsidRDefault="00AA15D5" w:rsidP="00AA15D5">
      <w:pPr>
        <w:spacing w:line="240" w:lineRule="auto"/>
        <w:ind w:left="284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2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Obowiązki i uprawnienia stron</w:t>
      </w:r>
    </w:p>
    <w:p w:rsidR="00AA15D5" w:rsidRPr="00AA15D5" w:rsidRDefault="00AA15D5" w:rsidP="00AA15D5">
      <w:pPr>
        <w:numPr>
          <w:ilvl w:val="0"/>
          <w:numId w:val="2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b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 przypadku wystąpienia jakiejkolwiek wady w przedmiocie Umowy Zamawiający jest uprawniony do:</w:t>
      </w:r>
    </w:p>
    <w:p w:rsidR="00AA15D5" w:rsidRPr="00AA15D5" w:rsidRDefault="00AA15D5" w:rsidP="00AA15D5">
      <w:pPr>
        <w:spacing w:line="240" w:lineRule="auto"/>
        <w:ind w:left="360"/>
        <w:rPr>
          <w:rFonts w:eastAsia="Times New Roman"/>
          <w:b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żądania usunięcia wady przedmiotu Umowy, a w przypadku, gdy dana rzecz wchodząca w zakres przedmiotu Umowy była już dwukrotnie naprawiana do żądania wymiany tej rzeczy na nową, wolną od wad;</w:t>
      </w: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wskazania trybu usunięcia wady/wymiany rzeczy na wolną od wad;</w:t>
      </w: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żądania od Gwaranta odszkodowania (obejmującego zarówno poniesione straty, jak i utracone korzyści), jakiej doznał Zamawiający lub osoby trzecie na skutek wystąpienia wad;</w:t>
      </w: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żądania od Gwaranta kary umownej za nieterminowe przystąpienie do usuwania wad/wymiany rzeczy na wolną od wad w wysokości 0,5 % wynagrodzenia umownego brutto za każdy dzień zwłoki;</w:t>
      </w: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lastRenderedPageBreak/>
        <w:t>żądania od Gwaranta kary umownej za nieterminowe usunięcie wad/wymianę rzeczy na wolną od wad w wysokości 0,5 % wynagrodzenia umownego brutto za każdy dzień zwłoki;</w:t>
      </w:r>
    </w:p>
    <w:p w:rsidR="00AA15D5" w:rsidRPr="00AA15D5" w:rsidRDefault="00AA15D5" w:rsidP="00AA15D5">
      <w:pPr>
        <w:numPr>
          <w:ilvl w:val="0"/>
          <w:numId w:val="3"/>
        </w:numPr>
        <w:tabs>
          <w:tab w:val="num" w:pos="1418"/>
        </w:tabs>
        <w:spacing w:line="240" w:lineRule="auto"/>
        <w:ind w:left="1418" w:hanging="425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żądania od Gwaranta odszkodowania za nieterminowe usunięcia wad/wymianę rzeczy na wolne od wad w wysokości przewyższającej kwotę kary umownej, o której mowa w lit d i e</w:t>
      </w:r>
    </w:p>
    <w:p w:rsidR="00AA15D5" w:rsidRPr="00AA15D5" w:rsidRDefault="00AA15D5" w:rsidP="00AA15D5">
      <w:pPr>
        <w:numPr>
          <w:ilvl w:val="0"/>
          <w:numId w:val="2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W przypadku wystąpienia jakiejkolwiek wady w przedmiocie Umowy Gwarant jest zobowiązany do: </w:t>
      </w:r>
    </w:p>
    <w:p w:rsidR="00AA15D5" w:rsidRPr="00AA15D5" w:rsidRDefault="00AA15D5" w:rsidP="00AA15D5">
      <w:pPr>
        <w:numPr>
          <w:ilvl w:val="0"/>
          <w:numId w:val="4"/>
        </w:numPr>
        <w:tabs>
          <w:tab w:val="num" w:pos="1418"/>
        </w:tabs>
        <w:spacing w:line="240" w:lineRule="auto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 terminowego spełnienia żądania Zamawiającego dotyczącego usunięcia wady, przy czym usunięcie wady może nastąpić również poprzez wymianę rzeczy wchodzącej w zakres przedmiotu Umowy na wolną od wad;</w:t>
      </w:r>
    </w:p>
    <w:p w:rsidR="00AA15D5" w:rsidRPr="00AA15D5" w:rsidRDefault="00AA15D5" w:rsidP="00AA15D5">
      <w:pPr>
        <w:numPr>
          <w:ilvl w:val="0"/>
          <w:numId w:val="4"/>
        </w:numPr>
        <w:tabs>
          <w:tab w:val="num" w:pos="1418"/>
        </w:tabs>
        <w:spacing w:line="240" w:lineRule="auto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terminowego spełnienia Zamawiającego dotyczącego wymiany rzeczy na wolną od wad.</w:t>
      </w:r>
    </w:p>
    <w:p w:rsidR="00AA15D5" w:rsidRPr="00AA15D5" w:rsidRDefault="00AA15D5" w:rsidP="00AA15D5">
      <w:pPr>
        <w:spacing w:line="240" w:lineRule="auto"/>
        <w:ind w:left="284" w:hanging="284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3.</w:t>
      </w:r>
      <w:r w:rsidRPr="00AA15D5">
        <w:rPr>
          <w:rFonts w:eastAsia="Times New Roman"/>
          <w:color w:val="000000"/>
          <w:sz w:val="25"/>
          <w:szCs w:val="25"/>
          <w:lang w:eastAsia="pl-PL"/>
        </w:rPr>
        <w:tab/>
        <w:t xml:space="preserve">Ilekroć w dalszych postanowieniach jest mowa o </w:t>
      </w:r>
      <w:r w:rsidRPr="00AA15D5">
        <w:rPr>
          <w:rFonts w:eastAsia="Times New Roman"/>
          <w:i/>
          <w:color w:val="000000"/>
          <w:sz w:val="25"/>
          <w:szCs w:val="25"/>
          <w:lang w:eastAsia="pl-PL"/>
        </w:rPr>
        <w:t>„usunięciu wady”</w:t>
      </w: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 należy przez to rozumieć również wymianę rzeczy wchodzących w zakres przedmiotu Umowy na wolną od wad. </w:t>
      </w:r>
    </w:p>
    <w:p w:rsidR="00AA15D5" w:rsidRPr="00AA15D5" w:rsidRDefault="00AA15D5" w:rsidP="00AA15D5">
      <w:pPr>
        <w:spacing w:line="240" w:lineRule="auto"/>
        <w:ind w:left="284" w:hanging="284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3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Przeglądy gwarancyjne</w:t>
      </w:r>
    </w:p>
    <w:p w:rsidR="00AA15D5" w:rsidRPr="00AA15D5" w:rsidRDefault="00AA15D5" w:rsidP="00AA15D5">
      <w:pPr>
        <w:spacing w:line="240" w:lineRule="auto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numPr>
          <w:ilvl w:val="0"/>
          <w:numId w:val="5"/>
        </w:numPr>
        <w:tabs>
          <w:tab w:val="num" w:pos="284"/>
        </w:tabs>
        <w:spacing w:line="240" w:lineRule="auto"/>
        <w:ind w:hanging="720"/>
        <w:jc w:val="left"/>
        <w:rPr>
          <w:rFonts w:eastAsia="Times New Roman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Komisyjne przeglądy gwarancyjne odbywać się będą </w:t>
      </w:r>
      <w:r w:rsidRPr="00AA15D5">
        <w:rPr>
          <w:rFonts w:eastAsia="Times New Roman"/>
          <w:sz w:val="25"/>
          <w:szCs w:val="25"/>
          <w:lang w:eastAsia="pl-PL"/>
        </w:rPr>
        <w:t>co 12 miesięcy w okresie obowiązywania  niniejszej gwarancji.</w:t>
      </w:r>
    </w:p>
    <w:p w:rsidR="00AA15D5" w:rsidRPr="00AA15D5" w:rsidRDefault="00AA15D5" w:rsidP="00AA15D5">
      <w:pPr>
        <w:numPr>
          <w:ilvl w:val="0"/>
          <w:numId w:val="5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Datę, godzinę i miejsce dokonania przeglądu gwarancyjnego wyznacza Zamawiający, zawiadamiając o nim Gwaranta na piśmie z co najmniej 14 dniowym wyprzedzeniem. </w:t>
      </w:r>
    </w:p>
    <w:p w:rsidR="00AA15D5" w:rsidRPr="00AA15D5" w:rsidRDefault="00AA15D5" w:rsidP="00AA15D5">
      <w:pPr>
        <w:numPr>
          <w:ilvl w:val="0"/>
          <w:numId w:val="5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W skład komisji przeglądowej będą wchodziły co najmniej 2 osoby wyznaczone przez Zamawiającego oraz co najmniej 2 osoby wyznaczone przez Gwaranta. </w:t>
      </w:r>
    </w:p>
    <w:p w:rsidR="00AA15D5" w:rsidRPr="00AA15D5" w:rsidRDefault="00AA15D5" w:rsidP="00AA15D5">
      <w:pPr>
        <w:numPr>
          <w:ilvl w:val="0"/>
          <w:numId w:val="5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:rsidR="00AA15D5" w:rsidRPr="00AA15D5" w:rsidRDefault="00AA15D5" w:rsidP="00AA15D5">
      <w:pPr>
        <w:numPr>
          <w:ilvl w:val="0"/>
          <w:numId w:val="5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 jeden egzemplarz Protokołu Przeglądu. </w:t>
      </w:r>
    </w:p>
    <w:p w:rsidR="00AA15D5" w:rsidRPr="00AA15D5" w:rsidRDefault="00AA15D5" w:rsidP="00AA15D5">
      <w:pPr>
        <w:spacing w:line="240" w:lineRule="auto"/>
        <w:ind w:left="284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4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Wezwanie do usunięcia wad</w:t>
      </w:r>
    </w:p>
    <w:p w:rsidR="00AA15D5" w:rsidRPr="00AA15D5" w:rsidRDefault="00AA15D5" w:rsidP="00AA15D5">
      <w:pPr>
        <w:spacing w:line="240" w:lineRule="auto"/>
        <w:rPr>
          <w:rFonts w:eastAsia="Times New Roman"/>
          <w:b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wady.</w:t>
      </w:r>
    </w:p>
    <w:p w:rsidR="00AA15D5" w:rsidRPr="00AA15D5" w:rsidRDefault="00AA15D5" w:rsidP="00AA15D5">
      <w:pPr>
        <w:spacing w:line="240" w:lineRule="auto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5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Tryby usuwania wad</w:t>
      </w:r>
    </w:p>
    <w:p w:rsidR="00AA15D5" w:rsidRPr="00AA15D5" w:rsidRDefault="00AA15D5" w:rsidP="00AA15D5">
      <w:pPr>
        <w:numPr>
          <w:ilvl w:val="0"/>
          <w:numId w:val="6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Gwarant obowiązany jest przystąpić do usuwania ujawnionej wady w ciągu 2 dni od daty otrzymania wezwania, o którym mowa w § 4 lub daty sporządzenia Protokołu </w:t>
      </w:r>
      <w:r w:rsidRPr="00AA15D5">
        <w:rPr>
          <w:rFonts w:eastAsia="Times New Roman"/>
          <w:color w:val="000000"/>
          <w:sz w:val="25"/>
          <w:szCs w:val="25"/>
          <w:lang w:eastAsia="pl-PL"/>
        </w:rPr>
        <w:lastRenderedPageBreak/>
        <w:t>Przeglądu Gwarancyjnego. Termin usuwania wad nie może być dłuższy niż 21 dni od daty przystąpienia do usuwania awarii (tryb zwykły).</w:t>
      </w:r>
    </w:p>
    <w:p w:rsidR="00AA15D5" w:rsidRPr="00AA15D5" w:rsidRDefault="00AA15D5" w:rsidP="00AA15D5">
      <w:pPr>
        <w:numPr>
          <w:ilvl w:val="0"/>
          <w:numId w:val="6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Usunięcie wad uważa się za skuteczne z chwilą podpisania przez obie strony Protokołu odbioru prac z usuwania wad.</w:t>
      </w:r>
    </w:p>
    <w:p w:rsidR="00AA15D5" w:rsidRPr="00AA15D5" w:rsidRDefault="00AA15D5" w:rsidP="00AA15D5">
      <w:pPr>
        <w:numPr>
          <w:ilvl w:val="0"/>
          <w:numId w:val="6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awaria zostanie usunięta przez Wykonawcę w ciągu 72 godzin. Wykonawca zostanie powiadomiony o takiej awarii w ciągu 12 godzin od jej wystąpienia (tryb awaryjny). </w:t>
      </w:r>
    </w:p>
    <w:p w:rsidR="00AA15D5" w:rsidRPr="00AA15D5" w:rsidRDefault="00AA15D5" w:rsidP="00AA15D5">
      <w:pPr>
        <w:numPr>
          <w:ilvl w:val="0"/>
          <w:numId w:val="6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Strony mogą ustanowić osobne porozumienie o usuwaniu wad w trybie awaryjnym przez służby Użytkownika na koszt Wykonawcy.</w:t>
      </w:r>
    </w:p>
    <w:p w:rsidR="00AA15D5" w:rsidRPr="00AA15D5" w:rsidRDefault="00AA15D5" w:rsidP="00AA15D5">
      <w:pPr>
        <w:spacing w:line="240" w:lineRule="auto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6</w:t>
      </w:r>
    </w:p>
    <w:p w:rsidR="00AA15D5" w:rsidRPr="00AA15D5" w:rsidRDefault="00AA15D5" w:rsidP="00AA15D5">
      <w:pPr>
        <w:spacing w:line="240" w:lineRule="auto"/>
        <w:ind w:left="360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Komunikacja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Wszelka komunikacja pomiędzy stronami wymaga zachowania formy pisemnej.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 Komunikacja za pomocą telefaksu  będzie uważana za prowadzoną w formie pisemnej, o ile treść telefaksu zostanie niezwłocznie potwierdzona na piśmie, tj. poprzez nadanie w dniu wysłania telefaksu listu potwierdzającego treść telefaksu lub e-mail. Data otrzymania tak potwierdzonego telefaksu będzie uważana za datę otrzymania pisma. 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Wszelkie pisma skierowane do Gwaranta należy wysyłać na adres:</w:t>
      </w:r>
    </w:p>
    <w:p w:rsidR="00AA15D5" w:rsidRPr="00AA15D5" w:rsidRDefault="00AA15D5" w:rsidP="00AA15D5">
      <w:pPr>
        <w:spacing w:line="360" w:lineRule="auto"/>
        <w:rPr>
          <w:rFonts w:eastAsia="Times New Roman"/>
          <w:b/>
          <w:sz w:val="30"/>
          <w:szCs w:val="30"/>
          <w:lang w:eastAsia="pl-PL"/>
        </w:rPr>
      </w:pPr>
      <w:r w:rsidRPr="00AA15D5">
        <w:rPr>
          <w:rFonts w:eastAsia="Times New Roman"/>
          <w:b/>
          <w:sz w:val="30"/>
          <w:szCs w:val="30"/>
          <w:lang w:eastAsia="pl-PL"/>
        </w:rPr>
        <w:t>……………………………………………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Wszelkie pisma skierowane do Zamawiającego należy wysyłać na adres:</w:t>
      </w:r>
    </w:p>
    <w:p w:rsidR="00AA15D5" w:rsidRPr="00AA15D5" w:rsidRDefault="00AA15D5" w:rsidP="00AA15D5">
      <w:pPr>
        <w:tabs>
          <w:tab w:val="left" w:pos="4680"/>
          <w:tab w:val="left" w:pos="5760"/>
        </w:tabs>
        <w:spacing w:line="240" w:lineRule="auto"/>
        <w:rPr>
          <w:rFonts w:eastAsia="Times New Roman"/>
          <w:b/>
          <w:color w:val="000000"/>
          <w:sz w:val="30"/>
          <w:szCs w:val="30"/>
          <w:lang w:eastAsia="pl-PL"/>
        </w:rPr>
      </w:pPr>
      <w:r w:rsidRPr="00AA15D5">
        <w:rPr>
          <w:rFonts w:eastAsia="Times New Roman"/>
          <w:b/>
          <w:color w:val="000000"/>
          <w:sz w:val="30"/>
          <w:szCs w:val="30"/>
          <w:lang w:eastAsia="pl-PL"/>
        </w:rPr>
        <w:t>Gmina Śrem, Pl. 20 Października 1, 63-100 Śrem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O zmianach w danych teleadresowych, o których mowa w ust. 3 i 4 strony obowiązane są informować się niezwłocznie, nie później niż 7 dni od chwili zaistnienia zmian, pod rygorem uznania wysłania korespondencji pod ostatnio znany adres za skutecznie doręczony </w:t>
      </w:r>
    </w:p>
    <w:p w:rsidR="00AA15D5" w:rsidRPr="00AA15D5" w:rsidRDefault="00AA15D5" w:rsidP="00AA15D5">
      <w:pPr>
        <w:numPr>
          <w:ilvl w:val="0"/>
          <w:numId w:val="7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Gwarant jest obowiązany w terminie 7 dni od daty złożenia wniosku o upadłość lub likwidację powiadomić na piśmie o tym fakcie Zamawiającego. </w:t>
      </w:r>
    </w:p>
    <w:p w:rsidR="00AA15D5" w:rsidRPr="00AA15D5" w:rsidRDefault="00AA15D5" w:rsidP="00AA15D5">
      <w:pPr>
        <w:spacing w:line="240" w:lineRule="auto"/>
        <w:ind w:left="284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§ 7</w:t>
      </w:r>
    </w:p>
    <w:p w:rsidR="00AA15D5" w:rsidRPr="00AA15D5" w:rsidRDefault="00AA15D5" w:rsidP="00AA15D5">
      <w:pPr>
        <w:spacing w:line="240" w:lineRule="auto"/>
        <w:jc w:val="center"/>
        <w:rPr>
          <w:rFonts w:eastAsia="Times New Roman"/>
          <w:b/>
          <w:color w:val="000000"/>
          <w:sz w:val="26"/>
          <w:szCs w:val="26"/>
          <w:lang w:eastAsia="pl-PL"/>
        </w:rPr>
      </w:pPr>
      <w:r w:rsidRPr="00AA15D5">
        <w:rPr>
          <w:rFonts w:eastAsia="Times New Roman"/>
          <w:b/>
          <w:color w:val="000000"/>
          <w:sz w:val="26"/>
          <w:szCs w:val="26"/>
          <w:lang w:eastAsia="pl-PL"/>
        </w:rPr>
        <w:t>Postanowienia końcowe</w:t>
      </w:r>
    </w:p>
    <w:p w:rsidR="00AA15D5" w:rsidRPr="00AA15D5" w:rsidRDefault="00AA15D5" w:rsidP="00AA15D5">
      <w:pPr>
        <w:numPr>
          <w:ilvl w:val="0"/>
          <w:numId w:val="8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W sprawach nieuregulowanych zastosowanie mają odpowiednie przepisy prawa polskiego, w szczególności kodeksu cywilnego oraz ustawy z dnia 29 stycznia 2004 r. Prawo zamówień publicznych (Dz. U. z 2017 r., poz. 1579 z </w:t>
      </w:r>
      <w:proofErr w:type="spellStart"/>
      <w:r w:rsidRPr="00AA15D5">
        <w:rPr>
          <w:rFonts w:eastAsia="Times New Roman"/>
          <w:color w:val="000000"/>
          <w:sz w:val="25"/>
          <w:szCs w:val="25"/>
          <w:lang w:eastAsia="pl-PL"/>
        </w:rPr>
        <w:t>późn</w:t>
      </w:r>
      <w:proofErr w:type="spellEnd"/>
      <w:r w:rsidRPr="00AA15D5">
        <w:rPr>
          <w:rFonts w:eastAsia="Times New Roman"/>
          <w:color w:val="000000"/>
          <w:sz w:val="25"/>
          <w:szCs w:val="25"/>
          <w:lang w:eastAsia="pl-PL"/>
        </w:rPr>
        <w:t>. zm.)</w:t>
      </w:r>
    </w:p>
    <w:p w:rsidR="00AA15D5" w:rsidRPr="00AA15D5" w:rsidRDefault="00AA15D5" w:rsidP="00AA15D5">
      <w:pPr>
        <w:numPr>
          <w:ilvl w:val="0"/>
          <w:numId w:val="8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Wszelkie zmiany niniejszej Karty Gwarancyjnej wymagają formy pisemnej pod rygorem nieważności.</w:t>
      </w:r>
    </w:p>
    <w:p w:rsidR="00AA15D5" w:rsidRPr="00AA15D5" w:rsidRDefault="00AA15D5" w:rsidP="00AA15D5">
      <w:pPr>
        <w:numPr>
          <w:ilvl w:val="0"/>
          <w:numId w:val="8"/>
        </w:numPr>
        <w:tabs>
          <w:tab w:val="num" w:pos="284"/>
        </w:tabs>
        <w:spacing w:line="240" w:lineRule="auto"/>
        <w:ind w:left="284" w:hanging="284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>Niniejszą kartę Gwarancyjną sporządzono w czterech egzemplarzach na prawach oryginału, 3 dla Zamawiającego 1 dla Wykonawcy.</w:t>
      </w:r>
    </w:p>
    <w:p w:rsidR="00AA15D5" w:rsidRPr="00AA15D5" w:rsidRDefault="00AA15D5" w:rsidP="00AA15D5">
      <w:pPr>
        <w:spacing w:line="240" w:lineRule="auto"/>
        <w:ind w:left="708"/>
        <w:jc w:val="left"/>
        <w:rPr>
          <w:rFonts w:eastAsia="Times New Roman"/>
          <w:color w:val="000000"/>
          <w:sz w:val="25"/>
          <w:szCs w:val="25"/>
          <w:lang w:eastAsia="pl-PL"/>
        </w:rPr>
      </w:pPr>
    </w:p>
    <w:p w:rsidR="00AA15D5" w:rsidRPr="00AA15D5" w:rsidRDefault="00AA15D5" w:rsidP="00AA15D5">
      <w:pPr>
        <w:spacing w:line="240" w:lineRule="auto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color w:val="000000"/>
          <w:sz w:val="25"/>
          <w:szCs w:val="25"/>
          <w:lang w:eastAsia="pl-PL"/>
        </w:rPr>
        <w:t xml:space="preserve"> </w:t>
      </w:r>
    </w:p>
    <w:p w:rsidR="00AA15D5" w:rsidRPr="00AA15D5" w:rsidRDefault="00AA15D5" w:rsidP="00AA15D5">
      <w:pPr>
        <w:spacing w:before="240" w:line="240" w:lineRule="auto"/>
        <w:ind w:left="4963" w:right="-567"/>
        <w:jc w:val="left"/>
        <w:rPr>
          <w:rFonts w:eastAsia="Times New Roman"/>
          <w:color w:val="000000"/>
          <w:sz w:val="25"/>
          <w:szCs w:val="25"/>
          <w:lang w:eastAsia="pl-PL"/>
        </w:rPr>
      </w:pPr>
      <w:r w:rsidRPr="00AA15D5">
        <w:rPr>
          <w:rFonts w:eastAsia="Times New Roman"/>
          <w:b/>
          <w:color w:val="000000"/>
          <w:sz w:val="25"/>
          <w:szCs w:val="25"/>
          <w:lang w:eastAsia="pl-PL"/>
        </w:rPr>
        <w:t>WYKONAWCA:</w:t>
      </w:r>
    </w:p>
    <w:p w:rsidR="00C739A9" w:rsidRDefault="00C739A9"/>
    <w:sectPr w:rsidR="00C739A9" w:rsidSect="00F264F2">
      <w:headerReference w:type="default" r:id="rId9"/>
      <w:pgSz w:w="11906" w:h="16838"/>
      <w:pgMar w:top="1417" w:right="1417" w:bottom="1417" w:left="1417" w:header="454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041" w:rsidRDefault="006C6041" w:rsidP="00F264F2">
      <w:pPr>
        <w:spacing w:line="240" w:lineRule="auto"/>
      </w:pPr>
      <w:r>
        <w:separator/>
      </w:r>
    </w:p>
  </w:endnote>
  <w:endnote w:type="continuationSeparator" w:id="0">
    <w:p w:rsidR="006C6041" w:rsidRDefault="006C6041" w:rsidP="00F264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041" w:rsidRDefault="006C6041" w:rsidP="00F264F2">
      <w:pPr>
        <w:spacing w:line="240" w:lineRule="auto"/>
      </w:pPr>
      <w:r>
        <w:separator/>
      </w:r>
    </w:p>
  </w:footnote>
  <w:footnote w:type="continuationSeparator" w:id="0">
    <w:p w:rsidR="006C6041" w:rsidRDefault="006C6041" w:rsidP="00F264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4F2" w:rsidRDefault="00F264F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A6276F4" wp14:editId="6E7A3299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34AD07D" wp14:editId="582D28B2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2" name="Obraz 2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77F13F9" wp14:editId="412E1318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3" name="Obraz 3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1F9F5F2E" wp14:editId="40132AEC">
          <wp:extent cx="1344305" cy="688637"/>
          <wp:effectExtent l="0" t="0" r="8255" b="0"/>
          <wp:docPr id="1" name="Obraz 1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C7FA6"/>
    <w:multiLevelType w:val="hybridMultilevel"/>
    <w:tmpl w:val="84AEA2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F72051"/>
    <w:multiLevelType w:val="hybridMultilevel"/>
    <w:tmpl w:val="C43843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A35B18"/>
    <w:multiLevelType w:val="hybridMultilevel"/>
    <w:tmpl w:val="E6E80D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263947"/>
    <w:multiLevelType w:val="hybridMultilevel"/>
    <w:tmpl w:val="0EC8630E"/>
    <w:lvl w:ilvl="0" w:tplc="7EC272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402265"/>
    <w:multiLevelType w:val="hybridMultilevel"/>
    <w:tmpl w:val="76DC3C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7B3CAA"/>
    <w:multiLevelType w:val="hybridMultilevel"/>
    <w:tmpl w:val="2E3C3F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4C72FB3"/>
    <w:multiLevelType w:val="hybridMultilevel"/>
    <w:tmpl w:val="BBB8383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A97FBC"/>
    <w:multiLevelType w:val="hybridMultilevel"/>
    <w:tmpl w:val="7BEEF4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FECB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4F2"/>
    <w:rsid w:val="002C4742"/>
    <w:rsid w:val="00491BC9"/>
    <w:rsid w:val="006C6041"/>
    <w:rsid w:val="0084078E"/>
    <w:rsid w:val="009D7CD2"/>
    <w:rsid w:val="00AA15D5"/>
    <w:rsid w:val="00BC5BC0"/>
    <w:rsid w:val="00C739A9"/>
    <w:rsid w:val="00DC39D7"/>
    <w:rsid w:val="00F2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1BC9"/>
    <w:pPr>
      <w:spacing w:line="276" w:lineRule="auto"/>
      <w:jc w:val="both"/>
    </w:pPr>
    <w:rPr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64F2"/>
    <w:rPr>
      <w:szCs w:val="22"/>
    </w:rPr>
  </w:style>
  <w:style w:type="paragraph" w:styleId="Stopka">
    <w:name w:val="footer"/>
    <w:basedOn w:val="Normalny"/>
    <w:link w:val="StopkaZnak"/>
    <w:uiPriority w:val="99"/>
    <w:unhideWhenUsed/>
    <w:rsid w:val="00F264F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64F2"/>
    <w:rPr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64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D4BB3-7C8D-4D12-88FE-F543F19C9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926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Wasielewski</dc:creator>
  <cp:lastModifiedBy>Izabela Jarczyńska</cp:lastModifiedBy>
  <cp:revision>6</cp:revision>
  <dcterms:created xsi:type="dcterms:W3CDTF">2019-01-15T07:13:00Z</dcterms:created>
  <dcterms:modified xsi:type="dcterms:W3CDTF">2019-12-03T07:16:00Z</dcterms:modified>
</cp:coreProperties>
</file>