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D0BF6" w14:textId="77777777" w:rsidR="00ED63A5" w:rsidRDefault="00ED63A5" w:rsidP="00ED63A5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333333"/>
        </w:rPr>
        <w:t>Szanowni Państwo,</w:t>
      </w:r>
    </w:p>
    <w:p w14:paraId="47F0D1C8" w14:textId="77777777" w:rsidR="00ED63A5" w:rsidRDefault="00ED63A5" w:rsidP="00ED63A5">
      <w:pPr>
        <w:rPr>
          <w:rFonts w:ascii="Calibri" w:hAnsi="Calibri" w:cs="Calibri"/>
          <w:color w:val="000000"/>
        </w:rPr>
      </w:pPr>
    </w:p>
    <w:p w14:paraId="7CACB155" w14:textId="77777777" w:rsidR="00ED63A5" w:rsidRDefault="00ED63A5" w:rsidP="00ED63A5">
      <w:pPr>
        <w:rPr>
          <w:color w:val="000000"/>
        </w:rPr>
      </w:pPr>
      <w:r>
        <w:rPr>
          <w:rFonts w:ascii="Arial" w:hAnsi="Arial" w:cs="Arial"/>
          <w:color w:val="333333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333333"/>
        </w:rPr>
        <w:t xml:space="preserve">kancelarią SENDERO </w:t>
      </w:r>
      <w:proofErr w:type="spellStart"/>
      <w:r>
        <w:rPr>
          <w:rFonts w:ascii="Arial" w:hAnsi="Arial" w:cs="Arial"/>
          <w:b/>
          <w:bCs/>
          <w:color w:val="333333"/>
        </w:rPr>
        <w:t>Tax</w:t>
      </w:r>
      <w:proofErr w:type="spellEnd"/>
      <w:r>
        <w:rPr>
          <w:rFonts w:ascii="Arial" w:hAnsi="Arial" w:cs="Arial"/>
          <w:b/>
          <w:bCs/>
          <w:color w:val="333333"/>
        </w:rPr>
        <w:t xml:space="preserve"> &amp; </w:t>
      </w:r>
      <w:proofErr w:type="spellStart"/>
      <w:r>
        <w:rPr>
          <w:rFonts w:ascii="Arial" w:hAnsi="Arial" w:cs="Arial"/>
          <w:b/>
          <w:bCs/>
          <w:color w:val="333333"/>
        </w:rPr>
        <w:t>Legal</w:t>
      </w:r>
      <w:proofErr w:type="spellEnd"/>
      <w:r>
        <w:rPr>
          <w:rFonts w:ascii="Arial" w:hAnsi="Arial" w:cs="Arial"/>
          <w:b/>
          <w:bCs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zaprasza na </w:t>
      </w:r>
      <w:r>
        <w:rPr>
          <w:rFonts w:ascii="Arial" w:hAnsi="Arial" w:cs="Arial"/>
          <w:b/>
          <w:bCs/>
          <w:color w:val="333333"/>
        </w:rPr>
        <w:t>bezpłatne webinarium</w:t>
      </w:r>
      <w:r>
        <w:rPr>
          <w:rFonts w:ascii="Arial" w:hAnsi="Arial" w:cs="Arial"/>
          <w:color w:val="333333"/>
        </w:rPr>
        <w:t>:</w:t>
      </w:r>
    </w:p>
    <w:p w14:paraId="081BF541" w14:textId="77777777" w:rsidR="00ED63A5" w:rsidRDefault="00ED63A5" w:rsidP="00ED63A5">
      <w:pPr>
        <w:shd w:val="clear" w:color="auto" w:fill="FDFCFB"/>
        <w:textAlignment w:val="baseline"/>
        <w:rPr>
          <w:color w:val="000000"/>
        </w:rPr>
      </w:pPr>
    </w:p>
    <w:p w14:paraId="339C7D54" w14:textId="77777777" w:rsidR="00ED63A5" w:rsidRDefault="00ED63A5" w:rsidP="00ED63A5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6"/>
          <w:szCs w:val="26"/>
        </w:rPr>
        <w:t>„O czym pamiętać zawierając umowy kupna z punktu widzenia praw autorskich”,</w:t>
      </w:r>
    </w:p>
    <w:p w14:paraId="1580DAA2" w14:textId="77777777" w:rsidR="00ED63A5" w:rsidRDefault="00ED63A5" w:rsidP="00ED63A5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> </w:t>
      </w:r>
    </w:p>
    <w:p w14:paraId="0B502789" w14:textId="77777777" w:rsidR="00ED63A5" w:rsidRDefault="00ED63A5" w:rsidP="00ED63A5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 xml:space="preserve">które odbędzie się </w:t>
      </w:r>
      <w:r>
        <w:rPr>
          <w:rFonts w:ascii="Arial" w:hAnsi="Arial" w:cs="Arial"/>
          <w:b/>
          <w:bCs/>
          <w:color w:val="333333"/>
          <w:shd w:val="clear" w:color="auto" w:fill="FFFF00"/>
        </w:rPr>
        <w:t>19 stycznia 2021 r. od 10:00 do 13:00.</w:t>
      </w:r>
    </w:p>
    <w:p w14:paraId="1D096C77" w14:textId="77777777" w:rsidR="00ED63A5" w:rsidRDefault="00ED63A5" w:rsidP="00ED63A5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> </w:t>
      </w:r>
    </w:p>
    <w:p w14:paraId="0D92E5D4" w14:textId="77777777" w:rsidR="00ED63A5" w:rsidRDefault="00ED63A5" w:rsidP="00ED63A5">
      <w:pPr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Dobra, które nabywamy, usługi, które są dla nas świadczone, są często związane z czyjąś kreatywnością, pomysłowością – myślą ludzką. Prawo chroni określone efekty tej myśli. Prawo autorskie chroni utwory. Zamawiając towary lub usługi możemy jednocześnie – czasem nieświadomie - zamawiać chronione utwory. Czy zapłata za towar lub usługę przesądza o możliwości korzystania z praw autorskich? Czy sam fakt legalnego nabycia określonego produktu pozwala na legalne korzystanie z praw autorskich z nim związanych? Co zrobić, aby legalnie korzystać z zamówionych dóbr, nie narażające się na roszczenia ich twórców? </w:t>
      </w:r>
    </w:p>
    <w:p w14:paraId="5787AC43" w14:textId="77777777" w:rsidR="00ED63A5" w:rsidRDefault="00ED63A5" w:rsidP="00ED63A5">
      <w:pPr>
        <w:jc w:val="both"/>
        <w:rPr>
          <w:color w:val="000000"/>
        </w:rPr>
      </w:pPr>
      <w:r>
        <w:rPr>
          <w:rFonts w:ascii="Arial" w:hAnsi="Arial" w:cs="Arial"/>
          <w:color w:val="000000"/>
        </w:rPr>
        <w:t>O tym wszystkim postaramy się opowiedzieć w ramach krótkiego szkolenia.</w:t>
      </w:r>
    </w:p>
    <w:p w14:paraId="0AE873AA" w14:textId="77777777" w:rsidR="00ED63A5" w:rsidRDefault="00ED63A5" w:rsidP="00ED63A5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12A9F4C3" w14:textId="77777777" w:rsidR="00ED63A5" w:rsidRDefault="00ED63A5" w:rsidP="00ED63A5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>Agenda</w:t>
      </w:r>
      <w:r>
        <w:rPr>
          <w:rFonts w:ascii="Arial" w:hAnsi="Arial" w:cs="Arial"/>
          <w:color w:val="000000"/>
        </w:rPr>
        <w:t>:</w:t>
      </w:r>
    </w:p>
    <w:p w14:paraId="1D1F9291" w14:textId="77777777" w:rsidR="00ED63A5" w:rsidRDefault="00ED63A5" w:rsidP="00ED63A5">
      <w:pPr>
        <w:numPr>
          <w:ilvl w:val="0"/>
          <w:numId w:val="1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Towar, dzieło, wynik realizacji usług – to często także utwory chronione przez prawo autorskie.</w:t>
      </w:r>
    </w:p>
    <w:p w14:paraId="5F468137" w14:textId="77777777" w:rsidR="00ED63A5" w:rsidRDefault="00ED63A5" w:rsidP="00ED63A5">
      <w:pPr>
        <w:numPr>
          <w:ilvl w:val="0"/>
          <w:numId w:val="1"/>
        </w:numPr>
        <w:spacing w:after="160" w:line="252" w:lineRule="auto"/>
        <w:jc w:val="both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Nabywając towary lub usługi, należy zapewnić sobie prawo do korzystania z utworów.</w:t>
      </w:r>
    </w:p>
    <w:p w14:paraId="2ED81231" w14:textId="77777777" w:rsidR="00ED63A5" w:rsidRDefault="00ED63A5" w:rsidP="00ED63A5">
      <w:pPr>
        <w:numPr>
          <w:ilvl w:val="0"/>
          <w:numId w:val="1"/>
        </w:numPr>
        <w:spacing w:after="160" w:line="252" w:lineRule="auto"/>
        <w:jc w:val="both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Sposoby na legalne korzystanie z praw autorskich.</w:t>
      </w:r>
    </w:p>
    <w:p w14:paraId="323EBB44" w14:textId="77777777" w:rsidR="00ED63A5" w:rsidRDefault="00ED63A5" w:rsidP="00ED63A5">
      <w:pPr>
        <w:numPr>
          <w:ilvl w:val="0"/>
          <w:numId w:val="1"/>
        </w:numPr>
        <w:spacing w:after="160" w:line="252" w:lineRule="auto"/>
        <w:jc w:val="both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Specyfika umów przenoszących prawa autorskie. </w:t>
      </w:r>
    </w:p>
    <w:p w14:paraId="2BA2F4E6" w14:textId="77777777" w:rsidR="00ED63A5" w:rsidRDefault="00ED63A5" w:rsidP="00ED63A5">
      <w:pPr>
        <w:numPr>
          <w:ilvl w:val="0"/>
          <w:numId w:val="1"/>
        </w:numPr>
        <w:spacing w:after="160" w:line="252" w:lineRule="auto"/>
        <w:jc w:val="both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Specyfika umów licencyjnych.</w:t>
      </w:r>
    </w:p>
    <w:p w14:paraId="2599E330" w14:textId="77777777" w:rsidR="00ED63A5" w:rsidRDefault="00ED63A5" w:rsidP="00ED63A5">
      <w:pPr>
        <w:numPr>
          <w:ilvl w:val="0"/>
          <w:numId w:val="1"/>
        </w:numPr>
        <w:spacing w:after="160" w:line="252" w:lineRule="auto"/>
        <w:jc w:val="both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Prawa osobiste twórców, wizerunek, własność przemysłowa – zagadnienia towarzyszące nabyciu praw.</w:t>
      </w:r>
    </w:p>
    <w:p w14:paraId="1BAD74CB" w14:textId="77777777" w:rsidR="00ED63A5" w:rsidRDefault="00ED63A5" w:rsidP="00ED63A5">
      <w:pPr>
        <w:spacing w:after="240"/>
        <w:rPr>
          <w:rFonts w:ascii="Arial" w:hAnsi="Arial" w:cs="Arial"/>
          <w:color w:val="000000"/>
        </w:rPr>
      </w:pPr>
    </w:p>
    <w:p w14:paraId="686646BE" w14:textId="77777777" w:rsidR="00ED63A5" w:rsidRDefault="00ED63A5" w:rsidP="00ED63A5">
      <w:pPr>
        <w:shd w:val="clear" w:color="auto" w:fill="FDFCFB"/>
        <w:jc w:val="both"/>
        <w:textAlignment w:val="baseline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FF0000"/>
        </w:rPr>
        <w:t>LINK DO REJESTRACJI:</w:t>
      </w:r>
    </w:p>
    <w:p w14:paraId="36B4CD4D" w14:textId="7B52F5CE" w:rsidR="00ED63A5" w:rsidRDefault="00ED63A5" w:rsidP="00ED63A5">
      <w:pPr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FF"/>
        </w:rPr>
        <w:drawing>
          <wp:inline distT="0" distB="0" distL="0" distR="0" wp14:anchorId="1939A7F4" wp14:editId="3F8563D0">
            <wp:extent cx="1457325" cy="457200"/>
            <wp:effectExtent l="0" t="0" r="9525" b="0"/>
            <wp:docPr id="2" name="Obraz 2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4DA7D" w14:textId="77777777" w:rsidR="00ED63A5" w:rsidRDefault="00ED63A5" w:rsidP="00ED63A5">
      <w:pPr>
        <w:shd w:val="clear" w:color="auto" w:fill="FDFCFB"/>
        <w:jc w:val="both"/>
        <w:textAlignment w:val="baseline"/>
        <w:rPr>
          <w:rFonts w:ascii="Calibri" w:hAnsi="Calibri" w:cs="Calibri"/>
          <w:color w:val="000000"/>
        </w:rPr>
      </w:pPr>
    </w:p>
    <w:p w14:paraId="73AECD3E" w14:textId="77777777" w:rsidR="00ED63A5" w:rsidRDefault="00ED63A5" w:rsidP="00ED63A5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Nasz ekspert:</w:t>
      </w:r>
      <w:r>
        <w:rPr>
          <w:rFonts w:ascii="Arial" w:hAnsi="Arial" w:cs="Arial"/>
          <w:color w:val="000000"/>
        </w:rPr>
        <w:t xml:space="preserve"> </w:t>
      </w:r>
    </w:p>
    <w:p w14:paraId="1404A994" w14:textId="77777777" w:rsidR="00ED63A5" w:rsidRDefault="00ED63A5" w:rsidP="00ED63A5">
      <w:pPr>
        <w:shd w:val="clear" w:color="auto" w:fill="FDFCFB"/>
        <w:rPr>
          <w:color w:val="000000"/>
        </w:rPr>
      </w:pPr>
      <w:hyperlink r:id="rId8" w:tgtFrame="_blank" w:history="1">
        <w:r>
          <w:rPr>
            <w:rStyle w:val="Hipercze"/>
            <w:rFonts w:ascii="Arial" w:hAnsi="Arial" w:cs="Arial"/>
            <w:b/>
            <w:bCs/>
            <w:color w:val="FF0000"/>
          </w:rPr>
          <w:t xml:space="preserve">Szymon </w:t>
        </w:r>
        <w:proofErr w:type="spellStart"/>
        <w:r>
          <w:rPr>
            <w:rStyle w:val="Hipercze"/>
            <w:rFonts w:ascii="Arial" w:hAnsi="Arial" w:cs="Arial"/>
            <w:b/>
            <w:bCs/>
            <w:color w:val="FF0000"/>
          </w:rPr>
          <w:t>Szurgacz</w:t>
        </w:r>
        <w:proofErr w:type="spellEnd"/>
      </w:hyperlink>
      <w:r>
        <w:rPr>
          <w:rFonts w:ascii="Arial" w:hAnsi="Arial" w:cs="Arial"/>
          <w:b/>
          <w:bCs/>
          <w:color w:val="313131"/>
        </w:rPr>
        <w:t xml:space="preserve"> – Radca Prawny, </w:t>
      </w:r>
      <w:proofErr w:type="spellStart"/>
      <w:r>
        <w:rPr>
          <w:rFonts w:ascii="Arial" w:hAnsi="Arial" w:cs="Arial"/>
          <w:b/>
          <w:bCs/>
          <w:color w:val="313131"/>
        </w:rPr>
        <w:t>Sendero</w:t>
      </w:r>
      <w:proofErr w:type="spellEnd"/>
      <w:r>
        <w:rPr>
          <w:rFonts w:ascii="Arial" w:hAnsi="Arial" w:cs="Arial"/>
          <w:b/>
          <w:bCs/>
          <w:color w:val="313131"/>
        </w:rPr>
        <w:t>.</w:t>
      </w:r>
    </w:p>
    <w:p w14:paraId="11EA5588" w14:textId="77777777" w:rsidR="00ED63A5" w:rsidRDefault="00ED63A5" w:rsidP="00ED63A5">
      <w:pPr>
        <w:shd w:val="clear" w:color="auto" w:fill="FDFCFB"/>
        <w:jc w:val="both"/>
        <w:rPr>
          <w:color w:val="000000"/>
        </w:rPr>
      </w:pPr>
      <w:r>
        <w:rPr>
          <w:color w:val="313131"/>
        </w:rPr>
        <w:t>Specjalizacje – własność intelektualna, dane osobowe, prawo konkurencji; kontrakty i transakcje handlowe; spory, postępowania sądowe i administracyjne; prawo pracy.</w:t>
      </w:r>
    </w:p>
    <w:p w14:paraId="65DFEFD0" w14:textId="77777777" w:rsidR="00ED63A5" w:rsidRDefault="00ED63A5" w:rsidP="00ED63A5">
      <w:pPr>
        <w:shd w:val="clear" w:color="auto" w:fill="FDFCFB"/>
        <w:jc w:val="both"/>
        <w:rPr>
          <w:color w:val="000000"/>
        </w:rPr>
      </w:pPr>
      <w:r>
        <w:rPr>
          <w:color w:val="313131"/>
        </w:rPr>
        <w:t>Doświadczenie - doradztwo prawne z zakresu prawa gospodarczego, cywilnego, własności intelektualnej, handlowego i prawa pracy. W ostatnim czasie jego prace koncentrują się wokół zagadnień związanych z ochroną danych osobowych i ochroną dóbr własności intelektualnej. Sporządzanie pism procesowych oraz reprezentowanie klientów przed sądem w sprawach z zakresu prawa cywilnego i prawa pracy. Sporządzanie projektów umów handlowych.</w:t>
      </w:r>
      <w:r>
        <w:rPr>
          <w:rFonts w:ascii="Arial" w:hAnsi="Arial" w:cs="Arial"/>
          <w:color w:val="000000"/>
        </w:rPr>
        <w:t xml:space="preserve"> </w:t>
      </w:r>
    </w:p>
    <w:p w14:paraId="726BD8A5" w14:textId="77777777" w:rsidR="00AF40CA" w:rsidRDefault="00AF40CA" w:rsidP="00D76E52">
      <w:pPr>
        <w:jc w:val="both"/>
      </w:pPr>
    </w:p>
    <w:sectPr w:rsidR="00AF4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591CB9"/>
    <w:multiLevelType w:val="multilevel"/>
    <w:tmpl w:val="2098C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CF4"/>
    <w:rsid w:val="00622CF4"/>
    <w:rsid w:val="00AF40CA"/>
    <w:rsid w:val="00D76E52"/>
    <w:rsid w:val="00ED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BEE84"/>
  <w15:chartTrackingRefBased/>
  <w15:docId w15:val="{CCE208B8-067C-423B-BA48-9FC838DF8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6E5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6E52"/>
    <w:rPr>
      <w:color w:val="0000FF"/>
      <w:u w:val="single"/>
    </w:rPr>
  </w:style>
  <w:style w:type="paragraph" w:customStyle="1" w:styleId="xmsonormal">
    <w:name w:val="xmsonormal"/>
    <w:basedOn w:val="Normalny"/>
    <w:uiPriority w:val="99"/>
    <w:rsid w:val="00D76E52"/>
    <w:pPr>
      <w:spacing w:before="100" w:beforeAutospacing="1" w:after="100" w:afterAutospacing="1"/>
    </w:pPr>
  </w:style>
  <w:style w:type="character" w:customStyle="1" w:styleId="font-cm">
    <w:name w:val="font-cm"/>
    <w:basedOn w:val="Domylnaczcionkaakapitu"/>
    <w:rsid w:val="00D76E52"/>
  </w:style>
  <w:style w:type="character" w:styleId="Pogrubienie">
    <w:name w:val="Strong"/>
    <w:basedOn w:val="Domylnaczcionkaakapitu"/>
    <w:uiPriority w:val="22"/>
    <w:qFormat/>
    <w:rsid w:val="00D76E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9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dero.pl/zespol/szymon-szurgacz/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EA74.B66534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o-czym-pamietac-zawierajac-umowy-kupna-z-punktu-widzenia-praw-autorskich/register?_ga=2.42259618.625792029.1610358920-1487396930.158946088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2021-01-18T09:54:00Z</dcterms:created>
  <dcterms:modified xsi:type="dcterms:W3CDTF">2021-01-18T09:54:00Z</dcterms:modified>
</cp:coreProperties>
</file>