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886DB8" w14:textId="77777777" w:rsidR="00FB6691" w:rsidRPr="00FB6691" w:rsidRDefault="00FB6691" w:rsidP="00FB6691">
      <w:pPr>
        <w:spacing w:line="252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1AE629E0" w14:textId="77777777" w:rsidR="00FB6691" w:rsidRPr="00FB6691" w:rsidRDefault="00FB6691" w:rsidP="00FB6691">
      <w:pPr>
        <w:spacing w:line="252" w:lineRule="auto"/>
        <w:rPr>
          <w:rFonts w:ascii="Calibri" w:eastAsia="Calibri" w:hAnsi="Calibri" w:cs="Calibri"/>
          <w:color w:val="000000"/>
          <w:sz w:val="22"/>
          <w:szCs w:val="22"/>
        </w:rPr>
      </w:pPr>
      <w:r w:rsidRPr="00FB6691">
        <w:rPr>
          <w:rFonts w:ascii="Arial" w:eastAsia="Calibri" w:hAnsi="Arial" w:cs="Arial"/>
          <w:color w:val="000000"/>
          <w:sz w:val="22"/>
          <w:szCs w:val="22"/>
        </w:rPr>
        <w:t xml:space="preserve">Wałbrzyska Specjalna Strefa Ekonomiczna "INVEST-PARK" wspólnie z </w:t>
      </w:r>
      <w:r w:rsidRPr="00FB6691">
        <w:rPr>
          <w:rFonts w:ascii="Arial" w:eastAsia="Calibri" w:hAnsi="Arial" w:cs="Arial"/>
          <w:b/>
          <w:bCs/>
          <w:color w:val="000000"/>
          <w:sz w:val="22"/>
          <w:szCs w:val="22"/>
        </w:rPr>
        <w:t xml:space="preserve">INSTYTUTEM CEN TRANSFEROWYCH </w:t>
      </w:r>
      <w:r w:rsidRPr="00FB6691">
        <w:rPr>
          <w:rFonts w:ascii="Arial" w:eastAsia="Calibri" w:hAnsi="Arial" w:cs="Arial"/>
          <w:color w:val="000000"/>
          <w:sz w:val="22"/>
          <w:szCs w:val="22"/>
        </w:rPr>
        <w:t xml:space="preserve">zaprasza na </w:t>
      </w:r>
      <w:r w:rsidRPr="00FB6691">
        <w:rPr>
          <w:rFonts w:ascii="Arial" w:eastAsia="Calibri" w:hAnsi="Arial" w:cs="Arial"/>
          <w:b/>
          <w:bCs/>
          <w:color w:val="000000"/>
          <w:sz w:val="22"/>
          <w:szCs w:val="22"/>
        </w:rPr>
        <w:t>bezpłatne webinarium</w:t>
      </w:r>
      <w:r w:rsidRPr="00FB6691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0AE13DC9" w14:textId="77777777" w:rsidR="00FB6691" w:rsidRPr="00FB6691" w:rsidRDefault="00FB6691" w:rsidP="00FB6691">
      <w:pPr>
        <w:shd w:val="clear" w:color="auto" w:fill="FDFCFB"/>
        <w:textAlignment w:val="baseline"/>
        <w:rPr>
          <w:rFonts w:ascii="Calibri" w:eastAsia="Calibri" w:hAnsi="Calibri" w:cs="Calibri"/>
          <w:color w:val="000000"/>
          <w:sz w:val="22"/>
          <w:szCs w:val="22"/>
        </w:rPr>
      </w:pPr>
    </w:p>
    <w:p w14:paraId="7E0BFF77" w14:textId="77777777" w:rsidR="00FB6691" w:rsidRPr="00FB6691" w:rsidRDefault="00FB6691" w:rsidP="00FB6691">
      <w:pPr>
        <w:shd w:val="clear" w:color="auto" w:fill="FDFCFB"/>
        <w:textAlignment w:val="baseline"/>
        <w:rPr>
          <w:rFonts w:ascii="Calibri" w:eastAsia="Calibri" w:hAnsi="Calibri" w:cs="Calibri"/>
          <w:color w:val="000000"/>
          <w:sz w:val="22"/>
          <w:szCs w:val="22"/>
        </w:rPr>
      </w:pPr>
      <w:r w:rsidRPr="00FB6691">
        <w:rPr>
          <w:rFonts w:ascii="Arial" w:eastAsia="Calibri" w:hAnsi="Arial" w:cs="Arial"/>
          <w:b/>
          <w:bCs/>
          <w:color w:val="FF0000"/>
          <w:sz w:val="28"/>
          <w:szCs w:val="28"/>
        </w:rPr>
        <w:t>„Zmiany w CIT w 2021 roku”,</w:t>
      </w:r>
    </w:p>
    <w:p w14:paraId="2D5461F5" w14:textId="77777777" w:rsidR="00FB6691" w:rsidRPr="00FB6691" w:rsidRDefault="00FB6691" w:rsidP="00FB6691">
      <w:pPr>
        <w:shd w:val="clear" w:color="auto" w:fill="FDFCFB"/>
        <w:jc w:val="center"/>
        <w:textAlignment w:val="baseline"/>
        <w:rPr>
          <w:rFonts w:ascii="Calibri" w:eastAsia="Calibri" w:hAnsi="Calibri" w:cs="Calibri"/>
          <w:color w:val="000000"/>
          <w:sz w:val="22"/>
          <w:szCs w:val="22"/>
        </w:rPr>
      </w:pPr>
      <w:r w:rsidRPr="00FB6691">
        <w:rPr>
          <w:rFonts w:ascii="Arial" w:eastAsia="Calibri" w:hAnsi="Arial" w:cs="Arial"/>
          <w:color w:val="FF0000"/>
          <w:sz w:val="22"/>
          <w:szCs w:val="22"/>
        </w:rPr>
        <w:t> </w:t>
      </w:r>
    </w:p>
    <w:p w14:paraId="193EB2DF" w14:textId="77777777" w:rsidR="00FB6691" w:rsidRPr="00FB6691" w:rsidRDefault="00FB6691" w:rsidP="00FB6691">
      <w:pPr>
        <w:shd w:val="clear" w:color="auto" w:fill="FDFCFB"/>
        <w:jc w:val="both"/>
        <w:textAlignment w:val="baseline"/>
        <w:rPr>
          <w:rFonts w:ascii="Calibri" w:eastAsia="Calibri" w:hAnsi="Calibri" w:cs="Calibri"/>
          <w:color w:val="000000"/>
          <w:sz w:val="22"/>
          <w:szCs w:val="22"/>
        </w:rPr>
      </w:pPr>
      <w:r w:rsidRPr="00FB6691">
        <w:rPr>
          <w:rFonts w:ascii="Arial" w:eastAsia="Calibri" w:hAnsi="Arial" w:cs="Arial"/>
          <w:color w:val="000000"/>
          <w:sz w:val="22"/>
          <w:szCs w:val="22"/>
        </w:rPr>
        <w:t xml:space="preserve">które odbędzie się </w:t>
      </w:r>
      <w:r w:rsidRPr="00FB6691">
        <w:rPr>
          <w:rFonts w:ascii="Arial" w:eastAsia="Calibri" w:hAnsi="Arial" w:cs="Arial"/>
          <w:b/>
          <w:bCs/>
          <w:color w:val="000000"/>
          <w:sz w:val="22"/>
          <w:szCs w:val="22"/>
          <w:shd w:val="clear" w:color="auto" w:fill="FFFF00"/>
        </w:rPr>
        <w:t>26 stycznia 2021 r. od 10:00 do 12:00.</w:t>
      </w:r>
    </w:p>
    <w:p w14:paraId="1560D7B3" w14:textId="77777777" w:rsidR="00FB6691" w:rsidRPr="00FB6691" w:rsidRDefault="00FB6691" w:rsidP="00FB6691">
      <w:pPr>
        <w:spacing w:line="252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FB6691">
        <w:rPr>
          <w:rFonts w:ascii="Calibri" w:eastAsia="Calibri" w:hAnsi="Calibri" w:cs="Calibri"/>
          <w:color w:val="000000"/>
          <w:sz w:val="22"/>
          <w:szCs w:val="22"/>
        </w:rPr>
        <w:t> </w:t>
      </w:r>
    </w:p>
    <w:p w14:paraId="3F3FBAD4" w14:textId="77777777" w:rsidR="00FB6691" w:rsidRPr="00FB6691" w:rsidRDefault="00FB6691" w:rsidP="00FB6691">
      <w:pPr>
        <w:shd w:val="clear" w:color="auto" w:fill="FDFCFB"/>
        <w:jc w:val="both"/>
        <w:textAlignment w:val="baseline"/>
        <w:rPr>
          <w:rFonts w:ascii="Calibri" w:eastAsia="Calibri" w:hAnsi="Calibri" w:cs="Calibri"/>
          <w:color w:val="000000"/>
          <w:sz w:val="22"/>
          <w:szCs w:val="22"/>
        </w:rPr>
      </w:pPr>
      <w:r w:rsidRPr="00FB6691">
        <w:rPr>
          <w:rFonts w:ascii="Arial" w:eastAsia="Calibri" w:hAnsi="Arial" w:cs="Arial"/>
          <w:b/>
          <w:bCs/>
          <w:color w:val="000000"/>
          <w:sz w:val="22"/>
          <w:szCs w:val="22"/>
        </w:rPr>
        <w:t>Agenda</w:t>
      </w:r>
      <w:r w:rsidRPr="00FB6691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0AEF37D4" w14:textId="77777777" w:rsidR="00FB6691" w:rsidRPr="00FB6691" w:rsidRDefault="00FB6691" w:rsidP="00FB6691">
      <w:pPr>
        <w:numPr>
          <w:ilvl w:val="0"/>
          <w:numId w:val="6"/>
        </w:numPr>
        <w:spacing w:after="160" w:line="252" w:lineRule="auto"/>
        <w:rPr>
          <w:rFonts w:ascii="Calibri" w:eastAsia="Times New Roman" w:hAnsi="Calibri" w:cs="Calibri"/>
          <w:color w:val="000000"/>
          <w:sz w:val="22"/>
          <w:szCs w:val="22"/>
        </w:rPr>
      </w:pPr>
      <w:r w:rsidRPr="00FB6691">
        <w:rPr>
          <w:rFonts w:ascii="Arial" w:eastAsia="Times New Roman" w:hAnsi="Arial" w:cs="Arial"/>
          <w:color w:val="000000"/>
          <w:sz w:val="22"/>
          <w:szCs w:val="22"/>
        </w:rPr>
        <w:t>Spółka komandytowa podatnikiem CIT</w:t>
      </w:r>
    </w:p>
    <w:p w14:paraId="163D6735" w14:textId="77777777" w:rsidR="00FB6691" w:rsidRPr="00FB6691" w:rsidRDefault="00FB6691" w:rsidP="00FB6691">
      <w:pPr>
        <w:numPr>
          <w:ilvl w:val="0"/>
          <w:numId w:val="6"/>
        </w:numPr>
        <w:spacing w:after="160" w:line="252" w:lineRule="auto"/>
        <w:rPr>
          <w:rFonts w:ascii="Calibri" w:eastAsia="Times New Roman" w:hAnsi="Calibri" w:cs="Calibri"/>
          <w:color w:val="000000"/>
          <w:sz w:val="22"/>
          <w:szCs w:val="22"/>
        </w:rPr>
      </w:pPr>
      <w:r w:rsidRPr="00FB6691">
        <w:rPr>
          <w:rFonts w:ascii="Arial" w:eastAsia="Times New Roman" w:hAnsi="Arial" w:cs="Arial"/>
          <w:color w:val="000000"/>
          <w:sz w:val="22"/>
          <w:szCs w:val="22"/>
        </w:rPr>
        <w:t>Estoński CIT</w:t>
      </w:r>
    </w:p>
    <w:p w14:paraId="4CAD0FA7" w14:textId="77777777" w:rsidR="00FB6691" w:rsidRPr="00FB6691" w:rsidRDefault="00FB6691" w:rsidP="00FB6691">
      <w:pPr>
        <w:numPr>
          <w:ilvl w:val="0"/>
          <w:numId w:val="6"/>
        </w:numPr>
        <w:spacing w:after="160" w:line="252" w:lineRule="auto"/>
        <w:rPr>
          <w:rFonts w:ascii="Calibri" w:eastAsia="Times New Roman" w:hAnsi="Calibri" w:cs="Calibri"/>
          <w:color w:val="000000"/>
          <w:sz w:val="22"/>
          <w:szCs w:val="22"/>
        </w:rPr>
      </w:pPr>
      <w:r w:rsidRPr="00FB6691">
        <w:rPr>
          <w:rFonts w:ascii="Arial" w:eastAsia="Times New Roman" w:hAnsi="Arial" w:cs="Arial"/>
          <w:color w:val="000000"/>
          <w:sz w:val="22"/>
          <w:szCs w:val="22"/>
        </w:rPr>
        <w:t>Spółka nieruchomościowa</w:t>
      </w:r>
    </w:p>
    <w:p w14:paraId="263E6ABD" w14:textId="77777777" w:rsidR="00FB6691" w:rsidRPr="00FB6691" w:rsidRDefault="00FB6691" w:rsidP="00FB6691">
      <w:pPr>
        <w:numPr>
          <w:ilvl w:val="0"/>
          <w:numId w:val="6"/>
        </w:numPr>
        <w:spacing w:after="160" w:line="252" w:lineRule="auto"/>
        <w:rPr>
          <w:rFonts w:ascii="Calibri" w:eastAsia="Times New Roman" w:hAnsi="Calibri" w:cs="Calibri"/>
          <w:color w:val="000000"/>
          <w:sz w:val="22"/>
          <w:szCs w:val="22"/>
        </w:rPr>
      </w:pPr>
      <w:r w:rsidRPr="00FB6691">
        <w:rPr>
          <w:rFonts w:ascii="Arial" w:eastAsia="Times New Roman" w:hAnsi="Arial" w:cs="Arial"/>
          <w:color w:val="000000"/>
          <w:sz w:val="22"/>
          <w:szCs w:val="22"/>
        </w:rPr>
        <w:t>Majątek likwidacyjny</w:t>
      </w:r>
    </w:p>
    <w:p w14:paraId="43918BCF" w14:textId="77777777" w:rsidR="00FB6691" w:rsidRPr="00FB6691" w:rsidRDefault="00FB6691" w:rsidP="00FB6691">
      <w:pPr>
        <w:numPr>
          <w:ilvl w:val="0"/>
          <w:numId w:val="6"/>
        </w:numPr>
        <w:spacing w:after="160" w:line="252" w:lineRule="auto"/>
        <w:rPr>
          <w:rFonts w:ascii="Calibri" w:eastAsia="Times New Roman" w:hAnsi="Calibri" w:cs="Calibri"/>
          <w:color w:val="000000"/>
          <w:sz w:val="22"/>
          <w:szCs w:val="22"/>
        </w:rPr>
      </w:pPr>
      <w:r w:rsidRPr="00FB6691">
        <w:rPr>
          <w:rFonts w:ascii="Arial" w:eastAsia="Times New Roman" w:hAnsi="Arial" w:cs="Arial"/>
          <w:color w:val="000000"/>
          <w:sz w:val="22"/>
          <w:szCs w:val="22"/>
        </w:rPr>
        <w:t>Strategia podatkowa</w:t>
      </w:r>
    </w:p>
    <w:p w14:paraId="41AD520D" w14:textId="77777777" w:rsidR="00FB6691" w:rsidRPr="00FB6691" w:rsidRDefault="00FB6691" w:rsidP="00FB6691">
      <w:pPr>
        <w:numPr>
          <w:ilvl w:val="0"/>
          <w:numId w:val="6"/>
        </w:numPr>
        <w:spacing w:after="160" w:line="252" w:lineRule="auto"/>
        <w:rPr>
          <w:rFonts w:ascii="Calibri" w:eastAsia="Times New Roman" w:hAnsi="Calibri" w:cs="Calibri"/>
          <w:color w:val="000000"/>
          <w:sz w:val="22"/>
          <w:szCs w:val="22"/>
        </w:rPr>
      </w:pPr>
      <w:r w:rsidRPr="00FB6691">
        <w:rPr>
          <w:rFonts w:ascii="Arial" w:eastAsia="Times New Roman" w:hAnsi="Arial" w:cs="Arial"/>
          <w:color w:val="000000"/>
          <w:sz w:val="22"/>
          <w:szCs w:val="22"/>
        </w:rPr>
        <w:t xml:space="preserve">Rozszerzenie katalogu podmiotów obowiązanych do sporządzania </w:t>
      </w:r>
      <w:proofErr w:type="spellStart"/>
      <w:r w:rsidRPr="00FB6691">
        <w:rPr>
          <w:rFonts w:ascii="Arial" w:eastAsia="Times New Roman" w:hAnsi="Arial" w:cs="Arial"/>
          <w:color w:val="000000"/>
          <w:sz w:val="22"/>
          <w:szCs w:val="22"/>
        </w:rPr>
        <w:t>local</w:t>
      </w:r>
      <w:proofErr w:type="spellEnd"/>
      <w:r w:rsidRPr="00FB6691">
        <w:rPr>
          <w:rFonts w:ascii="Arial" w:eastAsia="Times New Roman" w:hAnsi="Arial" w:cs="Arial"/>
          <w:color w:val="000000"/>
          <w:sz w:val="22"/>
          <w:szCs w:val="22"/>
        </w:rPr>
        <w:t xml:space="preserve"> file</w:t>
      </w:r>
    </w:p>
    <w:p w14:paraId="31318BFF" w14:textId="77777777" w:rsidR="00FB6691" w:rsidRPr="00FB6691" w:rsidRDefault="00FB6691" w:rsidP="00FB6691">
      <w:pPr>
        <w:numPr>
          <w:ilvl w:val="0"/>
          <w:numId w:val="6"/>
        </w:numPr>
        <w:spacing w:after="160" w:line="252" w:lineRule="auto"/>
        <w:rPr>
          <w:rFonts w:ascii="Calibri" w:eastAsia="Times New Roman" w:hAnsi="Calibri" w:cs="Calibri"/>
          <w:color w:val="000000"/>
          <w:sz w:val="22"/>
          <w:szCs w:val="22"/>
        </w:rPr>
      </w:pPr>
      <w:r w:rsidRPr="00FB6691">
        <w:rPr>
          <w:rFonts w:ascii="Arial" w:eastAsia="Times New Roman" w:hAnsi="Arial" w:cs="Arial"/>
          <w:color w:val="000000"/>
          <w:sz w:val="22"/>
          <w:szCs w:val="22"/>
        </w:rPr>
        <w:t>Korekta cen transferowych</w:t>
      </w:r>
    </w:p>
    <w:p w14:paraId="54D49638" w14:textId="77777777" w:rsidR="00FB6691" w:rsidRPr="00FB6691" w:rsidRDefault="00FB6691" w:rsidP="00FB6691">
      <w:pPr>
        <w:numPr>
          <w:ilvl w:val="0"/>
          <w:numId w:val="6"/>
        </w:numPr>
        <w:spacing w:after="160" w:line="252" w:lineRule="auto"/>
        <w:rPr>
          <w:rFonts w:ascii="Calibri" w:eastAsia="Times New Roman" w:hAnsi="Calibri" w:cs="Calibri"/>
          <w:color w:val="000000"/>
          <w:sz w:val="22"/>
          <w:szCs w:val="22"/>
        </w:rPr>
      </w:pPr>
      <w:r w:rsidRPr="00FB6691">
        <w:rPr>
          <w:rFonts w:ascii="Arial" w:eastAsia="Times New Roman" w:hAnsi="Arial" w:cs="Arial"/>
          <w:color w:val="000000"/>
          <w:sz w:val="22"/>
          <w:szCs w:val="22"/>
        </w:rPr>
        <w:t>Strata podatkowa – preferencje dla podmiotów powiązanych</w:t>
      </w:r>
    </w:p>
    <w:p w14:paraId="7A93C159" w14:textId="77777777" w:rsidR="00FB6691" w:rsidRPr="00FB6691" w:rsidRDefault="00FB6691" w:rsidP="00FB6691">
      <w:pPr>
        <w:numPr>
          <w:ilvl w:val="0"/>
          <w:numId w:val="6"/>
        </w:numPr>
        <w:spacing w:after="160" w:line="252" w:lineRule="auto"/>
        <w:rPr>
          <w:rFonts w:ascii="Calibri" w:eastAsia="Times New Roman" w:hAnsi="Calibri" w:cs="Calibri"/>
          <w:color w:val="000000"/>
          <w:sz w:val="22"/>
          <w:szCs w:val="22"/>
        </w:rPr>
      </w:pPr>
      <w:r w:rsidRPr="00FB6691">
        <w:rPr>
          <w:rFonts w:ascii="Arial" w:eastAsia="Times New Roman" w:hAnsi="Arial" w:cs="Arial"/>
          <w:color w:val="000000"/>
          <w:sz w:val="22"/>
          <w:szCs w:val="22"/>
        </w:rPr>
        <w:t xml:space="preserve">Oświadczenie dotyczące cen transferowych </w:t>
      </w:r>
    </w:p>
    <w:p w14:paraId="116D7FD3" w14:textId="77777777" w:rsidR="00FB6691" w:rsidRPr="00FB6691" w:rsidRDefault="00FB6691" w:rsidP="00FB6691">
      <w:pPr>
        <w:numPr>
          <w:ilvl w:val="0"/>
          <w:numId w:val="6"/>
        </w:numPr>
        <w:spacing w:after="160" w:line="252" w:lineRule="auto"/>
        <w:rPr>
          <w:rFonts w:ascii="Calibri" w:eastAsia="Times New Roman" w:hAnsi="Calibri" w:cs="Calibri"/>
          <w:color w:val="000000"/>
          <w:sz w:val="22"/>
          <w:szCs w:val="22"/>
        </w:rPr>
      </w:pPr>
      <w:r w:rsidRPr="00FB6691">
        <w:rPr>
          <w:rFonts w:ascii="Arial" w:eastAsia="Times New Roman" w:hAnsi="Arial" w:cs="Arial"/>
          <w:color w:val="000000"/>
          <w:sz w:val="22"/>
          <w:szCs w:val="22"/>
        </w:rPr>
        <w:t>Nowe rozporządzenie dotyczące TPR</w:t>
      </w:r>
    </w:p>
    <w:p w14:paraId="30CD8B4F" w14:textId="77777777" w:rsidR="00FB6691" w:rsidRPr="00FB6691" w:rsidRDefault="00FB6691" w:rsidP="00FB6691">
      <w:pPr>
        <w:rPr>
          <w:rFonts w:ascii="Arial" w:eastAsia="Calibri" w:hAnsi="Arial" w:cs="Arial"/>
          <w:color w:val="000000"/>
          <w:sz w:val="22"/>
          <w:szCs w:val="22"/>
        </w:rPr>
      </w:pPr>
      <w:r w:rsidRPr="00FB6691">
        <w:rPr>
          <w:rFonts w:ascii="Arial" w:eastAsia="Calibri" w:hAnsi="Arial" w:cs="Arial"/>
          <w:b/>
          <w:bCs/>
          <w:color w:val="FF0000"/>
          <w:sz w:val="22"/>
          <w:szCs w:val="22"/>
        </w:rPr>
        <w:t>LINK DO REJESTRACJI:</w:t>
      </w:r>
    </w:p>
    <w:p w14:paraId="58661E61" w14:textId="77777777" w:rsidR="00FB6691" w:rsidRPr="00FB6691" w:rsidRDefault="00FB6691" w:rsidP="00FB6691">
      <w:pPr>
        <w:rPr>
          <w:rFonts w:ascii="Arial" w:eastAsia="Calibri" w:hAnsi="Arial" w:cs="Arial"/>
          <w:color w:val="000000"/>
          <w:sz w:val="22"/>
          <w:szCs w:val="22"/>
        </w:rPr>
      </w:pPr>
      <w:r w:rsidRPr="00FB6691">
        <w:rPr>
          <w:rFonts w:ascii="Arial" w:eastAsia="Calibri" w:hAnsi="Arial" w:cs="Arial"/>
          <w:noProof/>
          <w:color w:val="0000FF"/>
          <w:sz w:val="22"/>
          <w:szCs w:val="22"/>
        </w:rPr>
        <w:drawing>
          <wp:inline distT="0" distB="0" distL="0" distR="0" wp14:anchorId="654DC619" wp14:editId="73B591A2">
            <wp:extent cx="1457325" cy="457200"/>
            <wp:effectExtent l="0" t="0" r="9525" b="0"/>
            <wp:docPr id="1" name="Obraz 1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A8506B" w14:textId="77777777" w:rsidR="00FB6691" w:rsidRPr="00FB6691" w:rsidRDefault="00FB6691" w:rsidP="00FB6691">
      <w:pPr>
        <w:shd w:val="clear" w:color="auto" w:fill="FDFCFB"/>
        <w:jc w:val="both"/>
        <w:textAlignment w:val="baseline"/>
        <w:rPr>
          <w:rFonts w:ascii="Calibri" w:eastAsia="Calibri" w:hAnsi="Calibri" w:cs="Calibri"/>
          <w:color w:val="000000"/>
          <w:sz w:val="22"/>
          <w:szCs w:val="22"/>
        </w:rPr>
      </w:pPr>
    </w:p>
    <w:p w14:paraId="34220944" w14:textId="77777777" w:rsidR="00FB6691" w:rsidRPr="00FB6691" w:rsidRDefault="00FB6691" w:rsidP="00FB6691">
      <w:pPr>
        <w:shd w:val="clear" w:color="auto" w:fill="FDFCFB"/>
        <w:jc w:val="both"/>
        <w:textAlignment w:val="baseline"/>
        <w:rPr>
          <w:rFonts w:ascii="Calibri" w:eastAsia="Calibri" w:hAnsi="Calibri" w:cs="Calibri"/>
          <w:color w:val="000000"/>
          <w:sz w:val="22"/>
          <w:szCs w:val="22"/>
        </w:rPr>
      </w:pPr>
      <w:r w:rsidRPr="00FB6691">
        <w:rPr>
          <w:rFonts w:ascii="Arial" w:eastAsia="Calibri" w:hAnsi="Arial" w:cs="Arial"/>
          <w:b/>
          <w:bCs/>
          <w:color w:val="000000"/>
          <w:sz w:val="22"/>
          <w:szCs w:val="22"/>
          <w:u w:val="single"/>
        </w:rPr>
        <w:t>Nasz ekspert:</w:t>
      </w:r>
      <w:r w:rsidRPr="00FB6691">
        <w:rPr>
          <w:rFonts w:ascii="Arial" w:eastAsia="Calibri" w:hAnsi="Arial" w:cs="Arial"/>
          <w:color w:val="000000"/>
          <w:sz w:val="22"/>
          <w:szCs w:val="22"/>
        </w:rPr>
        <w:t xml:space="preserve"> </w:t>
      </w:r>
    </w:p>
    <w:p w14:paraId="18CA3ADD" w14:textId="77777777" w:rsidR="00FB6691" w:rsidRPr="00FB6691" w:rsidRDefault="00FB6691" w:rsidP="00FB6691">
      <w:pPr>
        <w:shd w:val="clear" w:color="auto" w:fill="FDFCFB"/>
        <w:rPr>
          <w:rFonts w:ascii="Calibri" w:eastAsia="Calibri" w:hAnsi="Calibri" w:cs="Calibri"/>
          <w:color w:val="000000"/>
          <w:sz w:val="22"/>
          <w:szCs w:val="22"/>
        </w:rPr>
      </w:pPr>
      <w:r w:rsidRPr="00FB6691">
        <w:rPr>
          <w:rFonts w:ascii="Calibri" w:eastAsia="Calibri" w:hAnsi="Calibri" w:cs="Calibri"/>
          <w:b/>
          <w:bCs/>
          <w:color w:val="FF0000"/>
          <w:sz w:val="22"/>
          <w:szCs w:val="22"/>
        </w:rPr>
        <w:t>Dr Jarosław F. Mika  </w:t>
      </w:r>
      <w:r w:rsidRPr="00FB6691">
        <w:rPr>
          <w:rFonts w:ascii="Calibri" w:eastAsia="Calibri" w:hAnsi="Calibri" w:cs="Calibri"/>
          <w:b/>
          <w:bCs/>
          <w:color w:val="313131"/>
          <w:sz w:val="22"/>
          <w:szCs w:val="22"/>
        </w:rPr>
        <w:t>– Doradca Podatkowy.</w:t>
      </w:r>
    </w:p>
    <w:p w14:paraId="2140FCDD" w14:textId="77777777" w:rsidR="00FB6691" w:rsidRPr="00FB6691" w:rsidRDefault="00FB6691" w:rsidP="00FB6691">
      <w:pPr>
        <w:shd w:val="clear" w:color="auto" w:fill="FDFCFB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FB6691">
        <w:rPr>
          <w:rFonts w:ascii="Calibri" w:eastAsia="Calibri" w:hAnsi="Calibri" w:cs="Calibri"/>
          <w:color w:val="313131"/>
          <w:sz w:val="18"/>
          <w:szCs w:val="18"/>
        </w:rPr>
        <w:t>Praktyk z kilkunastoletnim doświadczeniem z zakresu prawa podatkowego – najpierw jako członek zarządów spółek kapitałowych polskich oraz z udziałem kapitału zagranicznego a następnie jako doradca podatkowy.</w:t>
      </w:r>
    </w:p>
    <w:p w14:paraId="55317630" w14:textId="77777777" w:rsidR="00FB6691" w:rsidRPr="00FB6691" w:rsidRDefault="00FB6691" w:rsidP="00FB6691">
      <w:pPr>
        <w:shd w:val="clear" w:color="auto" w:fill="FDFCFB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FB6691">
        <w:rPr>
          <w:rFonts w:ascii="Calibri" w:eastAsia="Calibri" w:hAnsi="Calibri" w:cs="Calibri"/>
          <w:color w:val="313131"/>
          <w:sz w:val="18"/>
          <w:szCs w:val="18"/>
        </w:rPr>
        <w:t xml:space="preserve">Członek 11 – osobowego kolegium doradczego przy Ministerstwie Finansów w ramach prac Forum Cen Transferowych. </w:t>
      </w:r>
    </w:p>
    <w:p w14:paraId="658FE959" w14:textId="77777777" w:rsidR="00FB6691" w:rsidRPr="00FB6691" w:rsidRDefault="00FB6691" w:rsidP="00FB6691">
      <w:pPr>
        <w:shd w:val="clear" w:color="auto" w:fill="FDFCFB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FB6691">
        <w:rPr>
          <w:rFonts w:ascii="Calibri" w:eastAsia="Calibri" w:hAnsi="Calibri" w:cs="Calibri"/>
          <w:color w:val="313131"/>
          <w:sz w:val="18"/>
          <w:szCs w:val="18"/>
        </w:rPr>
        <w:t>Członek Grupy Roboczej Forum MDR w ramach prac Ministerstwa Finansów.</w:t>
      </w:r>
    </w:p>
    <w:p w14:paraId="5CF7FA56" w14:textId="77777777" w:rsidR="00FB6691" w:rsidRPr="00FB6691" w:rsidRDefault="00FB6691" w:rsidP="00FB6691">
      <w:pPr>
        <w:shd w:val="clear" w:color="auto" w:fill="FDFCFB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FB6691">
        <w:rPr>
          <w:rFonts w:ascii="Calibri" w:eastAsia="Calibri" w:hAnsi="Calibri" w:cs="Calibri"/>
          <w:color w:val="313131"/>
          <w:sz w:val="18"/>
          <w:szCs w:val="18"/>
        </w:rPr>
        <w:t>Prelegent szkoleń m.in. dla Polskiej Izby Biegłych Rewidentów, SKWP, KAS.</w:t>
      </w:r>
    </w:p>
    <w:p w14:paraId="304B8A83" w14:textId="77777777" w:rsidR="00FB6691" w:rsidRPr="00FB6691" w:rsidRDefault="00FB6691" w:rsidP="00FB6691">
      <w:pPr>
        <w:shd w:val="clear" w:color="auto" w:fill="FDFCFB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FB6691">
        <w:rPr>
          <w:rFonts w:ascii="Calibri" w:eastAsia="Calibri" w:hAnsi="Calibri" w:cs="Calibri"/>
          <w:color w:val="313131"/>
          <w:sz w:val="18"/>
          <w:szCs w:val="18"/>
        </w:rPr>
        <w:t>Autor/ Redaktor naukowy/współautor publikacji  z zakresu cen transferowych, MDR m.in.:</w:t>
      </w:r>
    </w:p>
    <w:p w14:paraId="5D0D9230" w14:textId="77777777" w:rsidR="00FB6691" w:rsidRPr="00FB6691" w:rsidRDefault="00FB6691" w:rsidP="00FB6691">
      <w:pPr>
        <w:shd w:val="clear" w:color="auto" w:fill="FDFCFB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FB6691">
        <w:rPr>
          <w:rFonts w:ascii="Calibri" w:eastAsia="Calibri" w:hAnsi="Calibri" w:cs="Calibri"/>
          <w:color w:val="313131"/>
          <w:sz w:val="18"/>
          <w:szCs w:val="18"/>
        </w:rPr>
        <w:t xml:space="preserve">- „Zarządzanie ryzykiem podatkowym w cenach transferowych. Obowiązki i ryzyka sprawozdawcze”, </w:t>
      </w:r>
      <w:proofErr w:type="spellStart"/>
      <w:r w:rsidRPr="00FB6691">
        <w:rPr>
          <w:rFonts w:ascii="Calibri" w:eastAsia="Calibri" w:hAnsi="Calibri" w:cs="Calibri"/>
          <w:color w:val="313131"/>
          <w:sz w:val="18"/>
          <w:szCs w:val="18"/>
        </w:rPr>
        <w:t>C.H.Beck</w:t>
      </w:r>
      <w:proofErr w:type="spellEnd"/>
      <w:r w:rsidRPr="00FB6691">
        <w:rPr>
          <w:rFonts w:ascii="Calibri" w:eastAsia="Calibri" w:hAnsi="Calibri" w:cs="Calibri"/>
          <w:color w:val="313131"/>
          <w:sz w:val="18"/>
          <w:szCs w:val="18"/>
        </w:rPr>
        <w:t>, 2020,</w:t>
      </w:r>
    </w:p>
    <w:p w14:paraId="6CAE2A07" w14:textId="77777777" w:rsidR="00FB6691" w:rsidRPr="00FB6691" w:rsidRDefault="00FB6691" w:rsidP="00FB6691">
      <w:pPr>
        <w:shd w:val="clear" w:color="auto" w:fill="FDFCFB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FB6691">
        <w:rPr>
          <w:rFonts w:ascii="Calibri" w:eastAsia="Calibri" w:hAnsi="Calibri" w:cs="Calibri"/>
          <w:color w:val="313131"/>
          <w:sz w:val="18"/>
          <w:szCs w:val="18"/>
        </w:rPr>
        <w:t>- „Ceny transferowe w czasie kryzysu”, Wolters Kluwer, 2020,</w:t>
      </w:r>
    </w:p>
    <w:p w14:paraId="708F52A4" w14:textId="77777777" w:rsidR="00FB6691" w:rsidRPr="00FB6691" w:rsidRDefault="00FB6691" w:rsidP="00FB6691">
      <w:pPr>
        <w:shd w:val="clear" w:color="auto" w:fill="FDFCFB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FB6691">
        <w:rPr>
          <w:rFonts w:ascii="Calibri" w:eastAsia="Calibri" w:hAnsi="Calibri" w:cs="Calibri"/>
          <w:color w:val="313131"/>
          <w:sz w:val="18"/>
          <w:szCs w:val="18"/>
        </w:rPr>
        <w:t xml:space="preserve">- „Metody szacowania cen transferowych (po nowelizacji)”, Metody szacowania cen transferowych (po nowelizacji) , </w:t>
      </w:r>
      <w:proofErr w:type="spellStart"/>
      <w:r w:rsidRPr="00FB6691">
        <w:rPr>
          <w:rFonts w:ascii="Calibri" w:eastAsia="Calibri" w:hAnsi="Calibri" w:cs="Calibri"/>
          <w:color w:val="313131"/>
          <w:sz w:val="18"/>
          <w:szCs w:val="18"/>
        </w:rPr>
        <w:t>C.H.Beck</w:t>
      </w:r>
      <w:proofErr w:type="spellEnd"/>
      <w:r w:rsidRPr="00FB6691">
        <w:rPr>
          <w:rFonts w:ascii="Calibri" w:eastAsia="Calibri" w:hAnsi="Calibri" w:cs="Calibri"/>
          <w:color w:val="313131"/>
          <w:sz w:val="18"/>
          <w:szCs w:val="18"/>
        </w:rPr>
        <w:t>, 2020</w:t>
      </w:r>
    </w:p>
    <w:p w14:paraId="45624069" w14:textId="77777777" w:rsidR="00FB6691" w:rsidRPr="00FB6691" w:rsidRDefault="00FB6691" w:rsidP="00FB6691">
      <w:pPr>
        <w:shd w:val="clear" w:color="auto" w:fill="FDFCFB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FB6691">
        <w:rPr>
          <w:rFonts w:ascii="Calibri" w:eastAsia="Calibri" w:hAnsi="Calibri" w:cs="Calibri"/>
          <w:color w:val="313131"/>
          <w:sz w:val="18"/>
          <w:szCs w:val="18"/>
        </w:rPr>
        <w:t>- „Ceny transferowe. Komentarz do rozporządzenia  Ministra Finansów. Metody szacowania i analizy cen transferowych. Obowiązki sprawozdawcze. Schematy podatkowe MDR”, C.H. Beck, 2019.</w:t>
      </w:r>
    </w:p>
    <w:p w14:paraId="446634AB" w14:textId="77777777" w:rsidR="00357427" w:rsidRPr="00357427" w:rsidRDefault="00357427">
      <w:pPr>
        <w:rPr>
          <w:rFonts w:ascii="Arial" w:hAnsi="Arial" w:cs="Arial"/>
          <w:sz w:val="20"/>
          <w:szCs w:val="20"/>
        </w:rPr>
      </w:pPr>
    </w:p>
    <w:sectPr w:rsidR="00357427" w:rsidRPr="003574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740F5"/>
    <w:multiLevelType w:val="hybridMultilevel"/>
    <w:tmpl w:val="6D6EA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655663"/>
    <w:multiLevelType w:val="multilevel"/>
    <w:tmpl w:val="CDD89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A8267C"/>
    <w:multiLevelType w:val="multilevel"/>
    <w:tmpl w:val="1A860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E490F35"/>
    <w:multiLevelType w:val="multilevel"/>
    <w:tmpl w:val="4B22C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F880FAC"/>
    <w:multiLevelType w:val="multilevel"/>
    <w:tmpl w:val="F932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D1566AE"/>
    <w:multiLevelType w:val="multilevel"/>
    <w:tmpl w:val="DADE0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F7"/>
    <w:rsid w:val="000B6469"/>
    <w:rsid w:val="00104DD8"/>
    <w:rsid w:val="00186406"/>
    <w:rsid w:val="00193DA9"/>
    <w:rsid w:val="001A4F5E"/>
    <w:rsid w:val="001A7212"/>
    <w:rsid w:val="0020205A"/>
    <w:rsid w:val="00240071"/>
    <w:rsid w:val="002D0720"/>
    <w:rsid w:val="002D40E7"/>
    <w:rsid w:val="002F1CD5"/>
    <w:rsid w:val="003267DE"/>
    <w:rsid w:val="003549CB"/>
    <w:rsid w:val="00357427"/>
    <w:rsid w:val="00383F92"/>
    <w:rsid w:val="003966AA"/>
    <w:rsid w:val="00410625"/>
    <w:rsid w:val="0049487C"/>
    <w:rsid w:val="00525360"/>
    <w:rsid w:val="005F7D16"/>
    <w:rsid w:val="00657C1D"/>
    <w:rsid w:val="00660B6E"/>
    <w:rsid w:val="00673D08"/>
    <w:rsid w:val="006C1D88"/>
    <w:rsid w:val="0072617C"/>
    <w:rsid w:val="00756577"/>
    <w:rsid w:val="0089534E"/>
    <w:rsid w:val="008F33AB"/>
    <w:rsid w:val="00967CF7"/>
    <w:rsid w:val="009A73FE"/>
    <w:rsid w:val="00AA3031"/>
    <w:rsid w:val="00AB3E7C"/>
    <w:rsid w:val="00AC07F7"/>
    <w:rsid w:val="00AC347C"/>
    <w:rsid w:val="00AD1E20"/>
    <w:rsid w:val="00B44E32"/>
    <w:rsid w:val="00C5746E"/>
    <w:rsid w:val="00C61C73"/>
    <w:rsid w:val="00C878A3"/>
    <w:rsid w:val="00CB072A"/>
    <w:rsid w:val="00CF28EA"/>
    <w:rsid w:val="00DA50A2"/>
    <w:rsid w:val="00DE625A"/>
    <w:rsid w:val="00E046D4"/>
    <w:rsid w:val="00E70525"/>
    <w:rsid w:val="00EB2760"/>
    <w:rsid w:val="00EB6CD2"/>
    <w:rsid w:val="00F12570"/>
    <w:rsid w:val="00F445D7"/>
    <w:rsid w:val="00F62CB5"/>
    <w:rsid w:val="00F925EA"/>
    <w:rsid w:val="00FB38D5"/>
    <w:rsid w:val="00FB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A19D4"/>
  <w15:chartTrackingRefBased/>
  <w15:docId w15:val="{0830CE1D-0D0A-498D-9DB6-60D4116E0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072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186406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186406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73D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3D08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18640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8640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86406"/>
    <w:pPr>
      <w:spacing w:before="100" w:beforeAutospacing="1" w:after="100" w:afterAutospacing="1"/>
    </w:pPr>
    <w:rPr>
      <w:rFonts w:eastAsia="Times New Roman"/>
    </w:rPr>
  </w:style>
  <w:style w:type="character" w:styleId="Pogrubienie">
    <w:name w:val="Strong"/>
    <w:basedOn w:val="Domylnaczcionkaakapitu"/>
    <w:uiPriority w:val="22"/>
    <w:qFormat/>
    <w:rsid w:val="00186406"/>
    <w:rPr>
      <w:b/>
      <w:bCs/>
    </w:rPr>
  </w:style>
  <w:style w:type="paragraph" w:customStyle="1" w:styleId="elementpodkategorii">
    <w:name w:val="element_podkategorii"/>
    <w:basedOn w:val="Normalny"/>
    <w:rsid w:val="00357427"/>
    <w:pPr>
      <w:spacing w:before="100" w:beforeAutospacing="1" w:after="100" w:afterAutospacing="1"/>
    </w:pPr>
    <w:rPr>
      <w:rFonts w:eastAsia="Times New Roman"/>
    </w:rPr>
  </w:style>
  <w:style w:type="character" w:styleId="Uwydatnienie">
    <w:name w:val="Emphasis"/>
    <w:basedOn w:val="Domylnaczcionkaakapitu"/>
    <w:uiPriority w:val="20"/>
    <w:qFormat/>
    <w:rsid w:val="0035742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0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0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5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7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0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9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93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8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1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9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39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7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612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4309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602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1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34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0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87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7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cid:image001.png@01D6EF1E.FFB6B67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sseinvestpark.clickmeeting.com/zmiany-w-cit-w-2021-roku/register?_ga=2.177919523.789138232.1610960138-1487396930.158946088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240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cp:lastPrinted>2021-01-20T10:57:00Z</cp:lastPrinted>
  <dcterms:created xsi:type="dcterms:W3CDTF">2021-01-20T12:16:00Z</dcterms:created>
  <dcterms:modified xsi:type="dcterms:W3CDTF">2021-01-20T12:16:00Z</dcterms:modified>
</cp:coreProperties>
</file>