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2334E9" w14:textId="77777777" w:rsidR="00CB7141" w:rsidRDefault="00CB7141" w:rsidP="00CB7141">
      <w:pPr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Szanowni Państwo,</w:t>
      </w:r>
    </w:p>
    <w:p w14:paraId="37B1AEDA" w14:textId="77777777" w:rsidR="00CB7141" w:rsidRDefault="00CB7141" w:rsidP="00CB7141">
      <w:pPr>
        <w:rPr>
          <w:rFonts w:ascii="Tahoma" w:hAnsi="Tahoma" w:cs="Tahoma"/>
          <w:color w:val="000000"/>
          <w:sz w:val="20"/>
          <w:szCs w:val="20"/>
        </w:rPr>
      </w:pPr>
    </w:p>
    <w:p w14:paraId="368DC3BA" w14:textId="77777777" w:rsidR="00CB7141" w:rsidRDefault="00CB7141" w:rsidP="00CB714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>Wałbrzyska Specjalna Strefa Ekonomiczna "INVEST-PARK" wspólnie z Kancelarią</w:t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TLA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Tax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Legal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Advisors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zaprasza na bezpłatne webinarium:</w:t>
      </w:r>
      <w:r>
        <w:rPr>
          <w:rStyle w:val="font-cm"/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>
        <w:rPr>
          <w:rStyle w:val="Pogrubienie"/>
          <w:rFonts w:ascii="Tahoma" w:hAnsi="Tahoma" w:cs="Tahoma"/>
          <w:color w:val="FF0000"/>
          <w:sz w:val="20"/>
          <w:szCs w:val="20"/>
        </w:rPr>
        <w:t>Strategia podatkowa - obowiązek informacyjny czy coś więcej?</w:t>
      </w:r>
    </w:p>
    <w:p w14:paraId="779A8AF0" w14:textId="77777777" w:rsidR="00CB7141" w:rsidRDefault="00CB7141" w:rsidP="00CB7141">
      <w:pPr>
        <w:jc w:val="both"/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które odbędzie się </w:t>
      </w:r>
      <w:r>
        <w:rPr>
          <w:rStyle w:val="Pogrubienie"/>
          <w:rFonts w:ascii="Tahoma" w:hAnsi="Tahoma" w:cs="Tahoma"/>
          <w:color w:val="000000"/>
          <w:sz w:val="20"/>
          <w:szCs w:val="20"/>
        </w:rPr>
        <w:t>2</w:t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lutego br. o godzinie 10:00.</w:t>
      </w:r>
    </w:p>
    <w:p w14:paraId="7ED10741" w14:textId="77777777" w:rsidR="00CB7141" w:rsidRDefault="00CB7141" w:rsidP="00CB7141">
      <w:pPr>
        <w:jc w:val="both"/>
        <w:rPr>
          <w:color w:val="000000"/>
        </w:rPr>
      </w:pPr>
    </w:p>
    <w:p w14:paraId="3410425F" w14:textId="77777777" w:rsidR="00CB7141" w:rsidRDefault="00CB7141" w:rsidP="00CB7141">
      <w:pPr>
        <w:rPr>
          <w:color w:val="000000"/>
        </w:rPr>
      </w:pPr>
    </w:p>
    <w:p w14:paraId="6ECF16CB" w14:textId="77777777" w:rsidR="00CB7141" w:rsidRDefault="00CB7141" w:rsidP="00CB7141">
      <w:pPr>
        <w:pStyle w:val="NormalnyWeb"/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Zagadnienia, które omówimy podczas webinarium:</w:t>
      </w:r>
    </w:p>
    <w:p w14:paraId="19AA533F" w14:textId="77777777" w:rsidR="00CB7141" w:rsidRDefault="00CB7141" w:rsidP="00CB7141">
      <w:pPr>
        <w:numPr>
          <w:ilvl w:val="0"/>
          <w:numId w:val="1"/>
        </w:numPr>
        <w:spacing w:before="100" w:beforeAutospacing="1" w:after="100" w:afterAutospacing="1"/>
        <w:rPr>
          <w:rFonts w:ascii="Tahoma" w:eastAsia="Times New Roman" w:hAnsi="Tahoma" w:cs="Tahoma"/>
          <w:color w:val="000000"/>
          <w:sz w:val="20"/>
          <w:szCs w:val="20"/>
        </w:rPr>
      </w:pPr>
      <w:r>
        <w:rPr>
          <w:rFonts w:ascii="Tahoma" w:eastAsia="Times New Roman" w:hAnsi="Tahoma" w:cs="Tahoma"/>
          <w:color w:val="000000"/>
          <w:sz w:val="20"/>
          <w:szCs w:val="20"/>
        </w:rPr>
        <w:t>Czy podatników czeka kolejna rewolucja?</w:t>
      </w:r>
    </w:p>
    <w:p w14:paraId="36486823" w14:textId="77777777" w:rsidR="00CB7141" w:rsidRDefault="00CB7141" w:rsidP="00CB7141">
      <w:pPr>
        <w:numPr>
          <w:ilvl w:val="0"/>
          <w:numId w:val="1"/>
        </w:numPr>
        <w:spacing w:before="100" w:beforeAutospacing="1" w:after="100" w:afterAutospacing="1"/>
        <w:rPr>
          <w:rFonts w:ascii="Tahoma" w:eastAsia="Times New Roman" w:hAnsi="Tahoma" w:cs="Tahoma"/>
          <w:color w:val="000000"/>
          <w:sz w:val="20"/>
          <w:szCs w:val="20"/>
        </w:rPr>
      </w:pPr>
      <w:r>
        <w:rPr>
          <w:rFonts w:ascii="Tahoma" w:eastAsia="Times New Roman" w:hAnsi="Tahoma" w:cs="Tahoma"/>
          <w:color w:val="000000"/>
          <w:sz w:val="20"/>
          <w:szCs w:val="20"/>
        </w:rPr>
        <w:t>Czego dotyczy strategia podatkowa?</w:t>
      </w:r>
    </w:p>
    <w:p w14:paraId="12CFCECD" w14:textId="77777777" w:rsidR="00CB7141" w:rsidRDefault="00CB7141" w:rsidP="00CB7141">
      <w:pPr>
        <w:numPr>
          <w:ilvl w:val="0"/>
          <w:numId w:val="1"/>
        </w:numPr>
        <w:spacing w:before="100" w:beforeAutospacing="1" w:after="100" w:afterAutospacing="1"/>
        <w:rPr>
          <w:rFonts w:ascii="Tahoma" w:eastAsia="Times New Roman" w:hAnsi="Tahoma" w:cs="Tahoma"/>
          <w:color w:val="000000"/>
          <w:sz w:val="20"/>
          <w:szCs w:val="20"/>
        </w:rPr>
      </w:pPr>
      <w:r>
        <w:rPr>
          <w:rFonts w:ascii="Tahoma" w:eastAsia="Times New Roman" w:hAnsi="Tahoma" w:cs="Tahoma"/>
          <w:color w:val="000000"/>
          <w:sz w:val="20"/>
          <w:szCs w:val="20"/>
        </w:rPr>
        <w:t>Program współdziałania (ramy wewnętrznego nadzoru podatkowego), a strategia podatkowa.</w:t>
      </w:r>
    </w:p>
    <w:p w14:paraId="493D37E8" w14:textId="77777777" w:rsidR="00CB7141" w:rsidRDefault="00CB7141" w:rsidP="00CB7141">
      <w:pPr>
        <w:numPr>
          <w:ilvl w:val="0"/>
          <w:numId w:val="1"/>
        </w:numPr>
        <w:spacing w:before="100" w:beforeAutospacing="1" w:after="100" w:afterAutospacing="1"/>
        <w:rPr>
          <w:rFonts w:ascii="Tahoma" w:eastAsia="Times New Roman" w:hAnsi="Tahoma" w:cs="Tahoma"/>
          <w:color w:val="000000"/>
          <w:sz w:val="20"/>
          <w:szCs w:val="20"/>
        </w:rPr>
      </w:pPr>
      <w:r>
        <w:rPr>
          <w:rFonts w:ascii="Tahoma" w:eastAsia="Times New Roman" w:hAnsi="Tahoma" w:cs="Tahoma"/>
          <w:color w:val="000000"/>
          <w:sz w:val="20"/>
          <w:szCs w:val="20"/>
        </w:rPr>
        <w:t>Jakie działania podjąć, aby sprostać nowym obowiązkom?</w:t>
      </w:r>
    </w:p>
    <w:p w14:paraId="4C96AA47" w14:textId="77777777" w:rsidR="00CB7141" w:rsidRDefault="00CB7141" w:rsidP="00CB7141">
      <w:pPr>
        <w:numPr>
          <w:ilvl w:val="0"/>
          <w:numId w:val="1"/>
        </w:numPr>
        <w:spacing w:before="100" w:beforeAutospacing="1" w:after="100" w:afterAutospacing="1"/>
        <w:rPr>
          <w:rFonts w:ascii="Tahoma" w:eastAsia="Times New Roman" w:hAnsi="Tahoma" w:cs="Tahoma"/>
          <w:color w:val="000000"/>
          <w:sz w:val="20"/>
          <w:szCs w:val="20"/>
        </w:rPr>
      </w:pPr>
      <w:r>
        <w:rPr>
          <w:rFonts w:ascii="Tahoma" w:eastAsia="Times New Roman" w:hAnsi="Tahoma" w:cs="Tahoma"/>
          <w:color w:val="000000"/>
          <w:sz w:val="20"/>
          <w:szCs w:val="20"/>
        </w:rPr>
        <w:t>Korzyści i zagrożenia związane z formułowaniem strategii podatkowej (na co zwrócić uwagę).</w:t>
      </w:r>
    </w:p>
    <w:p w14:paraId="4B0F4E51" w14:textId="77777777" w:rsidR="00CB7141" w:rsidRDefault="00CB7141" w:rsidP="00CB7141">
      <w:pPr>
        <w:rPr>
          <w:rFonts w:ascii="Tahoma" w:hAnsi="Tahoma" w:cs="Tahoma"/>
          <w:color w:val="000000"/>
          <w:sz w:val="20"/>
          <w:szCs w:val="20"/>
        </w:rPr>
      </w:pPr>
    </w:p>
    <w:p w14:paraId="253C622D" w14:textId="77777777" w:rsidR="00CB7141" w:rsidRDefault="00CB7141" w:rsidP="00CB7141">
      <w:pPr>
        <w:rPr>
          <w:rFonts w:ascii="Tahoma" w:hAnsi="Tahoma" w:cs="Tahoma"/>
          <w:color w:val="000000"/>
          <w:sz w:val="20"/>
          <w:szCs w:val="20"/>
        </w:rPr>
      </w:pPr>
    </w:p>
    <w:p w14:paraId="188F2FA4" w14:textId="77777777" w:rsidR="00CB7141" w:rsidRDefault="00CB7141" w:rsidP="00CB7141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Pogrubienie"/>
          <w:rFonts w:ascii="Tahoma" w:hAnsi="Tahoma" w:cs="Tahoma"/>
          <w:color w:val="000000"/>
          <w:sz w:val="20"/>
          <w:szCs w:val="20"/>
          <w:u w:val="single"/>
        </w:rPr>
        <w:t>Spotkanie poprowadzą dla Państwa:</w:t>
      </w:r>
    </w:p>
    <w:p w14:paraId="48237182" w14:textId="77777777" w:rsidR="00CB7141" w:rsidRDefault="00CB7141" w:rsidP="00CB7141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Tahoma" w:hAnsi="Tahoma" w:cs="Tahoma"/>
          <w:b/>
          <w:bCs/>
          <w:color w:val="FF0000"/>
          <w:sz w:val="20"/>
          <w:szCs w:val="20"/>
        </w:rPr>
        <w:t>Krzysztof Koniewski </w:t>
      </w:r>
      <w:r>
        <w:rPr>
          <w:rFonts w:ascii="Tahoma" w:hAnsi="Tahoma" w:cs="Tahoma"/>
          <w:color w:val="000000"/>
          <w:sz w:val="20"/>
          <w:szCs w:val="20"/>
        </w:rPr>
        <w:t>(</w:t>
      </w:r>
      <w:hyperlink r:id="rId5" w:tgtFrame="_blank" w:history="1">
        <w:r>
          <w:rPr>
            <w:rStyle w:val="Hipercze"/>
            <w:rFonts w:ascii="Tahoma" w:hAnsi="Tahoma" w:cs="Tahoma"/>
            <w:color w:val="6888C9"/>
            <w:sz w:val="20"/>
            <w:szCs w:val="20"/>
            <w:u w:val="none"/>
          </w:rPr>
          <w:t>krzysztof.koniewski@tla-kancelaria.pl</w:t>
        </w:r>
      </w:hyperlink>
      <w:r>
        <w:rPr>
          <w:rFonts w:ascii="Tahoma" w:hAnsi="Tahoma" w:cs="Tahoma"/>
          <w:color w:val="000000"/>
          <w:sz w:val="20"/>
          <w:szCs w:val="20"/>
        </w:rPr>
        <w:t>)</w:t>
      </w:r>
      <w:r>
        <w:rPr>
          <w:rFonts w:ascii="Tahoma" w:hAnsi="Tahoma" w:cs="Tahoma"/>
          <w:b/>
          <w:bCs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– partner w Kancelarii TLA, licencjonowany doradca podatkowy z wieloletnim doświadczeniem zawodowym zdobytym w takich firmach jak 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Roedl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> &amp; Partner, 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PwC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>, Deloitte. Pełniąc funkcje menedżerskie był odpowiedzialny za zespół German 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Desk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>, ukierunkowany na obsługę klientów niemieckojęzycznych. Rozwijając specjalizację w zakresie podatków pośrednich, skutecznie i z wieloma sukcesami doradzał klientom również w zakresie podatków dochodowych. Krzysztof na konto swoich osiągnięć zawodowych może zapisać w szczególności bardzo wysoką skuteczność w sporach z organami podatkowymi oraz wdrożenie u klientów wielu rozwiązań istotnie poprawiających strukturę rozliczeń podatkowych. </w:t>
      </w:r>
    </w:p>
    <w:p w14:paraId="12C65448" w14:textId="77777777" w:rsidR="00CB7141" w:rsidRDefault="00CB7141" w:rsidP="00CB7141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>  </w:t>
      </w:r>
    </w:p>
    <w:p w14:paraId="5D9C0FA4" w14:textId="77777777" w:rsidR="00CB7141" w:rsidRDefault="00CB7141" w:rsidP="00CB7141">
      <w:pPr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FF0000"/>
          <w:sz w:val="20"/>
          <w:szCs w:val="20"/>
        </w:rPr>
        <w:t>Maciej Kubica</w:t>
      </w:r>
      <w:r>
        <w:rPr>
          <w:rFonts w:ascii="Tahoma" w:hAnsi="Tahoma" w:cs="Tahoma"/>
          <w:b/>
          <w:bCs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(</w:t>
      </w:r>
      <w:hyperlink r:id="rId6" w:tgtFrame="_blank" w:history="1">
        <w:r>
          <w:rPr>
            <w:rStyle w:val="Hipercze"/>
            <w:rFonts w:ascii="Tahoma" w:hAnsi="Tahoma" w:cs="Tahoma"/>
            <w:color w:val="6888C9"/>
            <w:sz w:val="20"/>
            <w:szCs w:val="20"/>
            <w:u w:val="none"/>
          </w:rPr>
          <w:t>maciej.kubica@tla-kancelaria.pl</w:t>
        </w:r>
      </w:hyperlink>
      <w:r>
        <w:rPr>
          <w:rFonts w:ascii="Tahoma" w:hAnsi="Tahoma" w:cs="Tahoma"/>
          <w:color w:val="000000"/>
          <w:sz w:val="20"/>
          <w:szCs w:val="20"/>
        </w:rPr>
        <w:t>) </w:t>
      </w:r>
      <w:r>
        <w:rPr>
          <w:rFonts w:ascii="Tahoma" w:hAnsi="Tahoma" w:cs="Tahoma"/>
          <w:b/>
          <w:bCs/>
          <w:color w:val="000000"/>
          <w:sz w:val="20"/>
          <w:szCs w:val="20"/>
        </w:rPr>
        <w:t>– </w:t>
      </w:r>
      <w:r>
        <w:rPr>
          <w:rFonts w:ascii="Tahoma" w:hAnsi="Tahoma" w:cs="Tahoma"/>
          <w:color w:val="000000"/>
          <w:sz w:val="20"/>
          <w:szCs w:val="20"/>
        </w:rPr>
        <w:t xml:space="preserve">radca prawny, ale z wykształcenia także ekonomista. Interdyscyplinarne przygotowanie zawodowe umożliwia mu kompleksową realizację projektów związanych z szeroko pojętymi przekształceniami i zmianami organizacyjnymi polegającymi na tworzeniu nowych struktur prawnych. Wspiera klientów działających w specjalnych strefach ekonomicznych, jak również dopiero ubiegających się o korzystanie z pomocy publicznej. Prowadząc spory z organami podatkowymi poszukuje nieszablonowych rozwiązań.  </w:t>
      </w:r>
    </w:p>
    <w:p w14:paraId="4710FD57" w14:textId="77777777" w:rsidR="00CB7141" w:rsidRDefault="00CB7141" w:rsidP="00CB7141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> </w:t>
      </w:r>
    </w:p>
    <w:p w14:paraId="71D3C89F" w14:textId="77777777" w:rsidR="00CB7141" w:rsidRDefault="00CB7141" w:rsidP="00CB7141">
      <w:pPr>
        <w:rPr>
          <w:rFonts w:ascii="Tahoma" w:hAnsi="Tahoma" w:cs="Tahoma"/>
          <w:color w:val="000000"/>
          <w:sz w:val="20"/>
          <w:szCs w:val="20"/>
        </w:rPr>
      </w:pPr>
      <w:r>
        <w:rPr>
          <w:rStyle w:val="Pogrubienie"/>
          <w:rFonts w:ascii="Tahoma" w:hAnsi="Tahoma" w:cs="Tahoma"/>
          <w:color w:val="000000"/>
          <w:sz w:val="20"/>
          <w:szCs w:val="20"/>
        </w:rPr>
        <w:t>Zarejestruj się klikając w grafikę:</w:t>
      </w:r>
    </w:p>
    <w:p w14:paraId="64C469AE" w14:textId="2A9E88C3" w:rsidR="00CB7141" w:rsidRDefault="00CB7141" w:rsidP="00CB7141">
      <w:pPr>
        <w:spacing w:after="24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noProof/>
          <w:color w:val="0000FF"/>
          <w:sz w:val="20"/>
          <w:szCs w:val="20"/>
        </w:rPr>
        <w:drawing>
          <wp:inline distT="0" distB="0" distL="0" distR="0" wp14:anchorId="379E4754" wp14:editId="3AF380BC">
            <wp:extent cx="2971800" cy="2495550"/>
            <wp:effectExtent l="0" t="0" r="0" b="0"/>
            <wp:docPr id="1" name="Obraz 1">
              <a:hlinkClick xmlns:a="http://schemas.openxmlformats.org/drawingml/2006/main" r:id="rId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72408" w14:textId="77777777" w:rsidR="00CB7141" w:rsidRDefault="00CB7141" w:rsidP="00CB7141">
      <w:pPr>
        <w:rPr>
          <w:rFonts w:ascii="Tahoma" w:hAnsi="Tahoma" w:cs="Tahoma"/>
          <w:color w:val="000000"/>
          <w:sz w:val="20"/>
          <w:szCs w:val="20"/>
        </w:rPr>
      </w:pPr>
      <w:r>
        <w:rPr>
          <w:rStyle w:val="Pogrubienie"/>
          <w:rFonts w:ascii="Tahoma" w:hAnsi="Tahoma" w:cs="Tahoma"/>
          <w:color w:val="000000"/>
          <w:sz w:val="20"/>
          <w:szCs w:val="20"/>
        </w:rPr>
        <w:t>Poniżej link do rejestracji:</w:t>
      </w:r>
    </w:p>
    <w:p w14:paraId="38CE2F5B" w14:textId="77777777" w:rsidR="00CB7141" w:rsidRDefault="00CB7141" w:rsidP="00CB7141">
      <w:pPr>
        <w:rPr>
          <w:rFonts w:ascii="Tahoma" w:hAnsi="Tahoma" w:cs="Tahoma"/>
          <w:color w:val="000000"/>
          <w:sz w:val="20"/>
          <w:szCs w:val="20"/>
        </w:rPr>
      </w:pPr>
      <w:hyperlink r:id="rId10" w:history="1">
        <w:r>
          <w:rPr>
            <w:rStyle w:val="Hipercze"/>
            <w:rFonts w:ascii="Tahoma" w:hAnsi="Tahoma" w:cs="Tahoma"/>
            <w:sz w:val="20"/>
            <w:szCs w:val="20"/>
          </w:rPr>
          <w:t>https://wsseinvestpark.clickmeeting.com/strategia-podatkowa-obowiazek-informacyjny-czy-cos-wiecej-/register?_ga=2.8209074.1660143555.1611652517-793848588.1600691460</w:t>
        </w:r>
      </w:hyperlink>
    </w:p>
    <w:p w14:paraId="33018A22" w14:textId="77777777" w:rsidR="00AF40CA" w:rsidRDefault="00AF40CA"/>
    <w:sectPr w:rsidR="00AF4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F50B16"/>
    <w:multiLevelType w:val="multilevel"/>
    <w:tmpl w:val="061A6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E06"/>
    <w:rsid w:val="001C3E06"/>
    <w:rsid w:val="00577EDE"/>
    <w:rsid w:val="00AF40CA"/>
    <w:rsid w:val="00BB6BC3"/>
    <w:rsid w:val="00CB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023D1"/>
  <w15:chartTrackingRefBased/>
  <w15:docId w15:val="{655FCCB7-9712-47BA-A5AF-5CB6E6D0C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EDE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B714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B714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font-cm">
    <w:name w:val="font-cm"/>
    <w:basedOn w:val="Domylnaczcionkaakapitu"/>
    <w:rsid w:val="00CB7141"/>
  </w:style>
  <w:style w:type="character" w:styleId="Pogrubienie">
    <w:name w:val="Strong"/>
    <w:basedOn w:val="Domylnaczcionkaakapitu"/>
    <w:uiPriority w:val="22"/>
    <w:qFormat/>
    <w:rsid w:val="00CB71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15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sseinvestpark.clickmeeting.com/strategia-podatkowa-obowiazek-informacyjny-czy-cos-wiecej-/register?_ga=2.8209074.1660143555.1611652517-793848588.160069146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ciej.kubica@tla-kancelaria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zysztof.koniewski@tla-kancelaria.pl" TargetMode="External"/><Relationship Id="rId10" Type="http://schemas.openxmlformats.org/officeDocument/2006/relationships/hyperlink" Target="https://wsseinvestpark.clickmeeting.com/strategia-podatkowa-obowiazek-informacyjny-czy-cos-wiecej-/register?_ga=2.8209074.1660143555.1611652517-793848588.1600691460" TargetMode="External"/><Relationship Id="rId4" Type="http://schemas.openxmlformats.org/officeDocument/2006/relationships/webSettings" Target="webSettings.xml"/><Relationship Id="rId9" Type="http://schemas.openxmlformats.org/officeDocument/2006/relationships/image" Target="cid:image001.png@01D6F494.1B2E13B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2021-01-28T07:45:00Z</dcterms:created>
  <dcterms:modified xsi:type="dcterms:W3CDTF">2021-01-28T07:45:00Z</dcterms:modified>
</cp:coreProperties>
</file>