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0D66DB" w14:textId="77777777" w:rsidR="00173BDC" w:rsidRDefault="00173BDC" w:rsidP="00173BDC">
      <w:pPr>
        <w:rPr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 xml:space="preserve">Wałbrzyska Specjalna Strefa Ekonomiczna "INVEST-PARK" wspólnie z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kancelarią SENDERO </w:t>
      </w:r>
      <w:proofErr w:type="spellStart"/>
      <w:r>
        <w:rPr>
          <w:rFonts w:ascii="Arial" w:hAnsi="Arial" w:cs="Arial"/>
          <w:b/>
          <w:bCs/>
          <w:color w:val="000000"/>
          <w:sz w:val="22"/>
          <w:szCs w:val="22"/>
        </w:rPr>
        <w:t>Tax</w:t>
      </w:r>
      <w:proofErr w:type="spellEnd"/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&amp; </w:t>
      </w:r>
      <w:proofErr w:type="spellStart"/>
      <w:r>
        <w:rPr>
          <w:rFonts w:ascii="Arial" w:hAnsi="Arial" w:cs="Arial"/>
          <w:b/>
          <w:bCs/>
          <w:color w:val="000000"/>
          <w:sz w:val="22"/>
          <w:szCs w:val="22"/>
        </w:rPr>
        <w:t>Legal</w:t>
      </w:r>
      <w:proofErr w:type="spellEnd"/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zaprasza na </w:t>
      </w:r>
      <w:r>
        <w:rPr>
          <w:rFonts w:ascii="Arial" w:hAnsi="Arial" w:cs="Arial"/>
          <w:b/>
          <w:bCs/>
          <w:color w:val="000000"/>
          <w:sz w:val="22"/>
          <w:szCs w:val="22"/>
        </w:rPr>
        <w:t>bezpłatne webinarium</w:t>
      </w:r>
      <w:r>
        <w:rPr>
          <w:rFonts w:ascii="Arial" w:hAnsi="Arial" w:cs="Arial"/>
          <w:color w:val="000000"/>
          <w:sz w:val="22"/>
          <w:szCs w:val="22"/>
        </w:rPr>
        <w:t>:</w:t>
      </w:r>
    </w:p>
    <w:p w14:paraId="4E2FCC81" w14:textId="77777777" w:rsidR="00173BDC" w:rsidRDefault="00173BDC" w:rsidP="00173BDC">
      <w:pPr>
        <w:spacing w:after="240"/>
        <w:rPr>
          <w:color w:val="000000"/>
        </w:rPr>
      </w:pPr>
    </w:p>
    <w:p w14:paraId="1AC54EC0" w14:textId="77777777" w:rsidR="00173BDC" w:rsidRDefault="00173BDC" w:rsidP="00173BDC">
      <w:pPr>
        <w:shd w:val="clear" w:color="auto" w:fill="FDFCFB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FF0000"/>
          <w:sz w:val="28"/>
          <w:szCs w:val="28"/>
        </w:rPr>
        <w:t>„Przedstawiciele pracowników – jak z nimi współpracować?”,</w:t>
      </w:r>
    </w:p>
    <w:p w14:paraId="1E6AE615" w14:textId="77777777" w:rsidR="00173BDC" w:rsidRDefault="00173BDC" w:rsidP="00173BDC">
      <w:pPr>
        <w:shd w:val="clear" w:color="auto" w:fill="FDFCFB"/>
        <w:jc w:val="center"/>
        <w:textAlignment w:val="baseline"/>
        <w:rPr>
          <w:color w:val="000000"/>
        </w:rPr>
      </w:pPr>
      <w:r>
        <w:rPr>
          <w:rFonts w:ascii="Arial" w:hAnsi="Arial" w:cs="Arial"/>
          <w:color w:val="FF0000"/>
          <w:sz w:val="22"/>
          <w:szCs w:val="22"/>
        </w:rPr>
        <w:t> </w:t>
      </w:r>
    </w:p>
    <w:p w14:paraId="06096E4D" w14:textId="77777777" w:rsidR="00173BDC" w:rsidRDefault="00173BDC" w:rsidP="00173BDC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 xml:space="preserve">które odbędzie się </w:t>
      </w: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00"/>
        </w:rPr>
        <w:t>19 lutego 2021 r. od 10:00 do 11:30.</w:t>
      </w:r>
    </w:p>
    <w:p w14:paraId="32D93C11" w14:textId="77777777" w:rsidR="00173BDC" w:rsidRDefault="00173BDC" w:rsidP="00173BDC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> </w:t>
      </w:r>
    </w:p>
    <w:p w14:paraId="52E22593" w14:textId="77777777" w:rsidR="00173BDC" w:rsidRDefault="00173BDC" w:rsidP="00173BDC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 xml:space="preserve">Co łączy portal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GoWork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ze związkami zawodowymi? Dość napisać, że często nie ułatwiają bieżącego funkcjonowanie przedsiębiorstwa. Czy pracodawca może temu przeciwdziałać. Naszym zdaniem tak – może szukać takich metod komunikacji z pracownikami, które ograniczą wysyp hejtu w Internecie i zniechęcą „działaczy” do rozwoju ruchu związkowego. Gdzie w tym wszystkim znajdują się przedstawiciele pracowników, jak ich wybrać i kiedy z nimi współpracować? Na te pytania odpowiemy na najbliższym webinarium poświęconym przedstawicielstwu pracowniczemu.</w:t>
      </w:r>
    </w:p>
    <w:p w14:paraId="48C86A98" w14:textId="77777777" w:rsidR="00173BDC" w:rsidRDefault="00173BDC" w:rsidP="00173BDC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 </w:t>
      </w:r>
    </w:p>
    <w:p w14:paraId="4BAE1C2A" w14:textId="77777777" w:rsidR="00173BDC" w:rsidRDefault="00173BDC" w:rsidP="00173BDC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Agenda</w:t>
      </w:r>
      <w:r>
        <w:rPr>
          <w:rFonts w:ascii="Arial" w:hAnsi="Arial" w:cs="Arial"/>
          <w:color w:val="000000"/>
          <w:sz w:val="22"/>
          <w:szCs w:val="22"/>
        </w:rPr>
        <w:t>:</w:t>
      </w:r>
    </w:p>
    <w:p w14:paraId="717B5404" w14:textId="77777777" w:rsidR="00173BDC" w:rsidRDefault="00173BDC" w:rsidP="00173BDC">
      <w:pPr>
        <w:numPr>
          <w:ilvl w:val="0"/>
          <w:numId w:val="1"/>
        </w:numPr>
        <w:shd w:val="clear" w:color="auto" w:fill="FDFCFB"/>
        <w:spacing w:before="100" w:beforeAutospacing="1" w:after="100" w:afterAutospacing="1"/>
        <w:jc w:val="both"/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Rola pracowników w funkcjonowaniu zakładów pracy</w:t>
      </w:r>
    </w:p>
    <w:p w14:paraId="235318B6" w14:textId="77777777" w:rsidR="00173BDC" w:rsidRDefault="00173BDC" w:rsidP="00173BDC">
      <w:pPr>
        <w:numPr>
          <w:ilvl w:val="0"/>
          <w:numId w:val="1"/>
        </w:numPr>
        <w:shd w:val="clear" w:color="auto" w:fill="FDFCFB"/>
        <w:spacing w:before="100" w:beforeAutospacing="1" w:after="100" w:afterAutospacing="1"/>
        <w:jc w:val="both"/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Wybory przedstawicieli</w:t>
      </w:r>
    </w:p>
    <w:p w14:paraId="45E7D050" w14:textId="77777777" w:rsidR="00173BDC" w:rsidRDefault="00173BDC" w:rsidP="00173BDC">
      <w:pPr>
        <w:numPr>
          <w:ilvl w:val="0"/>
          <w:numId w:val="1"/>
        </w:numPr>
        <w:shd w:val="clear" w:color="auto" w:fill="FDFCFB"/>
        <w:spacing w:before="100" w:beforeAutospacing="1" w:after="100" w:afterAutospacing="1"/>
        <w:jc w:val="both"/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Kiedy współdziałania wymagają przepisy?</w:t>
      </w:r>
    </w:p>
    <w:p w14:paraId="692F70DD" w14:textId="77777777" w:rsidR="00173BDC" w:rsidRDefault="00173BDC" w:rsidP="00173BDC">
      <w:pPr>
        <w:numPr>
          <w:ilvl w:val="0"/>
          <w:numId w:val="1"/>
        </w:numPr>
        <w:shd w:val="clear" w:color="auto" w:fill="FDFCFB"/>
        <w:spacing w:before="100" w:beforeAutospacing="1" w:after="100" w:afterAutospacing="1"/>
        <w:jc w:val="both"/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Być szybszym od związkowców</w:t>
      </w:r>
    </w:p>
    <w:p w14:paraId="5C09CC63" w14:textId="77777777" w:rsidR="00173BDC" w:rsidRDefault="00173BDC" w:rsidP="00173BDC">
      <w:pPr>
        <w:numPr>
          <w:ilvl w:val="0"/>
          <w:numId w:val="1"/>
        </w:numPr>
        <w:shd w:val="clear" w:color="auto" w:fill="FDFCFB"/>
        <w:spacing w:before="100" w:beforeAutospacing="1" w:after="100" w:afterAutospacing="1"/>
        <w:jc w:val="both"/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Strategia kluczem do sukcesu</w:t>
      </w:r>
    </w:p>
    <w:p w14:paraId="7EF2E6B3" w14:textId="77777777" w:rsidR="00173BDC" w:rsidRDefault="00173BDC" w:rsidP="00173BDC">
      <w:pPr>
        <w:numPr>
          <w:ilvl w:val="0"/>
          <w:numId w:val="1"/>
        </w:numPr>
        <w:shd w:val="clear" w:color="auto" w:fill="FDFCFB"/>
        <w:spacing w:before="100" w:beforeAutospacing="1" w:after="100" w:afterAutospacing="1"/>
        <w:jc w:val="both"/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 xml:space="preserve">Konsekwencja w działaniu –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</w:rPr>
        <w:t>case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</w:rPr>
        <w:t>study</w:t>
      </w:r>
      <w:proofErr w:type="spellEnd"/>
    </w:p>
    <w:p w14:paraId="47896114" w14:textId="77777777" w:rsidR="00173BDC" w:rsidRDefault="00173BDC" w:rsidP="00173BDC">
      <w:pPr>
        <w:numPr>
          <w:ilvl w:val="0"/>
          <w:numId w:val="1"/>
        </w:numPr>
        <w:shd w:val="clear" w:color="auto" w:fill="FDFCFB"/>
        <w:spacing w:before="100" w:beforeAutospacing="1" w:after="100" w:afterAutospacing="1"/>
        <w:jc w:val="both"/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 xml:space="preserve">Zarabianie na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</w:rPr>
        <w:t>hejcie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</w:rPr>
        <w:t xml:space="preserve">, czyli co robi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</w:rPr>
        <w:t>GoWork</w:t>
      </w:r>
      <w:proofErr w:type="spellEnd"/>
    </w:p>
    <w:p w14:paraId="7C5E2670" w14:textId="77777777" w:rsidR="00173BDC" w:rsidRDefault="00173BDC" w:rsidP="00173BDC">
      <w:pPr>
        <w:numPr>
          <w:ilvl w:val="0"/>
          <w:numId w:val="1"/>
        </w:numPr>
        <w:shd w:val="clear" w:color="auto" w:fill="FDFCFB"/>
        <w:spacing w:before="100" w:beforeAutospacing="1" w:after="100" w:afterAutospacing="1"/>
        <w:jc w:val="both"/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Podsumowanie</w:t>
      </w:r>
    </w:p>
    <w:p w14:paraId="42F57F4A" w14:textId="77777777" w:rsidR="00173BDC" w:rsidRDefault="00173BDC" w:rsidP="00173BDC">
      <w:pPr>
        <w:shd w:val="clear" w:color="auto" w:fill="FDFCFB"/>
        <w:spacing w:after="240"/>
        <w:jc w:val="both"/>
        <w:textAlignment w:val="baseline"/>
        <w:rPr>
          <w:color w:val="000000"/>
        </w:rPr>
      </w:pPr>
    </w:p>
    <w:p w14:paraId="5F21033C" w14:textId="77777777" w:rsidR="00173BDC" w:rsidRDefault="00173BDC" w:rsidP="00173BDC">
      <w:pPr>
        <w:shd w:val="clear" w:color="auto" w:fill="FDFCFB"/>
        <w:jc w:val="both"/>
        <w:textAlignment w:val="baseline"/>
        <w:rPr>
          <w:color w:val="000000"/>
        </w:rPr>
      </w:pPr>
      <w:r>
        <w:rPr>
          <w:b/>
          <w:bCs/>
          <w:color w:val="FF0000"/>
          <w:sz w:val="20"/>
          <w:szCs w:val="20"/>
        </w:rPr>
        <w:t>LINK DO REJESTRACJI:</w:t>
      </w:r>
    </w:p>
    <w:p w14:paraId="10860E55" w14:textId="5E46BBB7" w:rsidR="00173BDC" w:rsidRDefault="00173BDC" w:rsidP="00173BDC">
      <w:pPr>
        <w:shd w:val="clear" w:color="auto" w:fill="FDFCFB"/>
        <w:jc w:val="both"/>
        <w:textAlignment w:val="baseline"/>
        <w:rPr>
          <w:color w:val="000000"/>
        </w:rPr>
      </w:pPr>
      <w:r>
        <w:rPr>
          <w:noProof/>
          <w:color w:val="000000"/>
        </w:rPr>
        <w:drawing>
          <wp:inline distT="0" distB="0" distL="0" distR="0" wp14:anchorId="0869FCA1" wp14:editId="3BAC5BB3">
            <wp:extent cx="1276350" cy="400050"/>
            <wp:effectExtent l="0" t="0" r="0" b="0"/>
            <wp:docPr id="1" name="Obraz 1">
              <a:hlinkClick xmlns:a="http://schemas.openxmlformats.org/drawingml/2006/main" r:id="rId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E09E30" w14:textId="77777777" w:rsidR="00173BDC" w:rsidRDefault="00173BDC" w:rsidP="00173BDC">
      <w:pPr>
        <w:shd w:val="clear" w:color="auto" w:fill="FDFCFB"/>
        <w:jc w:val="both"/>
        <w:textAlignment w:val="baseline"/>
        <w:rPr>
          <w:color w:val="000000"/>
        </w:rPr>
      </w:pPr>
    </w:p>
    <w:p w14:paraId="2121399B" w14:textId="77777777" w:rsidR="00173BDC" w:rsidRDefault="00173BDC" w:rsidP="00173BDC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Nasz ekspert: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12ABC28F" w14:textId="77777777" w:rsidR="00173BDC" w:rsidRDefault="00173BDC" w:rsidP="00173BDC">
      <w:pPr>
        <w:shd w:val="clear" w:color="auto" w:fill="FDFCFB"/>
        <w:rPr>
          <w:color w:val="000000"/>
        </w:rPr>
      </w:pPr>
      <w:r>
        <w:rPr>
          <w:rFonts w:ascii="Arial" w:hAnsi="Arial" w:cs="Arial"/>
          <w:b/>
          <w:bCs/>
          <w:color w:val="FF0000"/>
          <w:sz w:val="22"/>
          <w:szCs w:val="22"/>
        </w:rPr>
        <w:t xml:space="preserve">Filip Firut </w:t>
      </w:r>
      <w:r>
        <w:rPr>
          <w:rFonts w:ascii="Arial" w:hAnsi="Arial" w:cs="Arial"/>
          <w:b/>
          <w:bCs/>
          <w:color w:val="313131"/>
          <w:sz w:val="22"/>
          <w:szCs w:val="22"/>
        </w:rPr>
        <w:t xml:space="preserve">– Radca Prawny, </w:t>
      </w:r>
      <w:proofErr w:type="spellStart"/>
      <w:r>
        <w:rPr>
          <w:rFonts w:ascii="Arial" w:hAnsi="Arial" w:cs="Arial"/>
          <w:b/>
          <w:bCs/>
          <w:color w:val="313131"/>
          <w:sz w:val="22"/>
          <w:szCs w:val="22"/>
        </w:rPr>
        <w:t>Sendero</w:t>
      </w:r>
      <w:proofErr w:type="spellEnd"/>
      <w:r>
        <w:rPr>
          <w:rFonts w:ascii="Arial" w:hAnsi="Arial" w:cs="Arial"/>
          <w:b/>
          <w:bCs/>
          <w:color w:val="313131"/>
          <w:sz w:val="22"/>
          <w:szCs w:val="22"/>
        </w:rPr>
        <w:t>.</w:t>
      </w:r>
    </w:p>
    <w:p w14:paraId="6253AADC" w14:textId="77777777" w:rsidR="00173BDC" w:rsidRDefault="00173BDC" w:rsidP="00173BDC">
      <w:pPr>
        <w:shd w:val="clear" w:color="auto" w:fill="FDFCFB"/>
        <w:jc w:val="both"/>
        <w:rPr>
          <w:color w:val="000000"/>
        </w:rPr>
      </w:pPr>
      <w:r>
        <w:rPr>
          <w:rFonts w:ascii="Arial" w:hAnsi="Arial" w:cs="Arial"/>
          <w:color w:val="313131"/>
          <w:sz w:val="20"/>
          <w:szCs w:val="20"/>
        </w:rPr>
        <w:t>Specjalizuje się w zagadnieniach związanych z prawem pracy. Jego praca polega na kompleksowym wspieraniu działów HR w dużych przedsiębiorstwach. Często przygotowanie odpowiedniej strategii dla Klienta wykracza poza wyłącznie znajomość przepisów prawa. Dlatego przy współpracy z Klientami bardzo ważny dla niego jest sposób komunikacji do Klienta oraz Klienta ze swoimi pracownikami. Filip Firut doradza klientom również w zakresie związanym z danymi osobowymi oraz prawami własności intelektualnej. Są to te dziedziny prawa, które w naturalny sposób związane są z prawem pracy.</w:t>
      </w:r>
    </w:p>
    <w:p w14:paraId="27805E39" w14:textId="77777777" w:rsidR="00AF40CA" w:rsidRDefault="00AF40CA"/>
    <w:sectPr w:rsidR="00AF40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60290D"/>
    <w:multiLevelType w:val="multilevel"/>
    <w:tmpl w:val="4198B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6F2"/>
    <w:rsid w:val="00173BDC"/>
    <w:rsid w:val="00AB06F2"/>
    <w:rsid w:val="00AF40CA"/>
    <w:rsid w:val="00F55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4E7B94-436E-4076-9A7A-AB38A6FDB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3BDC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23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cid:fa6cc5bf0fe376693e3ed46e84e2100c9bffca10@zimbr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sseinvestpark.clickmeeting.com/przedstawiciele-pracownikow-jak-z-nimi-wspolpracowac-/register?_ga=2.62753583.222846860.1613374778-1487396930.158946088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2021-02-18T07:46:00Z</dcterms:created>
  <dcterms:modified xsi:type="dcterms:W3CDTF">2021-02-18T07:46:00Z</dcterms:modified>
</cp:coreProperties>
</file>