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8041E" w14:textId="77777777" w:rsidR="005E5887" w:rsidRPr="00053E5A" w:rsidRDefault="005E5887" w:rsidP="00035282">
      <w:pPr>
        <w:jc w:val="both"/>
        <w:rPr>
          <w:szCs w:val="28"/>
        </w:rPr>
      </w:pPr>
    </w:p>
    <w:p w14:paraId="6250035D" w14:textId="77777777" w:rsidR="00035282" w:rsidRDefault="00035282" w:rsidP="00035282">
      <w:pPr>
        <w:jc w:val="both"/>
      </w:pPr>
    </w:p>
    <w:p w14:paraId="329DE33F" w14:textId="77777777" w:rsidR="00035282" w:rsidRDefault="00035282" w:rsidP="00035282">
      <w:pPr>
        <w:jc w:val="both"/>
      </w:pPr>
    </w:p>
    <w:p w14:paraId="0C8F1567" w14:textId="4A8D7F7A" w:rsidR="00035282" w:rsidRPr="00701F6F" w:rsidRDefault="00035282" w:rsidP="00035282">
      <w:pPr>
        <w:jc w:val="right"/>
      </w:pPr>
      <w:r w:rsidRPr="00701F6F">
        <w:t>Śrem,</w:t>
      </w:r>
      <w:r>
        <w:t xml:space="preserve"> dnia </w:t>
      </w:r>
      <w:r w:rsidR="0047728F">
        <w:t>17</w:t>
      </w:r>
      <w:r>
        <w:t xml:space="preserve"> </w:t>
      </w:r>
      <w:r w:rsidR="00334942">
        <w:t>sierpnia</w:t>
      </w:r>
      <w:r>
        <w:t xml:space="preserve"> 2021 </w:t>
      </w:r>
      <w:r w:rsidRPr="00701F6F">
        <w:t>roku</w:t>
      </w:r>
    </w:p>
    <w:p w14:paraId="6834C70A" w14:textId="77777777" w:rsidR="00035282" w:rsidRPr="00527B8B" w:rsidRDefault="00035282" w:rsidP="00035282">
      <w:pPr>
        <w:ind w:right="6236"/>
        <w:jc w:val="center"/>
        <w:rPr>
          <w:b/>
          <w:sz w:val="24"/>
        </w:rPr>
      </w:pPr>
      <w:r w:rsidRPr="00527B8B">
        <w:rPr>
          <w:b/>
          <w:sz w:val="24"/>
        </w:rPr>
        <w:t>Burmistrz Śremu</w:t>
      </w:r>
    </w:p>
    <w:p w14:paraId="4BC4CB6D" w14:textId="77777777" w:rsidR="00035282" w:rsidRPr="00527B8B" w:rsidRDefault="00035282" w:rsidP="00035282">
      <w:pPr>
        <w:ind w:right="6236"/>
        <w:jc w:val="center"/>
        <w:rPr>
          <w:b/>
          <w:sz w:val="24"/>
        </w:rPr>
      </w:pPr>
      <w:r w:rsidRPr="00527B8B">
        <w:rPr>
          <w:b/>
          <w:sz w:val="24"/>
        </w:rPr>
        <w:t>Pl. 20 Października 1</w:t>
      </w:r>
    </w:p>
    <w:p w14:paraId="57BCE85E" w14:textId="77777777" w:rsidR="00035282" w:rsidRDefault="00035282" w:rsidP="00035282">
      <w:pPr>
        <w:ind w:right="6236"/>
        <w:jc w:val="center"/>
        <w:rPr>
          <w:b/>
          <w:sz w:val="24"/>
        </w:rPr>
      </w:pPr>
      <w:r w:rsidRPr="00527B8B">
        <w:rPr>
          <w:b/>
          <w:sz w:val="24"/>
        </w:rPr>
        <w:t>63 – 100 Śrem</w:t>
      </w:r>
    </w:p>
    <w:p w14:paraId="052B3AD7" w14:textId="77777777" w:rsidR="00035282" w:rsidRPr="00527B8B" w:rsidRDefault="00035282" w:rsidP="00035282">
      <w:pPr>
        <w:ind w:right="6236"/>
        <w:jc w:val="both"/>
        <w:rPr>
          <w:b/>
          <w:sz w:val="24"/>
        </w:rPr>
      </w:pPr>
    </w:p>
    <w:p w14:paraId="667CF1AA" w14:textId="0054FF77" w:rsidR="00035282" w:rsidRDefault="00035282" w:rsidP="00035282">
      <w:pPr>
        <w:jc w:val="both"/>
        <w:rPr>
          <w:sz w:val="22"/>
          <w:szCs w:val="22"/>
        </w:rPr>
      </w:pPr>
      <w:r>
        <w:rPr>
          <w:sz w:val="22"/>
          <w:szCs w:val="22"/>
        </w:rPr>
        <w:t>PPSPP.673</w:t>
      </w:r>
      <w:r w:rsidR="008941B1">
        <w:rPr>
          <w:sz w:val="22"/>
          <w:szCs w:val="22"/>
        </w:rPr>
        <w:t>0</w:t>
      </w:r>
      <w:r w:rsidRPr="002E29EE">
        <w:rPr>
          <w:sz w:val="22"/>
          <w:szCs w:val="22"/>
        </w:rPr>
        <w:t>.</w:t>
      </w:r>
      <w:r w:rsidR="00453BE9">
        <w:rPr>
          <w:sz w:val="22"/>
          <w:szCs w:val="22"/>
        </w:rPr>
        <w:t>5</w:t>
      </w:r>
      <w:r w:rsidR="008941B1">
        <w:rPr>
          <w:sz w:val="22"/>
          <w:szCs w:val="22"/>
        </w:rPr>
        <w:t>1</w:t>
      </w:r>
      <w:r w:rsidRPr="002E29EE">
        <w:rPr>
          <w:sz w:val="22"/>
          <w:szCs w:val="22"/>
        </w:rPr>
        <w:t>.20</w:t>
      </w:r>
      <w:r>
        <w:rPr>
          <w:sz w:val="22"/>
          <w:szCs w:val="22"/>
        </w:rPr>
        <w:t>2</w:t>
      </w:r>
      <w:r w:rsidR="00453BE9">
        <w:rPr>
          <w:sz w:val="22"/>
          <w:szCs w:val="22"/>
        </w:rPr>
        <w:t>1</w:t>
      </w:r>
      <w:r>
        <w:rPr>
          <w:sz w:val="22"/>
          <w:szCs w:val="22"/>
        </w:rPr>
        <w:t>.NMAG</w:t>
      </w:r>
    </w:p>
    <w:p w14:paraId="71129583" w14:textId="77777777" w:rsidR="00053E5A" w:rsidRPr="00053E5A" w:rsidRDefault="00053E5A" w:rsidP="00035282">
      <w:pPr>
        <w:jc w:val="both"/>
        <w:rPr>
          <w:szCs w:val="28"/>
        </w:rPr>
      </w:pPr>
    </w:p>
    <w:p w14:paraId="296003FC" w14:textId="77777777" w:rsidR="00035282" w:rsidRPr="00035282" w:rsidRDefault="00035282" w:rsidP="00035282">
      <w:pPr>
        <w:jc w:val="center"/>
        <w:rPr>
          <w:b/>
          <w:bCs/>
          <w:sz w:val="36"/>
          <w:szCs w:val="36"/>
        </w:rPr>
      </w:pPr>
      <w:r w:rsidRPr="00035282">
        <w:rPr>
          <w:b/>
          <w:bCs/>
          <w:sz w:val="36"/>
          <w:szCs w:val="36"/>
        </w:rPr>
        <w:t>Obwieszczenie</w:t>
      </w:r>
    </w:p>
    <w:p w14:paraId="6385A83F" w14:textId="77777777" w:rsidR="00035282" w:rsidRPr="00035282" w:rsidRDefault="00035282" w:rsidP="00035282">
      <w:pPr>
        <w:jc w:val="center"/>
        <w:rPr>
          <w:b/>
          <w:bCs/>
          <w:szCs w:val="28"/>
        </w:rPr>
      </w:pPr>
    </w:p>
    <w:p w14:paraId="19946097" w14:textId="3F0E3573" w:rsidR="00035282" w:rsidRPr="00035282" w:rsidRDefault="00035282" w:rsidP="007D1893">
      <w:pPr>
        <w:jc w:val="center"/>
        <w:rPr>
          <w:b/>
          <w:bCs/>
          <w:szCs w:val="28"/>
        </w:rPr>
      </w:pPr>
      <w:r w:rsidRPr="00035282">
        <w:rPr>
          <w:b/>
          <w:bCs/>
          <w:szCs w:val="28"/>
        </w:rPr>
        <w:t xml:space="preserve">o </w:t>
      </w:r>
      <w:r w:rsidR="00D93896">
        <w:rPr>
          <w:b/>
          <w:szCs w:val="36"/>
        </w:rPr>
        <w:t>wydaniu decyzji odmawiającej ustalenia warunków zabudowy</w:t>
      </w:r>
    </w:p>
    <w:p w14:paraId="00281EE6" w14:textId="77777777" w:rsidR="00035282" w:rsidRPr="00035282" w:rsidRDefault="00035282" w:rsidP="00035282">
      <w:pPr>
        <w:jc w:val="both"/>
        <w:rPr>
          <w:b/>
          <w:szCs w:val="28"/>
        </w:rPr>
      </w:pPr>
    </w:p>
    <w:p w14:paraId="1E3611A2" w14:textId="16F785FE" w:rsidR="00035282" w:rsidRPr="00035282" w:rsidRDefault="007D1893" w:rsidP="0096677E">
      <w:pPr>
        <w:ind w:firstLine="708"/>
        <w:jc w:val="both"/>
        <w:rPr>
          <w:b/>
          <w:szCs w:val="28"/>
        </w:rPr>
      </w:pPr>
      <w:r w:rsidRPr="007D1893">
        <w:rPr>
          <w:szCs w:val="28"/>
        </w:rPr>
        <w:t xml:space="preserve">Na podstawie art. 49a </w:t>
      </w:r>
      <w:r w:rsidR="00334942">
        <w:rPr>
          <w:szCs w:val="28"/>
        </w:rPr>
        <w:t xml:space="preserve">w związku z </w:t>
      </w:r>
      <w:r w:rsidRPr="007D1893">
        <w:rPr>
          <w:szCs w:val="28"/>
        </w:rPr>
        <w:t xml:space="preserve">art. </w:t>
      </w:r>
      <w:r w:rsidR="00334942">
        <w:rPr>
          <w:szCs w:val="28"/>
        </w:rPr>
        <w:t>104</w:t>
      </w:r>
      <w:r w:rsidRPr="007D1893">
        <w:rPr>
          <w:szCs w:val="28"/>
        </w:rPr>
        <w:t xml:space="preserve"> ustawy z dnia 14 czerwca 1960 r. – Kodeks postępowania administracyjnego (Dz. U. z 2021 r. poz. 735) </w:t>
      </w:r>
      <w:r w:rsidRPr="007D1893">
        <w:rPr>
          <w:b/>
          <w:szCs w:val="28"/>
        </w:rPr>
        <w:t xml:space="preserve">zawiadamiam o </w:t>
      </w:r>
      <w:r w:rsidR="00334942">
        <w:rPr>
          <w:b/>
          <w:szCs w:val="28"/>
        </w:rPr>
        <w:t xml:space="preserve">wydaniu </w:t>
      </w:r>
      <w:r w:rsidR="00CE793B">
        <w:rPr>
          <w:b/>
          <w:szCs w:val="28"/>
        </w:rPr>
        <w:t xml:space="preserve">w dniu 16.08.2021 r. </w:t>
      </w:r>
      <w:r w:rsidR="00334942">
        <w:rPr>
          <w:b/>
          <w:szCs w:val="28"/>
        </w:rPr>
        <w:t>decyzji odmawi</w:t>
      </w:r>
      <w:r w:rsidR="00D93896">
        <w:rPr>
          <w:b/>
          <w:szCs w:val="28"/>
        </w:rPr>
        <w:t xml:space="preserve">ającej </w:t>
      </w:r>
      <w:r w:rsidR="00D93896" w:rsidRPr="00D93896">
        <w:rPr>
          <w:b/>
          <w:szCs w:val="28"/>
        </w:rPr>
        <w:t>ust</w:t>
      </w:r>
      <w:r w:rsidRPr="00D93896">
        <w:rPr>
          <w:b/>
          <w:szCs w:val="28"/>
        </w:rPr>
        <w:t>alenia warunków zabudowy</w:t>
      </w:r>
      <w:r w:rsidRPr="007D1893">
        <w:rPr>
          <w:szCs w:val="28"/>
        </w:rPr>
        <w:t xml:space="preserve"> dla przedsięwzięcia:</w:t>
      </w:r>
      <w:r w:rsidR="00035282" w:rsidRPr="00035282">
        <w:rPr>
          <w:szCs w:val="28"/>
        </w:rPr>
        <w:t xml:space="preserve"> </w:t>
      </w:r>
      <w:r w:rsidR="00453BE9" w:rsidRPr="00453BE9">
        <w:rPr>
          <w:szCs w:val="28"/>
        </w:rPr>
        <w:t>zmiana sposobu użytkowania budynku mieszkalnego i garażu na p</w:t>
      </w:r>
      <w:r>
        <w:rPr>
          <w:szCs w:val="28"/>
        </w:rPr>
        <w:t>rzedszkole na terenie działki o </w:t>
      </w:r>
      <w:r w:rsidR="00453BE9" w:rsidRPr="00453BE9">
        <w:rPr>
          <w:szCs w:val="28"/>
        </w:rPr>
        <w:t>nr ewid. 2178, obręb Śrem</w:t>
      </w:r>
      <w:r>
        <w:rPr>
          <w:szCs w:val="28"/>
        </w:rPr>
        <w:t>.</w:t>
      </w:r>
    </w:p>
    <w:p w14:paraId="15115566" w14:textId="1626BDD6" w:rsidR="007D1893" w:rsidRPr="007D1893" w:rsidRDefault="007D1893" w:rsidP="007D1893">
      <w:pPr>
        <w:ind w:firstLine="708"/>
        <w:jc w:val="both"/>
        <w:rPr>
          <w:szCs w:val="28"/>
        </w:rPr>
      </w:pPr>
      <w:r w:rsidRPr="007D1893">
        <w:rPr>
          <w:szCs w:val="28"/>
        </w:rPr>
        <w:t>W</w:t>
      </w:r>
      <w:r w:rsidR="00D93896" w:rsidRPr="00D93896">
        <w:rPr>
          <w:szCs w:val="28"/>
        </w:rPr>
        <w:t xml:space="preserve"> związku z powyższym </w:t>
      </w:r>
      <w:r w:rsidR="00D93896">
        <w:rPr>
          <w:szCs w:val="28"/>
        </w:rPr>
        <w:t>Strony postępowania</w:t>
      </w:r>
      <w:r w:rsidR="00D93896" w:rsidRPr="00D93896">
        <w:rPr>
          <w:szCs w:val="28"/>
        </w:rPr>
        <w:t xml:space="preserve"> mogą zapoznać się osobiście lub przez pełnomocnika z treścią decyzji dotyczącej przedmiotowej inwestycji oraz zgłosić swoje uwagi w Zespole Planowania Przestrzennego (biuro nr 34, III piętr</w:t>
      </w:r>
      <w:r w:rsidR="002D254F">
        <w:rPr>
          <w:szCs w:val="28"/>
        </w:rPr>
        <w:t>o) w godzinach od 7.00 do 15.00</w:t>
      </w:r>
      <w:r w:rsidRPr="007D1893">
        <w:rPr>
          <w:szCs w:val="28"/>
        </w:rPr>
        <w:t>. Klienci zobowiązani są do zakrywania ust i nosa przy pomocy</w:t>
      </w:r>
      <w:r w:rsidR="007C1198">
        <w:rPr>
          <w:szCs w:val="28"/>
        </w:rPr>
        <w:t xml:space="preserve"> </w:t>
      </w:r>
      <w:r w:rsidRPr="007D1893">
        <w:rPr>
          <w:szCs w:val="28"/>
        </w:rPr>
        <w:t>maski lub maseczki.</w:t>
      </w:r>
    </w:p>
    <w:p w14:paraId="30AC398D" w14:textId="20311007" w:rsidR="00035282" w:rsidRPr="00035282" w:rsidRDefault="007D1893" w:rsidP="007D1893">
      <w:pPr>
        <w:ind w:firstLine="708"/>
        <w:jc w:val="both"/>
        <w:rPr>
          <w:szCs w:val="28"/>
        </w:rPr>
      </w:pPr>
      <w:r w:rsidRPr="007D1893">
        <w:rPr>
          <w:szCs w:val="28"/>
        </w:rPr>
        <w:t>Zawiadomienie przez obwieszczenie uważa się za dokonane po upływie 14 dni od dnia publicznego ogłoszenia stosownie do art. 49 ustawy z dnia 14</w:t>
      </w:r>
      <w:r w:rsidR="007C1198">
        <w:rPr>
          <w:szCs w:val="28"/>
        </w:rPr>
        <w:t> </w:t>
      </w:r>
      <w:r w:rsidRPr="007D1893">
        <w:rPr>
          <w:szCs w:val="28"/>
        </w:rPr>
        <w:t>czerwca 1960 r. – Kodeks postępowania administracyjnego.</w:t>
      </w:r>
    </w:p>
    <w:p w14:paraId="61C9D798" w14:textId="77777777" w:rsidR="00035282" w:rsidRDefault="00035282" w:rsidP="00035282">
      <w:pPr>
        <w:jc w:val="both"/>
        <w:rPr>
          <w:szCs w:val="28"/>
        </w:rPr>
      </w:pPr>
    </w:p>
    <w:p w14:paraId="79518220" w14:textId="77777777" w:rsidR="00453BE9" w:rsidRPr="00035282" w:rsidRDefault="00453BE9" w:rsidP="00035282">
      <w:pPr>
        <w:jc w:val="both"/>
        <w:rPr>
          <w:szCs w:val="28"/>
        </w:rPr>
      </w:pPr>
    </w:p>
    <w:p w14:paraId="34E6F5DE" w14:textId="77777777" w:rsidR="00334942" w:rsidRPr="00453BE9" w:rsidRDefault="00334942" w:rsidP="00334942">
      <w:pPr>
        <w:ind w:left="4536"/>
        <w:jc w:val="center"/>
        <w:rPr>
          <w:szCs w:val="28"/>
        </w:rPr>
      </w:pPr>
      <w:r w:rsidRPr="00453BE9">
        <w:rPr>
          <w:szCs w:val="28"/>
        </w:rPr>
        <w:t>Adam Lewandowski</w:t>
      </w:r>
    </w:p>
    <w:p w14:paraId="5EA1E5DD" w14:textId="1B73075D" w:rsidR="00035282" w:rsidRDefault="00334942" w:rsidP="00334942">
      <w:pPr>
        <w:ind w:left="4536"/>
        <w:jc w:val="center"/>
        <w:rPr>
          <w:i/>
          <w:sz w:val="24"/>
          <w:szCs w:val="28"/>
        </w:rPr>
      </w:pPr>
      <w:r w:rsidRPr="00453BE9">
        <w:rPr>
          <w:szCs w:val="28"/>
        </w:rPr>
        <w:t>Burmistrz Śremu</w:t>
      </w:r>
    </w:p>
    <w:p w14:paraId="46F9F857" w14:textId="77777777" w:rsidR="00453BE9" w:rsidRPr="00035282" w:rsidRDefault="00453BE9" w:rsidP="00035282">
      <w:pPr>
        <w:ind w:left="4536"/>
        <w:jc w:val="center"/>
        <w:rPr>
          <w:i/>
          <w:sz w:val="24"/>
          <w:szCs w:val="28"/>
        </w:rPr>
      </w:pPr>
    </w:p>
    <w:p w14:paraId="132E8BD3" w14:textId="77777777" w:rsidR="0096677E" w:rsidRDefault="0096677E" w:rsidP="00035282">
      <w:pPr>
        <w:jc w:val="both"/>
        <w:rPr>
          <w:sz w:val="26"/>
          <w:szCs w:val="26"/>
        </w:rPr>
      </w:pPr>
    </w:p>
    <w:p w14:paraId="52188E20" w14:textId="77777777" w:rsidR="00D93896" w:rsidRDefault="00D93896" w:rsidP="00035282">
      <w:pPr>
        <w:jc w:val="both"/>
        <w:rPr>
          <w:sz w:val="26"/>
          <w:szCs w:val="26"/>
        </w:rPr>
      </w:pPr>
    </w:p>
    <w:p w14:paraId="13115218" w14:textId="77777777" w:rsidR="00D93896" w:rsidRDefault="00D93896" w:rsidP="00035282">
      <w:pPr>
        <w:jc w:val="both"/>
        <w:rPr>
          <w:sz w:val="26"/>
          <w:szCs w:val="26"/>
        </w:rPr>
      </w:pPr>
    </w:p>
    <w:p w14:paraId="26EE39BA" w14:textId="77777777" w:rsidR="00334942" w:rsidRDefault="00334942" w:rsidP="00035282">
      <w:pPr>
        <w:jc w:val="both"/>
        <w:rPr>
          <w:sz w:val="26"/>
          <w:szCs w:val="26"/>
        </w:rPr>
      </w:pPr>
    </w:p>
    <w:p w14:paraId="02A9867F" w14:textId="78235EBC" w:rsidR="00035282" w:rsidRPr="00035282" w:rsidRDefault="00035282" w:rsidP="00035282">
      <w:pPr>
        <w:jc w:val="both"/>
        <w:rPr>
          <w:sz w:val="26"/>
          <w:szCs w:val="26"/>
        </w:rPr>
      </w:pPr>
      <w:r w:rsidRPr="00035282">
        <w:rPr>
          <w:sz w:val="26"/>
          <w:szCs w:val="26"/>
        </w:rPr>
        <w:t>Wywieszono: ……………………..…….</w:t>
      </w:r>
    </w:p>
    <w:p w14:paraId="4F1D0349" w14:textId="77777777" w:rsidR="00D93896" w:rsidRDefault="00035282" w:rsidP="00035282">
      <w:pPr>
        <w:jc w:val="both"/>
        <w:rPr>
          <w:sz w:val="26"/>
          <w:szCs w:val="26"/>
        </w:rPr>
      </w:pPr>
      <w:r w:rsidRPr="00035282">
        <w:rPr>
          <w:sz w:val="26"/>
          <w:szCs w:val="26"/>
        </w:rPr>
        <w:t>Zdjęto:</w:t>
      </w:r>
      <w:r w:rsidRPr="00035282">
        <w:rPr>
          <w:sz w:val="26"/>
          <w:szCs w:val="26"/>
        </w:rPr>
        <w:tab/>
        <w:t xml:space="preserve"> </w:t>
      </w:r>
      <w:r w:rsidR="0096677E">
        <w:rPr>
          <w:sz w:val="26"/>
          <w:szCs w:val="26"/>
        </w:rPr>
        <w:t xml:space="preserve"> </w:t>
      </w:r>
      <w:r w:rsidRPr="00035282">
        <w:rPr>
          <w:sz w:val="26"/>
          <w:szCs w:val="26"/>
        </w:rPr>
        <w:t>……………………..……</w:t>
      </w:r>
    </w:p>
    <w:p w14:paraId="4470CD49" w14:textId="77777777" w:rsidR="00D93896" w:rsidRDefault="00D93896">
      <w:pPr>
        <w:spacing w:after="200" w:line="276" w:lineRule="auto"/>
        <w:rPr>
          <w:sz w:val="26"/>
          <w:szCs w:val="26"/>
        </w:rPr>
      </w:pPr>
      <w:r>
        <w:rPr>
          <w:sz w:val="26"/>
          <w:szCs w:val="26"/>
        </w:rPr>
        <w:br w:type="page"/>
      </w:r>
    </w:p>
    <w:p w14:paraId="2DD2225B" w14:textId="77777777" w:rsidR="00CE793B" w:rsidRPr="00CE793B" w:rsidRDefault="00CE793B" w:rsidP="00CE793B">
      <w:pPr>
        <w:widowControl w:val="0"/>
        <w:autoSpaceDE w:val="0"/>
        <w:autoSpaceDN w:val="0"/>
        <w:adjustRightInd w:val="0"/>
        <w:ind w:right="-1"/>
        <w:jc w:val="right"/>
        <w:rPr>
          <w:szCs w:val="28"/>
          <w:lang w:val="de-DE"/>
        </w:rPr>
      </w:pPr>
      <w:r w:rsidRPr="00CE793B">
        <w:rPr>
          <w:szCs w:val="28"/>
        </w:rPr>
        <w:lastRenderedPageBreak/>
        <w:t>Śrem, dnia 16 sierpnia 2021 roku</w:t>
      </w:r>
    </w:p>
    <w:p w14:paraId="717CC493" w14:textId="77777777" w:rsidR="00CE793B" w:rsidRPr="00CE793B" w:rsidRDefault="00CE793B" w:rsidP="00CE793B">
      <w:pPr>
        <w:widowControl w:val="0"/>
        <w:autoSpaceDE w:val="0"/>
        <w:autoSpaceDN w:val="0"/>
        <w:adjustRightInd w:val="0"/>
        <w:ind w:right="-1"/>
        <w:jc w:val="both"/>
        <w:rPr>
          <w:szCs w:val="28"/>
          <w:lang w:val="de-DE"/>
        </w:rPr>
      </w:pPr>
      <w:r w:rsidRPr="00CE793B">
        <w:rPr>
          <w:szCs w:val="28"/>
          <w:lang w:val="de-DE"/>
        </w:rPr>
        <w:t>PPSPP.6730.51.2021.NMAG</w:t>
      </w:r>
    </w:p>
    <w:p w14:paraId="5A8E36D8" w14:textId="77777777" w:rsidR="00CE793B" w:rsidRPr="00CE793B" w:rsidRDefault="00CE793B" w:rsidP="00CE793B">
      <w:pPr>
        <w:widowControl w:val="0"/>
        <w:autoSpaceDE w:val="0"/>
        <w:autoSpaceDN w:val="0"/>
        <w:adjustRightInd w:val="0"/>
        <w:ind w:right="-1"/>
        <w:jc w:val="both"/>
        <w:rPr>
          <w:bCs/>
          <w:sz w:val="20"/>
          <w:szCs w:val="20"/>
        </w:rPr>
      </w:pPr>
    </w:p>
    <w:p w14:paraId="1CDAF33C" w14:textId="77777777" w:rsidR="00CE793B" w:rsidRPr="00CE793B" w:rsidRDefault="00CE793B" w:rsidP="00CE793B">
      <w:pPr>
        <w:widowControl w:val="0"/>
        <w:autoSpaceDE w:val="0"/>
        <w:autoSpaceDN w:val="0"/>
        <w:adjustRightInd w:val="0"/>
        <w:ind w:right="-1"/>
        <w:jc w:val="center"/>
        <w:rPr>
          <w:szCs w:val="28"/>
        </w:rPr>
      </w:pPr>
      <w:r w:rsidRPr="00CE793B">
        <w:rPr>
          <w:b/>
          <w:bCs/>
          <w:szCs w:val="28"/>
        </w:rPr>
        <w:t>Decyzja</w:t>
      </w:r>
    </w:p>
    <w:p w14:paraId="16B1F474" w14:textId="77777777" w:rsidR="00CE793B" w:rsidRPr="00CE793B" w:rsidRDefault="00CE793B" w:rsidP="00CE793B">
      <w:pPr>
        <w:widowControl w:val="0"/>
        <w:autoSpaceDE w:val="0"/>
        <w:autoSpaceDN w:val="0"/>
        <w:adjustRightInd w:val="0"/>
        <w:ind w:right="-1"/>
        <w:jc w:val="both"/>
        <w:rPr>
          <w:sz w:val="20"/>
          <w:szCs w:val="20"/>
        </w:rPr>
      </w:pPr>
    </w:p>
    <w:p w14:paraId="43FBCDB2" w14:textId="77777777" w:rsidR="00CE793B" w:rsidRPr="00CE793B" w:rsidRDefault="00CE793B" w:rsidP="00CE793B">
      <w:pPr>
        <w:widowControl w:val="0"/>
        <w:autoSpaceDE w:val="0"/>
        <w:autoSpaceDN w:val="0"/>
        <w:adjustRightInd w:val="0"/>
        <w:ind w:right="-1" w:firstLine="567"/>
        <w:jc w:val="both"/>
        <w:rPr>
          <w:szCs w:val="28"/>
        </w:rPr>
      </w:pPr>
      <w:r w:rsidRPr="00CE793B">
        <w:rPr>
          <w:szCs w:val="28"/>
        </w:rPr>
        <w:t>Na podstawie art. 4 ust. 2 pkt 2 w związku z art. 59 ust. 1, ust. 2, art. 60 ust. 1 i ust. 1a ustawy z dnia 27 marca 2003 r. o planowaniu i zagospodarowaniu przestrzennym (Dz. U. z 2021 r. poz. 741, 784 i 922) oraz art. 104 ustawy z dnia 14 czerwca 1960 r. – Kodeks postępowania administracyjnego (Dz. U. z 2021 r. poz. 735), po rozpatrzeniu wniosku złożonego w dniu 17.03.2021 r., uzupełnionego w dniu 22.03.2021 r., przez:</w:t>
      </w:r>
    </w:p>
    <w:p w14:paraId="2E0F116A" w14:textId="77777777" w:rsidR="00CE793B" w:rsidRPr="00CE793B" w:rsidRDefault="00CE793B" w:rsidP="00CE793B">
      <w:pPr>
        <w:widowControl w:val="0"/>
        <w:autoSpaceDE w:val="0"/>
        <w:autoSpaceDN w:val="0"/>
        <w:adjustRightInd w:val="0"/>
        <w:ind w:right="-1" w:firstLine="567"/>
        <w:jc w:val="both"/>
        <w:rPr>
          <w:szCs w:val="28"/>
        </w:rPr>
      </w:pPr>
    </w:p>
    <w:p w14:paraId="131BCAA1" w14:textId="77777777" w:rsidR="00CE793B" w:rsidRPr="00CE793B" w:rsidRDefault="00CE793B" w:rsidP="00CE793B">
      <w:pPr>
        <w:widowControl w:val="0"/>
        <w:autoSpaceDE w:val="0"/>
        <w:autoSpaceDN w:val="0"/>
        <w:adjustRightInd w:val="0"/>
        <w:ind w:right="-1"/>
        <w:jc w:val="center"/>
        <w:rPr>
          <w:b/>
          <w:bCs/>
          <w:szCs w:val="28"/>
        </w:rPr>
      </w:pPr>
      <w:r w:rsidRPr="00CE793B">
        <w:rPr>
          <w:b/>
          <w:bCs/>
          <w:szCs w:val="28"/>
        </w:rPr>
        <w:t>Panią Karolinę Lewandowską</w:t>
      </w:r>
    </w:p>
    <w:p w14:paraId="2C394207" w14:textId="77777777" w:rsidR="00CE793B" w:rsidRPr="00CE793B" w:rsidRDefault="00CE793B" w:rsidP="00CE793B">
      <w:pPr>
        <w:widowControl w:val="0"/>
        <w:autoSpaceDE w:val="0"/>
        <w:autoSpaceDN w:val="0"/>
        <w:adjustRightInd w:val="0"/>
        <w:ind w:right="-1"/>
        <w:jc w:val="center"/>
        <w:rPr>
          <w:szCs w:val="28"/>
        </w:rPr>
      </w:pPr>
    </w:p>
    <w:p w14:paraId="3C28DF34" w14:textId="296F58CF" w:rsidR="00CE793B" w:rsidRPr="00CE793B" w:rsidRDefault="00CE793B" w:rsidP="00CE793B">
      <w:pPr>
        <w:widowControl w:val="0"/>
        <w:autoSpaceDE w:val="0"/>
        <w:autoSpaceDN w:val="0"/>
        <w:adjustRightInd w:val="0"/>
        <w:ind w:right="-1"/>
        <w:jc w:val="both"/>
        <w:rPr>
          <w:sz w:val="20"/>
          <w:szCs w:val="20"/>
        </w:rPr>
      </w:pPr>
      <w:r w:rsidRPr="00CE793B">
        <w:rPr>
          <w:szCs w:val="28"/>
        </w:rPr>
        <w:t>prowadzącą działalność gospodarczą pn. Centrum Edukacji Dziecka Karolina Lewandowska, ul. Andrzeja Frycza Modrzewskiego 16, 63 – 100 Śrem, w sprawie ustalenia warunków zabudowy dla przedsięwzięcia: zmiana sposobu użytkowania budynku mieszkalnego i garażu na przedszkole, na terenie działki o nr ewid. 2178, obręb Śrem</w:t>
      </w:r>
      <w:r w:rsidRPr="00CE793B">
        <w:rPr>
          <w:sz w:val="20"/>
          <w:szCs w:val="20"/>
        </w:rPr>
        <w:tab/>
      </w:r>
    </w:p>
    <w:p w14:paraId="0707B213" w14:textId="77777777" w:rsidR="00CE793B" w:rsidRPr="00CE793B" w:rsidRDefault="00CE793B" w:rsidP="00CE793B">
      <w:pPr>
        <w:widowControl w:val="0"/>
        <w:autoSpaceDE w:val="0"/>
        <w:ind w:right="-1"/>
        <w:jc w:val="center"/>
        <w:rPr>
          <w:b/>
          <w:bCs/>
          <w:szCs w:val="28"/>
        </w:rPr>
      </w:pPr>
      <w:r w:rsidRPr="00CE793B">
        <w:rPr>
          <w:b/>
          <w:bCs/>
          <w:szCs w:val="28"/>
        </w:rPr>
        <w:t>odmawiam</w:t>
      </w:r>
    </w:p>
    <w:p w14:paraId="4D4730C2" w14:textId="77777777" w:rsidR="00CE793B" w:rsidRPr="00CE793B" w:rsidRDefault="00CE793B" w:rsidP="00CE793B">
      <w:pPr>
        <w:widowControl w:val="0"/>
        <w:autoSpaceDE w:val="0"/>
        <w:autoSpaceDN w:val="0"/>
        <w:adjustRightInd w:val="0"/>
        <w:ind w:right="-1"/>
        <w:jc w:val="center"/>
        <w:rPr>
          <w:szCs w:val="28"/>
        </w:rPr>
      </w:pPr>
      <w:r w:rsidRPr="00CE793B">
        <w:rPr>
          <w:szCs w:val="28"/>
        </w:rPr>
        <w:t>ustalenia warunków zabudowy i zagospodarowania terenu dla ww. inwestycji.</w:t>
      </w:r>
    </w:p>
    <w:p w14:paraId="3F26629C" w14:textId="77777777" w:rsidR="00CE793B" w:rsidRPr="00CE793B" w:rsidRDefault="00CE793B" w:rsidP="00CE793B">
      <w:pPr>
        <w:widowControl w:val="0"/>
        <w:autoSpaceDE w:val="0"/>
        <w:autoSpaceDN w:val="0"/>
        <w:adjustRightInd w:val="0"/>
        <w:ind w:right="-1"/>
        <w:jc w:val="both"/>
        <w:rPr>
          <w:szCs w:val="28"/>
        </w:rPr>
      </w:pPr>
    </w:p>
    <w:p w14:paraId="3EA1D63C" w14:textId="77777777" w:rsidR="00CE793B" w:rsidRPr="00CE793B" w:rsidRDefault="00CE793B" w:rsidP="00CE793B">
      <w:pPr>
        <w:widowControl w:val="0"/>
        <w:autoSpaceDE w:val="0"/>
        <w:autoSpaceDN w:val="0"/>
        <w:adjustRightInd w:val="0"/>
        <w:jc w:val="center"/>
        <w:rPr>
          <w:szCs w:val="28"/>
        </w:rPr>
      </w:pPr>
      <w:r w:rsidRPr="00CE793B">
        <w:rPr>
          <w:szCs w:val="28"/>
        </w:rPr>
        <w:t>Uzasadnienie</w:t>
      </w:r>
    </w:p>
    <w:p w14:paraId="61A49449" w14:textId="77777777" w:rsidR="00CE793B" w:rsidRPr="00CE793B" w:rsidRDefault="00CE793B" w:rsidP="00CE793B">
      <w:pPr>
        <w:widowControl w:val="0"/>
        <w:autoSpaceDE w:val="0"/>
        <w:autoSpaceDN w:val="0"/>
        <w:adjustRightInd w:val="0"/>
        <w:jc w:val="center"/>
        <w:rPr>
          <w:sz w:val="10"/>
          <w:szCs w:val="10"/>
        </w:rPr>
      </w:pPr>
    </w:p>
    <w:p w14:paraId="01D9A238" w14:textId="77777777" w:rsidR="00CE793B" w:rsidRPr="00CE793B" w:rsidRDefault="00CE793B" w:rsidP="00CE793B">
      <w:pPr>
        <w:ind w:firstLine="567"/>
        <w:jc w:val="both"/>
        <w:rPr>
          <w:szCs w:val="28"/>
        </w:rPr>
      </w:pPr>
      <w:r w:rsidRPr="00CE793B">
        <w:rPr>
          <w:szCs w:val="28"/>
        </w:rPr>
        <w:t>Stosownie do art. 4 ust. 2 pkt 2 ustawy z dnia 27 marca 2003 r. o planowaniu i zagospodarowaniu przestrzennym w przypadku braku miejscowego planu zagospodarowania przestrzennego określenie sposobów zagospodarowania i warunków zabudowy terenu dla lokalizacji inwestycji innych niż celu publicznego następuje w drodze decyzji o warunkach zabudowy.</w:t>
      </w:r>
    </w:p>
    <w:p w14:paraId="1530EED3" w14:textId="77777777" w:rsidR="00CE793B" w:rsidRPr="00CE793B" w:rsidRDefault="00CE793B" w:rsidP="00CE793B">
      <w:pPr>
        <w:ind w:firstLine="567"/>
        <w:jc w:val="both"/>
        <w:rPr>
          <w:szCs w:val="28"/>
        </w:rPr>
      </w:pPr>
      <w:r w:rsidRPr="00CE793B">
        <w:rPr>
          <w:szCs w:val="28"/>
        </w:rPr>
        <w:t>W myśl art. 59 przywołanej ustawy:</w:t>
      </w:r>
    </w:p>
    <w:p w14:paraId="1146DC24" w14:textId="77777777" w:rsidR="00CE793B" w:rsidRPr="00CE793B" w:rsidRDefault="00CE793B" w:rsidP="00CE793B">
      <w:pPr>
        <w:numPr>
          <w:ilvl w:val="0"/>
          <w:numId w:val="3"/>
        </w:numPr>
        <w:tabs>
          <w:tab w:val="left" w:pos="851"/>
        </w:tabs>
        <w:ind w:left="0" w:firstLine="567"/>
        <w:contextualSpacing/>
        <w:jc w:val="both"/>
        <w:rPr>
          <w:szCs w:val="28"/>
        </w:rPr>
      </w:pPr>
      <w:r w:rsidRPr="00CE793B">
        <w:rPr>
          <w:szCs w:val="28"/>
        </w:rPr>
        <w:t>zmiana zagospodarowania terenu w przypadku braku planu miejscowego, polegająca na budowie obiektu budowlanego lub wykonaniu innych robót budowlanych, a także zmiana sposobu użytkowania obiektu budowlanego lub jego części, z zastrzeżeniem art. 50 ust. 1 i art. 86, wymaga ustalenia, w drodze decyzji, warunków zabudowy. Przepis art. 50 ust. 2 stosuje się odpowiednio;</w:t>
      </w:r>
    </w:p>
    <w:p w14:paraId="66780022" w14:textId="77777777" w:rsidR="00CE793B" w:rsidRPr="00CE793B" w:rsidRDefault="00CE793B" w:rsidP="00CE793B">
      <w:pPr>
        <w:numPr>
          <w:ilvl w:val="0"/>
          <w:numId w:val="3"/>
        </w:numPr>
        <w:tabs>
          <w:tab w:val="left" w:pos="851"/>
        </w:tabs>
        <w:ind w:left="0" w:firstLine="567"/>
        <w:contextualSpacing/>
        <w:jc w:val="both"/>
        <w:rPr>
          <w:szCs w:val="28"/>
        </w:rPr>
      </w:pPr>
      <w:r w:rsidRPr="00CE793B">
        <w:rPr>
          <w:szCs w:val="28"/>
        </w:rPr>
        <w:t>powyższy przepis stosuje się również do zmiany zagospodarowania terenu, która nie wymaga pozwolenia na budowę, z wyjątkiem tymczasowej, jednorazowej zmiany zagospodarowania terenu, trwającej do roku;</w:t>
      </w:r>
    </w:p>
    <w:p w14:paraId="33D385DC" w14:textId="02E51550" w:rsidR="00CE793B" w:rsidRPr="00CE793B" w:rsidRDefault="00CE793B" w:rsidP="00CE793B">
      <w:pPr>
        <w:widowControl w:val="0"/>
        <w:numPr>
          <w:ilvl w:val="0"/>
          <w:numId w:val="3"/>
        </w:numPr>
        <w:tabs>
          <w:tab w:val="left" w:pos="851"/>
        </w:tabs>
        <w:suppressAutoHyphens/>
        <w:autoSpaceDE w:val="0"/>
        <w:ind w:left="0" w:right="-1" w:firstLine="567"/>
        <w:jc w:val="both"/>
        <w:rPr>
          <w:szCs w:val="28"/>
        </w:rPr>
      </w:pPr>
      <w:r w:rsidRPr="00CE793B">
        <w:rPr>
          <w:szCs w:val="28"/>
        </w:rPr>
        <w:t>w przypadku braku miejscowego planu zagospodarowania przestrzennego, budowa obiektów budowlanych, o których mowa w art. 29 ust. 1 pkt 1 i 3 ustawy z dnia 7 lipca 1994 r. – Prawo budowlane (Dz. U. z 2020 r. poz. 1333, z późn. zm.) wymaga uzyskania</w:t>
      </w:r>
      <w:r>
        <w:rPr>
          <w:szCs w:val="28"/>
        </w:rPr>
        <w:t xml:space="preserve"> decyzji o warunkach zabudowy i </w:t>
      </w:r>
      <w:r w:rsidRPr="00CE793B">
        <w:rPr>
          <w:szCs w:val="28"/>
        </w:rPr>
        <w:t>zagospodarowania terenu.</w:t>
      </w:r>
    </w:p>
    <w:p w14:paraId="54C308FC" w14:textId="77777777" w:rsidR="00CE793B" w:rsidRPr="00CE793B" w:rsidRDefault="00CE793B" w:rsidP="00CE793B">
      <w:pPr>
        <w:widowControl w:val="0"/>
        <w:autoSpaceDE w:val="0"/>
        <w:autoSpaceDN w:val="0"/>
        <w:adjustRightInd w:val="0"/>
        <w:ind w:right="-1" w:firstLine="567"/>
        <w:jc w:val="both"/>
        <w:rPr>
          <w:szCs w:val="28"/>
        </w:rPr>
      </w:pPr>
      <w:r w:rsidRPr="00CE793B">
        <w:rPr>
          <w:szCs w:val="28"/>
        </w:rPr>
        <w:lastRenderedPageBreak/>
        <w:t>Dla terenu projektowanej inwestycji nie został uchwalony miejscowy plan zagospodarowania przestrzennego ani nie została podjęta uchwała w sprawie przystąpienia do sporządzenia miejscowego planu zagospodarowania przestrzennego.</w:t>
      </w:r>
    </w:p>
    <w:p w14:paraId="593C9100" w14:textId="77777777" w:rsidR="00CE793B" w:rsidRPr="00CE793B" w:rsidRDefault="00CE793B" w:rsidP="00CE793B">
      <w:pPr>
        <w:widowControl w:val="0"/>
        <w:autoSpaceDE w:val="0"/>
        <w:autoSpaceDN w:val="0"/>
        <w:adjustRightInd w:val="0"/>
        <w:ind w:right="-1" w:firstLine="567"/>
        <w:jc w:val="both"/>
        <w:rPr>
          <w:szCs w:val="28"/>
        </w:rPr>
      </w:pPr>
      <w:r w:rsidRPr="00CE793B">
        <w:rPr>
          <w:szCs w:val="28"/>
        </w:rPr>
        <w:t>Do wniosku o ustalenie warunków zabudowy Wnioskodawca załączył charakterystykę zabudowy i zagospodarowania terenu, w tym przeznaczenia i gabaryty projektowanych obiektów budowlanych oraz powierzchni terenu podlegającej przekształceniu, przedstawioną w formie opisowej i graficznej, która znajduje się w aktach sprawy. Treść wniosku oraz załącznik graficzny do wniosku są ze sobą spójne. W części graficznej Wnioskodawca wskazał również obszar, na który planowana inwestycja będzie oddziaływać. Wniosek zatem był kompletny.</w:t>
      </w:r>
    </w:p>
    <w:p w14:paraId="03938498" w14:textId="77777777" w:rsidR="00CE793B" w:rsidRPr="00CE793B" w:rsidRDefault="00CE793B" w:rsidP="00CE793B">
      <w:pPr>
        <w:widowControl w:val="0"/>
        <w:autoSpaceDE w:val="0"/>
        <w:autoSpaceDN w:val="0"/>
        <w:adjustRightInd w:val="0"/>
        <w:ind w:right="-1" w:firstLine="567"/>
        <w:jc w:val="both"/>
        <w:rPr>
          <w:szCs w:val="28"/>
        </w:rPr>
      </w:pPr>
      <w:r w:rsidRPr="00CE793B">
        <w:rPr>
          <w:szCs w:val="28"/>
        </w:rPr>
        <w:t>Wydanie decyzji o warunkach zabudowy jest możliwe jedynie w przypadku łącznego spełnienia warunków, o których mowa w art. 61 ust. 1 ustawy z dnia 27 marca 2003 r. o planowaniu i zagospodarowaniu przestrzennym, a mianowicie:</w:t>
      </w:r>
    </w:p>
    <w:p w14:paraId="4D527BA8" w14:textId="77777777" w:rsidR="00CE793B" w:rsidRPr="00CE793B" w:rsidRDefault="00CE793B" w:rsidP="00CE793B">
      <w:pPr>
        <w:widowControl w:val="0"/>
        <w:numPr>
          <w:ilvl w:val="0"/>
          <w:numId w:val="1"/>
        </w:numPr>
        <w:tabs>
          <w:tab w:val="left" w:pos="851"/>
        </w:tabs>
        <w:autoSpaceDE w:val="0"/>
        <w:autoSpaceDN w:val="0"/>
        <w:adjustRightInd w:val="0"/>
        <w:ind w:left="0" w:right="-1" w:firstLine="567"/>
        <w:contextualSpacing/>
        <w:jc w:val="both"/>
        <w:rPr>
          <w:szCs w:val="28"/>
        </w:rPr>
      </w:pPr>
      <w:r w:rsidRPr="00CE793B">
        <w:rPr>
          <w:szCs w:val="28"/>
        </w:rPr>
        <w:t xml:space="preserve">co najmniej jedna działka sąsiednia, dostępna z tej samej drogi publicznej, jest zabudowana w sposób pozwalający na określenie wymagań dotyczących nowej zabudowy w zakresie </w:t>
      </w:r>
      <w:r w:rsidRPr="00CE793B">
        <w:rPr>
          <w:b/>
          <w:szCs w:val="28"/>
        </w:rPr>
        <w:t>kontynuacji funkcji</w:t>
      </w:r>
      <w:r w:rsidRPr="00CE793B">
        <w:rPr>
          <w:szCs w:val="28"/>
        </w:rPr>
        <w:t>, parametrów, cech i wskaźników kształtowania zabudowy oraz</w:t>
      </w:r>
      <w:r w:rsidRPr="00CE793B">
        <w:rPr>
          <w:b/>
          <w:szCs w:val="28"/>
        </w:rPr>
        <w:t xml:space="preserve"> zagospodarowania terenu</w:t>
      </w:r>
      <w:r w:rsidRPr="00CE793B">
        <w:rPr>
          <w:szCs w:val="28"/>
        </w:rPr>
        <w:t>, w tym gabarytów i formy architektonicznej obiektów budowlanych, linii zabudowy oraz intensywności wykorzystania terenu;</w:t>
      </w:r>
    </w:p>
    <w:p w14:paraId="705EBDF6" w14:textId="77777777" w:rsidR="00CE793B" w:rsidRPr="00CE793B" w:rsidRDefault="00CE793B" w:rsidP="00CE793B">
      <w:pPr>
        <w:widowControl w:val="0"/>
        <w:numPr>
          <w:ilvl w:val="0"/>
          <w:numId w:val="1"/>
        </w:numPr>
        <w:tabs>
          <w:tab w:val="left" w:pos="851"/>
        </w:tabs>
        <w:autoSpaceDE w:val="0"/>
        <w:autoSpaceDN w:val="0"/>
        <w:adjustRightInd w:val="0"/>
        <w:ind w:left="0" w:right="-1" w:firstLine="567"/>
        <w:contextualSpacing/>
        <w:jc w:val="both"/>
        <w:rPr>
          <w:szCs w:val="28"/>
        </w:rPr>
      </w:pPr>
      <w:r w:rsidRPr="00CE793B">
        <w:rPr>
          <w:szCs w:val="28"/>
        </w:rPr>
        <w:t>teren ma dostęp do drogi publicznej rozumiany jako bezpośredni dostęp do tej drogi albo dostęp do niej przez drogę wewnętrzną lub przez ustanowienie odpowiedniej służebności drogowej;</w:t>
      </w:r>
    </w:p>
    <w:p w14:paraId="7DAA6FB7" w14:textId="77777777" w:rsidR="00CE793B" w:rsidRPr="00CE793B" w:rsidRDefault="00CE793B" w:rsidP="00CE793B">
      <w:pPr>
        <w:widowControl w:val="0"/>
        <w:numPr>
          <w:ilvl w:val="0"/>
          <w:numId w:val="1"/>
        </w:numPr>
        <w:tabs>
          <w:tab w:val="left" w:pos="851"/>
        </w:tabs>
        <w:autoSpaceDE w:val="0"/>
        <w:autoSpaceDN w:val="0"/>
        <w:adjustRightInd w:val="0"/>
        <w:ind w:left="0" w:right="-1" w:firstLine="567"/>
        <w:contextualSpacing/>
        <w:jc w:val="both"/>
        <w:rPr>
          <w:szCs w:val="28"/>
        </w:rPr>
      </w:pPr>
      <w:r w:rsidRPr="00CE793B">
        <w:rPr>
          <w:szCs w:val="28"/>
        </w:rPr>
        <w:t>istniejące lub 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0E8CA84F" w14:textId="77777777" w:rsidR="00CE793B" w:rsidRPr="00CE793B" w:rsidRDefault="00CE793B" w:rsidP="00CE793B">
      <w:pPr>
        <w:widowControl w:val="0"/>
        <w:numPr>
          <w:ilvl w:val="0"/>
          <w:numId w:val="1"/>
        </w:numPr>
        <w:tabs>
          <w:tab w:val="left" w:pos="851"/>
        </w:tabs>
        <w:autoSpaceDE w:val="0"/>
        <w:autoSpaceDN w:val="0"/>
        <w:adjustRightInd w:val="0"/>
        <w:ind w:left="0" w:right="-1" w:firstLine="567"/>
        <w:contextualSpacing/>
        <w:jc w:val="both"/>
        <w:rPr>
          <w:szCs w:val="28"/>
        </w:rPr>
      </w:pPr>
      <w:r w:rsidRPr="00CE793B">
        <w:rPr>
          <w:szCs w:val="28"/>
        </w:rPr>
        <w:t>teren nie wymaga uzyskania zgody na zmianę przeznaczenia gruntów rolnych i leśnych na cele nierolnicze i nieleśne albo jest objęty zgodą uzyskaną przy sporządzaniu miejscowych planów, które utraciły moc na podstawie art. 67 ustawy, o której mowa w art. 88 ust. 1;</w:t>
      </w:r>
    </w:p>
    <w:p w14:paraId="452196AC" w14:textId="77777777" w:rsidR="00CE793B" w:rsidRPr="00CE793B" w:rsidRDefault="00CE793B" w:rsidP="00CE793B">
      <w:pPr>
        <w:widowControl w:val="0"/>
        <w:numPr>
          <w:ilvl w:val="0"/>
          <w:numId w:val="1"/>
        </w:numPr>
        <w:tabs>
          <w:tab w:val="left" w:pos="851"/>
        </w:tabs>
        <w:autoSpaceDE w:val="0"/>
        <w:autoSpaceDN w:val="0"/>
        <w:adjustRightInd w:val="0"/>
        <w:ind w:left="0" w:right="-1" w:firstLine="567"/>
        <w:contextualSpacing/>
        <w:jc w:val="both"/>
        <w:rPr>
          <w:szCs w:val="28"/>
        </w:rPr>
      </w:pPr>
      <w:r w:rsidRPr="00CE793B">
        <w:rPr>
          <w:szCs w:val="28"/>
        </w:rPr>
        <w:t>decyzja jest zgodna z przepisami odrębnymi.</w:t>
      </w:r>
    </w:p>
    <w:p w14:paraId="345F3A94" w14:textId="77777777" w:rsidR="00CE793B" w:rsidRPr="00CE793B" w:rsidRDefault="00CE793B" w:rsidP="00CE793B">
      <w:pPr>
        <w:widowControl w:val="0"/>
        <w:autoSpaceDE w:val="0"/>
        <w:autoSpaceDN w:val="0"/>
        <w:adjustRightInd w:val="0"/>
        <w:ind w:right="-1" w:firstLine="567"/>
        <w:jc w:val="both"/>
        <w:rPr>
          <w:szCs w:val="28"/>
        </w:rPr>
      </w:pPr>
      <w:r w:rsidRPr="00CE793B">
        <w:t xml:space="preserve">Stosownie do </w:t>
      </w:r>
      <w:r w:rsidRPr="00CE793B">
        <w:rPr>
          <w:szCs w:val="28"/>
        </w:rPr>
        <w:t>art. 53 ust. 3 w związku z art. 64 ust. 1 ustawy z dnia 27 marca 2003 r. o planowaniu i zagospodarowaniu przestrzennym przeprowadzone zostały analizy: warunków i zasad zagospodarowania terenu oraz jego zabudowy, wynikających z przepisów odrębnych, oraz stanu faktycznego i prawnego terenu, na którym przewiduje się realizację inwestycji. Wyniki tych analiz znajdują się w aktach sprawy.</w:t>
      </w:r>
    </w:p>
    <w:p w14:paraId="4457030D" w14:textId="77777777" w:rsidR="00CE793B" w:rsidRPr="00CE793B" w:rsidRDefault="00CE793B" w:rsidP="00CE793B">
      <w:pPr>
        <w:widowControl w:val="0"/>
        <w:autoSpaceDE w:val="0"/>
        <w:autoSpaceDN w:val="0"/>
        <w:adjustRightInd w:val="0"/>
        <w:ind w:right="-1" w:firstLine="567"/>
        <w:jc w:val="both"/>
        <w:rPr>
          <w:szCs w:val="28"/>
        </w:rPr>
      </w:pPr>
      <w:r w:rsidRPr="00CE793B">
        <w:rPr>
          <w:szCs w:val="28"/>
        </w:rPr>
        <w:t xml:space="preserve">Zgodnie z art. 60 ust. 4 przywołanej ustawy sporządzenie projektu decyzji odmawiającej ustalenia warunków zabudowy powierzono osobie spełniającej warunki określone w art. 5 ustawy. Projekt decyzji znajduje się w aktach </w:t>
      </w:r>
      <w:r w:rsidRPr="00CE793B">
        <w:rPr>
          <w:szCs w:val="28"/>
        </w:rPr>
        <w:lastRenderedPageBreak/>
        <w:t>sprawy.</w:t>
      </w:r>
    </w:p>
    <w:p w14:paraId="591CE7E8" w14:textId="77777777" w:rsidR="00CE793B" w:rsidRPr="00CE793B" w:rsidRDefault="00CE793B" w:rsidP="00CE793B">
      <w:pPr>
        <w:ind w:firstLine="567"/>
        <w:jc w:val="both"/>
        <w:rPr>
          <w:szCs w:val="28"/>
        </w:rPr>
      </w:pPr>
      <w:r w:rsidRPr="00CE793B">
        <w:rPr>
          <w:szCs w:val="28"/>
        </w:rPr>
        <w:t xml:space="preserve">W celu ustalenia wymagań dla nowej zabudowy i zagospodarowania terenu Burmistrz Śremu wyznaczył wokół działki budowlanej, której dotyczył wniosek o ustalenie warunków zabudowy, obszar analizowany i przeprowadził na nim analizę funkcji oraz cech zabudowy i zagospodarowania terenu w zakresie warunków, o których mowa w art. 61 ust. 1-5 ustawy. </w:t>
      </w:r>
    </w:p>
    <w:p w14:paraId="44F9957C" w14:textId="77777777" w:rsidR="00CE793B" w:rsidRPr="00CE793B" w:rsidRDefault="00CE793B" w:rsidP="00CE793B">
      <w:pPr>
        <w:widowControl w:val="0"/>
        <w:autoSpaceDE w:val="0"/>
        <w:autoSpaceDN w:val="0"/>
        <w:adjustRightInd w:val="0"/>
        <w:ind w:right="-1" w:firstLine="567"/>
        <w:jc w:val="both"/>
        <w:rPr>
          <w:szCs w:val="28"/>
        </w:rPr>
      </w:pPr>
      <w:r w:rsidRPr="00CE793B">
        <w:rPr>
          <w:bCs/>
          <w:szCs w:val="28"/>
        </w:rPr>
        <w:t>Granice obszaru analizowanego wyznaczone zostały na kopii mapy zasadniczej z 08.02.2021 r., przyjętej do państwowego (powiatowego) zasobu geodezyjnego i kartograficznego prowadzonego przez Starostę Śremskiego, obejmującej teren, którego wniosek dotyczy (działka o nr ewid. 2178, obręb Śrem) i obszaru, na który ta inwestycja będzie oddziaływać (przewidywany zasięg: działka stanowiąca teren inwestycji, działki bezpośrednio graniczące z terenem inwestycji oraz położone przy tej samej drodze gminnej – ul. Środkowej), w skali 1:1000, w następujący sposób:</w:t>
      </w:r>
      <w:bookmarkStart w:id="0" w:name="mip10826106"/>
      <w:bookmarkEnd w:id="0"/>
      <w:r w:rsidRPr="00CE793B">
        <w:rPr>
          <w:bCs/>
          <w:szCs w:val="28"/>
        </w:rPr>
        <w:t xml:space="preserve"> w odległości wynoszącej 55,2 m, czyli nie mniejszej niż trzykrotna szerokość frontu działki objętej wnioskiem, przy czym front terenu wynosi 18,4 m i został wyznaczony od strony drogi gminnej oraz w odległości nie mniejszej niż 50,0 m, spełniając tym samym wymogi § 3 ust. 2 przywołanego rozporządzenia.</w:t>
      </w:r>
    </w:p>
    <w:p w14:paraId="35E88699" w14:textId="50DFDBE1" w:rsidR="00CE793B" w:rsidRPr="00CE793B" w:rsidRDefault="00CE793B" w:rsidP="00CE793B">
      <w:pPr>
        <w:widowControl w:val="0"/>
        <w:autoSpaceDE w:val="0"/>
        <w:autoSpaceDN w:val="0"/>
        <w:adjustRightInd w:val="0"/>
        <w:ind w:right="-1" w:firstLine="567"/>
        <w:jc w:val="both"/>
        <w:rPr>
          <w:szCs w:val="28"/>
          <w:shd w:val="clear" w:color="auto" w:fill="FFFFFF"/>
        </w:rPr>
      </w:pPr>
      <w:r w:rsidRPr="00CE793B">
        <w:rPr>
          <w:szCs w:val="28"/>
          <w:shd w:val="clear" w:color="auto" w:fill="FFFFFF"/>
        </w:rPr>
        <w:t>W tak wyznaczonym obszarze analizowanym znalazły się działki zabudowane oraz niezabudowane, przy czym analizie funkcji zabudowy i zagospodarowania terenu w zakresie warunków, o których mowa w art. 61 ust. 1 – 5 ustawy z dnia 27 marca 2003 r. o planowaniu i zagospodarowaniu przestrzennym, zostały poddane tylko działki zabudowane, tworzące z terenem inwestycji całość urbanistyczną. Działki niezabudowane zostały pominięte, gdyż w związku z charakterem planowanej inwestycji (zabudowa usługowa) nie mogły stanowić podstawy do ustalan</w:t>
      </w:r>
      <w:r>
        <w:rPr>
          <w:szCs w:val="28"/>
          <w:shd w:val="clear" w:color="auto" w:fill="FFFFFF"/>
        </w:rPr>
        <w:t>ia wymagań dla nowej zabudowy i </w:t>
      </w:r>
      <w:r w:rsidRPr="00CE793B">
        <w:rPr>
          <w:szCs w:val="28"/>
          <w:shd w:val="clear" w:color="auto" w:fill="FFFFFF"/>
        </w:rPr>
        <w:t>zagospodarowania terenu, jeżeli żadna zabudowa na tych działkach nie powstała.</w:t>
      </w:r>
    </w:p>
    <w:p w14:paraId="350DCA44" w14:textId="77777777" w:rsidR="00CE793B" w:rsidRPr="00CE793B" w:rsidRDefault="00CE793B" w:rsidP="00CE793B">
      <w:pPr>
        <w:widowControl w:val="0"/>
        <w:autoSpaceDE w:val="0"/>
        <w:autoSpaceDN w:val="0"/>
        <w:adjustRightInd w:val="0"/>
        <w:ind w:right="-1" w:firstLine="567"/>
        <w:jc w:val="both"/>
        <w:rPr>
          <w:szCs w:val="28"/>
          <w:shd w:val="clear" w:color="auto" w:fill="FFFFFF"/>
        </w:rPr>
      </w:pPr>
      <w:r w:rsidRPr="00CE793B">
        <w:rPr>
          <w:szCs w:val="28"/>
          <w:shd w:val="clear" w:color="auto" w:fill="FFFFFF"/>
        </w:rPr>
        <w:t>Wyznaczając granice obszaru analizowanego Burmistrz Śremu ograniczył się do zastosowania odległości standardowej, zgodnie z regułą opisaną powyżej, gdyż wielkość tego obszaru jest wystarczająca dla zadośćuczynienia ustawowemu wymogowi zachowania ładu przestrzennego i tej zasadzie służy.</w:t>
      </w:r>
    </w:p>
    <w:p w14:paraId="6D1575C2" w14:textId="77777777" w:rsidR="00CE793B" w:rsidRPr="00CE793B" w:rsidRDefault="00CE793B" w:rsidP="00CE793B">
      <w:pPr>
        <w:widowControl w:val="0"/>
        <w:autoSpaceDE w:val="0"/>
        <w:autoSpaceDN w:val="0"/>
        <w:adjustRightInd w:val="0"/>
        <w:ind w:right="-1" w:firstLine="567"/>
        <w:jc w:val="both"/>
        <w:rPr>
          <w:szCs w:val="28"/>
        </w:rPr>
      </w:pPr>
      <w:r w:rsidRPr="00CE793B">
        <w:rPr>
          <w:szCs w:val="28"/>
        </w:rPr>
        <w:t xml:space="preserve">Analiza warunków, o których mowa w art. 61 ust. 1 ustawy z dnia 27 marca 2003 r. o planowaniu i zagospodarowaniu przestrzennym, dokonana  w trakcie prowadzonego postępowania wykazała, że: </w:t>
      </w:r>
    </w:p>
    <w:p w14:paraId="6B537242" w14:textId="4536D40B" w:rsidR="00CE793B" w:rsidRPr="00CE793B" w:rsidRDefault="00CE793B" w:rsidP="00CE793B">
      <w:pPr>
        <w:widowControl w:val="0"/>
        <w:numPr>
          <w:ilvl w:val="0"/>
          <w:numId w:val="2"/>
        </w:numPr>
        <w:tabs>
          <w:tab w:val="left" w:pos="851"/>
        </w:tabs>
        <w:autoSpaceDE w:val="0"/>
        <w:autoSpaceDN w:val="0"/>
        <w:adjustRightInd w:val="0"/>
        <w:ind w:left="0" w:right="-1" w:firstLine="567"/>
        <w:contextualSpacing/>
        <w:jc w:val="both"/>
        <w:rPr>
          <w:spacing w:val="-2"/>
          <w:szCs w:val="28"/>
        </w:rPr>
      </w:pPr>
      <w:r w:rsidRPr="00CE793B">
        <w:rPr>
          <w:spacing w:val="-2"/>
          <w:szCs w:val="28"/>
        </w:rPr>
        <w:t>zabudowa działek sąsiednich (działki o nr ewid.: 2175/2, 2176/2, 2176/4, 2177/2, 2177/1, 2179, 2180/2, 2180/1, 2181, 2196, 2195, 2182, 2184, 2183, 2168, 2167, 2152, 2165, 2164, 2153, 2154, 2173/5, 2159, 2160, 2161), które wraz z</w:t>
      </w:r>
      <w:r>
        <w:rPr>
          <w:spacing w:val="-2"/>
          <w:szCs w:val="28"/>
        </w:rPr>
        <w:t> </w:t>
      </w:r>
      <w:r w:rsidRPr="00CE793B">
        <w:rPr>
          <w:spacing w:val="-2"/>
          <w:szCs w:val="28"/>
        </w:rPr>
        <w:t xml:space="preserve">terenem planowanej inwestycji tworzą urbanistyczną całość, </w:t>
      </w:r>
      <w:r w:rsidRPr="00CE793B">
        <w:rPr>
          <w:b/>
          <w:spacing w:val="-2"/>
          <w:szCs w:val="28"/>
        </w:rPr>
        <w:t>nie pozwala na określenie wymagań dla nowej zabudowy w zakresie kontynuacji funkcji oraz</w:t>
      </w:r>
      <w:r w:rsidRPr="00CE793B">
        <w:rPr>
          <w:spacing w:val="-2"/>
          <w:szCs w:val="28"/>
        </w:rPr>
        <w:t xml:space="preserve"> </w:t>
      </w:r>
      <w:r w:rsidRPr="00CE793B">
        <w:rPr>
          <w:b/>
          <w:spacing w:val="-2"/>
          <w:szCs w:val="28"/>
        </w:rPr>
        <w:t xml:space="preserve">zagospodarowania terenu. </w:t>
      </w:r>
      <w:r w:rsidRPr="00CE793B">
        <w:rPr>
          <w:spacing w:val="-2"/>
          <w:szCs w:val="28"/>
        </w:rPr>
        <w:t>Nie planuje się zmiany parametrów i gabarytów zabudowy;</w:t>
      </w:r>
    </w:p>
    <w:p w14:paraId="7B5345A2" w14:textId="77777777" w:rsidR="00CE793B" w:rsidRPr="00CE793B" w:rsidRDefault="00CE793B" w:rsidP="00CE793B">
      <w:pPr>
        <w:widowControl w:val="0"/>
        <w:numPr>
          <w:ilvl w:val="0"/>
          <w:numId w:val="2"/>
        </w:numPr>
        <w:tabs>
          <w:tab w:val="left" w:pos="851"/>
        </w:tabs>
        <w:autoSpaceDE w:val="0"/>
        <w:autoSpaceDN w:val="0"/>
        <w:adjustRightInd w:val="0"/>
        <w:ind w:left="0" w:right="-1" w:firstLine="567"/>
        <w:contextualSpacing/>
        <w:jc w:val="both"/>
        <w:rPr>
          <w:szCs w:val="28"/>
        </w:rPr>
      </w:pPr>
      <w:r w:rsidRPr="00CE793B">
        <w:rPr>
          <w:szCs w:val="28"/>
        </w:rPr>
        <w:t xml:space="preserve">teren ma zapewniony bezpośredni dostęp do drogi publicznej gminnej </w:t>
      </w:r>
      <w:r w:rsidRPr="00CE793B">
        <w:rPr>
          <w:szCs w:val="28"/>
        </w:rPr>
        <w:lastRenderedPageBreak/>
        <w:t>(ul. Środkowej);</w:t>
      </w:r>
    </w:p>
    <w:p w14:paraId="44A35B33" w14:textId="77777777" w:rsidR="00CE793B" w:rsidRPr="00CE793B" w:rsidRDefault="00CE793B" w:rsidP="00CE793B">
      <w:pPr>
        <w:widowControl w:val="0"/>
        <w:numPr>
          <w:ilvl w:val="0"/>
          <w:numId w:val="2"/>
        </w:numPr>
        <w:tabs>
          <w:tab w:val="left" w:pos="851"/>
        </w:tabs>
        <w:autoSpaceDE w:val="0"/>
        <w:autoSpaceDN w:val="0"/>
        <w:adjustRightInd w:val="0"/>
        <w:ind w:left="0" w:right="-1" w:firstLine="567"/>
        <w:contextualSpacing/>
        <w:jc w:val="both"/>
        <w:rPr>
          <w:szCs w:val="28"/>
        </w:rPr>
      </w:pPr>
      <w:r w:rsidRPr="00CE793B">
        <w:rPr>
          <w:szCs w:val="28"/>
        </w:rPr>
        <w:t>istniejące (sieć elektroenergetyczna, wodociągowa, sieć kanalizacji sanitarnej) uzbrojenie terenu jest wystarczające dla zamierzenia budowlanego;</w:t>
      </w:r>
    </w:p>
    <w:p w14:paraId="49EE9D67" w14:textId="77777777" w:rsidR="00CE793B" w:rsidRPr="00CE793B" w:rsidRDefault="00CE793B" w:rsidP="00CE793B">
      <w:pPr>
        <w:widowControl w:val="0"/>
        <w:numPr>
          <w:ilvl w:val="0"/>
          <w:numId w:val="2"/>
        </w:numPr>
        <w:tabs>
          <w:tab w:val="left" w:pos="851"/>
        </w:tabs>
        <w:autoSpaceDE w:val="0"/>
        <w:autoSpaceDN w:val="0"/>
        <w:adjustRightInd w:val="0"/>
        <w:ind w:left="0" w:right="-1" w:firstLine="567"/>
        <w:contextualSpacing/>
        <w:jc w:val="both"/>
        <w:rPr>
          <w:szCs w:val="28"/>
        </w:rPr>
      </w:pPr>
      <w:r w:rsidRPr="00CE793B">
        <w:rPr>
          <w:szCs w:val="28"/>
        </w:rPr>
        <w:t>teren inwestycji nie wymaga uzyskania zgody na zmianę przeznaczenia gruntów rolnych i leśnych na cele nierolnicze i nieleśne, bowiem inwestycja planowana jest na działce, która zgodnie z prowadzoną przez Starostę Śremskiego ewidencją gruntów i budynków stanowi inne tereny zabudowane;</w:t>
      </w:r>
    </w:p>
    <w:p w14:paraId="62194525" w14:textId="77777777" w:rsidR="00CE793B" w:rsidRPr="00CE793B" w:rsidRDefault="00CE793B" w:rsidP="00CE793B">
      <w:pPr>
        <w:widowControl w:val="0"/>
        <w:numPr>
          <w:ilvl w:val="0"/>
          <w:numId w:val="2"/>
        </w:numPr>
        <w:tabs>
          <w:tab w:val="left" w:pos="851"/>
        </w:tabs>
        <w:autoSpaceDE w:val="0"/>
        <w:autoSpaceDN w:val="0"/>
        <w:adjustRightInd w:val="0"/>
        <w:ind w:left="0" w:right="-1" w:firstLine="567"/>
        <w:contextualSpacing/>
        <w:jc w:val="both"/>
        <w:rPr>
          <w:szCs w:val="28"/>
        </w:rPr>
      </w:pPr>
      <w:r w:rsidRPr="00CE793B">
        <w:rPr>
          <w:szCs w:val="28"/>
        </w:rPr>
        <w:t xml:space="preserve">decyzja jest zgodna z przepisami odrębnymi. </w:t>
      </w:r>
    </w:p>
    <w:p w14:paraId="7E7E7647" w14:textId="77777777" w:rsidR="00CE793B" w:rsidRPr="00CE793B" w:rsidRDefault="00CE793B" w:rsidP="00CE793B">
      <w:pPr>
        <w:widowControl w:val="0"/>
        <w:autoSpaceDE w:val="0"/>
        <w:autoSpaceDN w:val="0"/>
        <w:adjustRightInd w:val="0"/>
        <w:ind w:right="-1" w:firstLine="567"/>
        <w:jc w:val="both"/>
        <w:rPr>
          <w:szCs w:val="28"/>
        </w:rPr>
      </w:pPr>
      <w:r w:rsidRPr="00CE793B">
        <w:rPr>
          <w:szCs w:val="28"/>
        </w:rPr>
        <w:t xml:space="preserve">Planowana inwestycja polega na zmianie sposobu użytkowania budynku mieszkalnego i garażu na przedszkole.  </w:t>
      </w:r>
    </w:p>
    <w:p w14:paraId="548C79D4" w14:textId="36509732" w:rsidR="00CE793B" w:rsidRPr="00CE793B" w:rsidRDefault="00CE793B" w:rsidP="00CE793B">
      <w:pPr>
        <w:widowControl w:val="0"/>
        <w:autoSpaceDE w:val="0"/>
        <w:autoSpaceDN w:val="0"/>
        <w:adjustRightInd w:val="0"/>
        <w:ind w:right="-1" w:firstLine="567"/>
        <w:jc w:val="both"/>
        <w:rPr>
          <w:bCs/>
        </w:rPr>
      </w:pPr>
      <w:r w:rsidRPr="00CE793B">
        <w:rPr>
          <w:szCs w:val="28"/>
        </w:rPr>
        <w:t>Przedmiotowa działka o nr ewid. 2178 jest zabudowana budynkiem mieszkalnym jednorodzinnym wolnostojącym oraz garażem, położona w silnie zurbanizowanej części Śremu, przy ul. Środkowej. Powierzchnia działki wynosi 494 m</w:t>
      </w:r>
      <w:r w:rsidRPr="00CE793B">
        <w:rPr>
          <w:szCs w:val="28"/>
          <w:vertAlign w:val="superscript"/>
        </w:rPr>
        <w:t>2</w:t>
      </w:r>
      <w:r w:rsidRPr="00CE793B">
        <w:rPr>
          <w:szCs w:val="28"/>
        </w:rPr>
        <w:t xml:space="preserve">, a zgodnie z prowadzoną przez Starostę Śremskiego ewidencją gruntów i budynków stanowi tereny mieszkaniowe. Działka objęta wnioskiem graniczy z drogą gminną od wschodu i zabudową mieszkaniową jednorodzinną </w:t>
      </w:r>
      <w:r>
        <w:rPr>
          <w:szCs w:val="28"/>
        </w:rPr>
        <w:t>z </w:t>
      </w:r>
      <w:r w:rsidRPr="00CE793B">
        <w:rPr>
          <w:szCs w:val="28"/>
        </w:rPr>
        <w:t xml:space="preserve">pozostałych stron. Działka przylega do drogi gminnej o szerokości pasa drogowego wynoszącej ca 8 m. Droga ta (ul. Środkowa) jest ulicą nieprzelotową (zakończona placem do zawracania samochodów w kształcie litery T na wysokości działki będącej przedmiotem inwestycji). </w:t>
      </w:r>
      <w:r w:rsidRPr="00CE793B">
        <w:rPr>
          <w:bCs/>
        </w:rPr>
        <w:t xml:space="preserve">Elementy pasa drogowego przedmiotowej ulicy stanowią: jezdnia </w:t>
      </w:r>
      <w:r w:rsidRPr="00CE793B">
        <w:rPr>
          <w:bCs/>
        </w:rPr>
        <w:br/>
        <w:t xml:space="preserve">o nawierzchni z betonowej kostki brukowej o szerokości 5,6 m, pobocza </w:t>
      </w:r>
      <w:r w:rsidRPr="00CE793B">
        <w:rPr>
          <w:bCs/>
        </w:rPr>
        <w:br/>
        <w:t xml:space="preserve">z obu stron jezdni o szerokości ca 0,9 m (prawa strona) i ca 1,0 m (lewa strona). </w:t>
      </w:r>
    </w:p>
    <w:p w14:paraId="2C2A938E" w14:textId="3AF9CA27" w:rsidR="00CE793B" w:rsidRPr="00CE793B" w:rsidRDefault="00CE793B" w:rsidP="00CE793B">
      <w:pPr>
        <w:widowControl w:val="0"/>
        <w:autoSpaceDE w:val="0"/>
        <w:autoSpaceDN w:val="0"/>
        <w:adjustRightInd w:val="0"/>
        <w:ind w:right="-1"/>
        <w:jc w:val="both"/>
        <w:rPr>
          <w:bCs/>
        </w:rPr>
      </w:pPr>
      <w:r w:rsidRPr="00CE793B">
        <w:rPr>
          <w:bCs/>
        </w:rPr>
        <w:t>Dodatkowo, ze względów bezpieczeństwa i przepisów ppoż., na odcinku km 0+022 – km 0+033 znajduje się plac manewrowy (zatoka w kształcie litry T) do zawracania pojazdów, oznaczony znakiem pionowym B–35 (z</w:t>
      </w:r>
      <w:r>
        <w:rPr>
          <w:bCs/>
        </w:rPr>
        <w:t>akaz postoju) i </w:t>
      </w:r>
      <w:r w:rsidRPr="00CE793B">
        <w:rPr>
          <w:bCs/>
        </w:rPr>
        <w:t>tabliczką podznakową T–3a (dotyczy całego placu). Na całej długości przedmiotowej drogi nie ma chodników oraz wydzielonych miejsc parkingowych.</w:t>
      </w:r>
    </w:p>
    <w:p w14:paraId="786B8ABF" w14:textId="77777777" w:rsidR="00CE793B" w:rsidRPr="00CE793B" w:rsidRDefault="00CE793B" w:rsidP="00CE793B">
      <w:pPr>
        <w:widowControl w:val="0"/>
        <w:autoSpaceDE w:val="0"/>
        <w:autoSpaceDN w:val="0"/>
        <w:adjustRightInd w:val="0"/>
        <w:ind w:right="-1" w:firstLine="567"/>
        <w:jc w:val="both"/>
        <w:rPr>
          <w:szCs w:val="28"/>
        </w:rPr>
      </w:pPr>
      <w:r w:rsidRPr="00CE793B">
        <w:rPr>
          <w:szCs w:val="28"/>
        </w:rPr>
        <w:t>Sąsiednie działki dostępne z tej samej drogi gminnej oraz ulic Kosynierów, Krótkiej i Gostyńskiej, położone w granicach obszaru analizowanego, zabudowane są w sposób pozwalający na określenie wymagań dotyczących nowej zabudowy w zakresie kontynuacji funkcji i zagospodarowania terenu. Nie ma potrzeby sprawdzania kontynuacji dla parametrów, cech i wskaźników kształtowania zabudowy, w tym gabarytów i formy architektonicznej obiektu oraz intensywności wykorzystania terenu, bowiem planowana inwestycja polega na zmianie sposobu użytkowania istniejącego budynku.</w:t>
      </w:r>
    </w:p>
    <w:p w14:paraId="50B6AB42" w14:textId="77777777" w:rsidR="00CE793B" w:rsidRPr="00CE793B" w:rsidRDefault="00CE793B" w:rsidP="00CE793B">
      <w:pPr>
        <w:widowControl w:val="0"/>
        <w:autoSpaceDE w:val="0"/>
        <w:autoSpaceDN w:val="0"/>
        <w:adjustRightInd w:val="0"/>
        <w:ind w:right="-1" w:firstLine="567"/>
        <w:jc w:val="both"/>
        <w:rPr>
          <w:szCs w:val="28"/>
        </w:rPr>
      </w:pPr>
      <w:r w:rsidRPr="00CE793B">
        <w:rPr>
          <w:szCs w:val="28"/>
        </w:rPr>
        <w:t xml:space="preserve">Biorąc powyższe pod uwagę nie ustalano warunków i wymagań kształtowania ładu przestrzennego dotyczących: określenia linii zabudowy, wielkości powierzchni zabudowy w stosunku do powierzchni działki lub terenu, udziału powierzchni biologicznie czynnej, a także gabarytów i wysokości zabudowy, w tym szerokości elewacji frontowej oraz geometrii dachu. Ustalenia dotyczące funkcji zabudowy nie znalazły odzwierciedlenia  w analizie funkcji </w:t>
      </w:r>
      <w:r w:rsidRPr="00CE793B">
        <w:rPr>
          <w:szCs w:val="28"/>
        </w:rPr>
        <w:lastRenderedPageBreak/>
        <w:t>zabudowy i zagospodarowania terenu. Natomiast wyniki tej analizy, zawierające część tekstową i graficzną, stanowią załączniki nr 2 i 3 do decyzji.</w:t>
      </w:r>
    </w:p>
    <w:p w14:paraId="0AD4F625" w14:textId="146333FD" w:rsidR="00CE793B" w:rsidRPr="00CE793B" w:rsidRDefault="00CE793B" w:rsidP="00CE793B">
      <w:pPr>
        <w:widowControl w:val="0"/>
        <w:autoSpaceDE w:val="0"/>
        <w:autoSpaceDN w:val="0"/>
        <w:adjustRightInd w:val="0"/>
        <w:ind w:right="-1" w:firstLine="567"/>
        <w:jc w:val="both"/>
        <w:rPr>
          <w:szCs w:val="28"/>
        </w:rPr>
      </w:pPr>
      <w:r w:rsidRPr="00CE793B">
        <w:rPr>
          <w:szCs w:val="28"/>
        </w:rPr>
        <w:t>Wyznaczenie obszaru analizowanego i przeprowadzenie na nim analizy funkcji oraz cech zabudowy i zagospodarowania terenu stanowi podstawę do stwierdzenia spełnienia warunków, o których mow</w:t>
      </w:r>
      <w:r>
        <w:rPr>
          <w:szCs w:val="28"/>
        </w:rPr>
        <w:t>a w art. 61 ust. 1 – 5 ustawy z </w:t>
      </w:r>
      <w:r w:rsidRPr="00CE793B">
        <w:rPr>
          <w:szCs w:val="28"/>
        </w:rPr>
        <w:t>dnia 27 marca 2003 r. o planowaniu i za</w:t>
      </w:r>
      <w:r>
        <w:rPr>
          <w:szCs w:val="28"/>
        </w:rPr>
        <w:t>gospodarowaniu przestrzennym. W </w:t>
      </w:r>
      <w:r w:rsidRPr="00CE793B">
        <w:rPr>
          <w:szCs w:val="28"/>
        </w:rPr>
        <w:t>analizowanym przypadku warunek, o którym mowa w art. 61 ust. 1 pkt 1 nie został w pełni spełniony.</w:t>
      </w:r>
    </w:p>
    <w:p w14:paraId="26F3A3E3" w14:textId="77777777" w:rsidR="00CE793B" w:rsidRPr="00CE793B" w:rsidRDefault="00CE793B" w:rsidP="00CE793B">
      <w:pPr>
        <w:widowControl w:val="0"/>
        <w:autoSpaceDE w:val="0"/>
        <w:autoSpaceDN w:val="0"/>
        <w:adjustRightInd w:val="0"/>
        <w:ind w:right="-1" w:firstLine="567"/>
        <w:jc w:val="both"/>
        <w:rPr>
          <w:szCs w:val="28"/>
        </w:rPr>
      </w:pPr>
      <w:r w:rsidRPr="00CE793B">
        <w:rPr>
          <w:szCs w:val="28"/>
        </w:rPr>
        <w:t>W obszarze analizowanym znajduje się wyłącznie zabudowa mieszkaniowa, na którą składają się: budynki mieszkalne jednorodzinne oraz służące im budynki gospodarcze i garaże, położone na małych powierzchniowo działkach (od 405 m</w:t>
      </w:r>
      <w:r w:rsidRPr="00CE793B">
        <w:rPr>
          <w:szCs w:val="28"/>
          <w:vertAlign w:val="superscript"/>
        </w:rPr>
        <w:t>2</w:t>
      </w:r>
      <w:r w:rsidRPr="00CE793B">
        <w:rPr>
          <w:szCs w:val="28"/>
        </w:rPr>
        <w:t xml:space="preserve"> do 938 m</w:t>
      </w:r>
      <w:r w:rsidRPr="00CE793B">
        <w:rPr>
          <w:szCs w:val="28"/>
          <w:vertAlign w:val="superscript"/>
        </w:rPr>
        <w:t>2</w:t>
      </w:r>
      <w:r w:rsidRPr="00CE793B">
        <w:rPr>
          <w:szCs w:val="28"/>
        </w:rPr>
        <w:t>, jedyną działką o większej powierzchni równej 1252 m</w:t>
      </w:r>
      <w:r w:rsidRPr="00CE793B">
        <w:rPr>
          <w:szCs w:val="28"/>
          <w:vertAlign w:val="superscript"/>
        </w:rPr>
        <w:t>2</w:t>
      </w:r>
      <w:r w:rsidRPr="00CE793B">
        <w:rPr>
          <w:szCs w:val="28"/>
        </w:rPr>
        <w:t xml:space="preserve"> jest działka o nr ewid. 2160, zlokalizowana przy ul. Krótkiej, zabudowana dwoma budynkami mieszkalnymi jednorodzinnymi oraz trzema budynkami gospodarczymi). Przy tej samej drodze gminnej co teren inwestycji zlokalizowanych jest 14 budynków mieszkalnych. Jedyną działką zabudowaną budynkiem o innej funkcji jest działka o nr ewid. 2173/5, na której usytuowana jest stacja transformatorowa. Służy ona zapewnieniu dostaw energii elektrycznej ww. zabudowie mieszkaniowej.</w:t>
      </w:r>
    </w:p>
    <w:p w14:paraId="7FDDB837" w14:textId="7E65EE90" w:rsidR="00CE793B" w:rsidRPr="00CE793B" w:rsidRDefault="00CE793B" w:rsidP="00CE793B">
      <w:pPr>
        <w:widowControl w:val="0"/>
        <w:autoSpaceDE w:val="0"/>
        <w:autoSpaceDN w:val="0"/>
        <w:adjustRightInd w:val="0"/>
        <w:ind w:right="-1" w:firstLine="567"/>
        <w:jc w:val="both"/>
        <w:rPr>
          <w:szCs w:val="28"/>
        </w:rPr>
      </w:pPr>
      <w:r w:rsidRPr="00CE793B">
        <w:rPr>
          <w:szCs w:val="28"/>
        </w:rPr>
        <w:t>Działka objęta wnioskiem o powierzchni 494 m</w:t>
      </w:r>
      <w:r w:rsidRPr="00CE793B">
        <w:rPr>
          <w:szCs w:val="28"/>
          <w:vertAlign w:val="superscript"/>
        </w:rPr>
        <w:t>2</w:t>
      </w:r>
      <w:r w:rsidRPr="00CE793B">
        <w:rPr>
          <w:szCs w:val="28"/>
        </w:rPr>
        <w:t xml:space="preserve"> zabudowana jest dwukondygnacyjnym budynkiem mieszkalnym o powierzchni zabudowy 92 m</w:t>
      </w:r>
      <w:r w:rsidRPr="00CE793B">
        <w:rPr>
          <w:szCs w:val="28"/>
          <w:vertAlign w:val="superscript"/>
        </w:rPr>
        <w:t>2</w:t>
      </w:r>
      <w:r w:rsidRPr="00CE793B">
        <w:rPr>
          <w:szCs w:val="28"/>
        </w:rPr>
        <w:t xml:space="preserve"> oraz garażem o powierzchni zabudowy 49 m</w:t>
      </w:r>
      <w:r w:rsidRPr="00CE793B">
        <w:rPr>
          <w:szCs w:val="28"/>
          <w:vertAlign w:val="superscript"/>
        </w:rPr>
        <w:t>2</w:t>
      </w:r>
      <w:r w:rsidRPr="00CE793B">
        <w:rPr>
          <w:szCs w:val="28"/>
        </w:rPr>
        <w:t>. Z powyższego wynika, że działka zabudowana jest w 28,5 %. W ramach planowanej inwestycji sposób użytkowania obydwóch budynków miałby zostać zmieniony na przedszkole. Budynek mieszkalny zlokalizowany jest w o</w:t>
      </w:r>
      <w:r>
        <w:rPr>
          <w:szCs w:val="28"/>
        </w:rPr>
        <w:t>dległości ca 2,0 m od granicy z </w:t>
      </w:r>
      <w:r w:rsidRPr="00CE793B">
        <w:rPr>
          <w:szCs w:val="28"/>
        </w:rPr>
        <w:t xml:space="preserve">działką sąsiednią, a budynek gospodarczy bezpośrednio przy granicy z trzema sąsiednimi działkami budowlanymi. </w:t>
      </w:r>
    </w:p>
    <w:p w14:paraId="77F10732" w14:textId="77777777" w:rsidR="00CE793B" w:rsidRPr="00CE793B" w:rsidRDefault="00CE793B" w:rsidP="00CE793B">
      <w:pPr>
        <w:widowControl w:val="0"/>
        <w:autoSpaceDE w:val="0"/>
        <w:autoSpaceDN w:val="0"/>
        <w:adjustRightInd w:val="0"/>
        <w:ind w:right="-1" w:firstLine="567"/>
        <w:jc w:val="both"/>
        <w:rPr>
          <w:szCs w:val="28"/>
        </w:rPr>
      </w:pPr>
      <w:r w:rsidRPr="00CE793B">
        <w:rPr>
          <w:szCs w:val="28"/>
        </w:rPr>
        <w:t>Biorąc pod uwagę wysoką intensywność zabudowy występującą na niewielkich działkach budowlanych, a także wyłącznie mieszkalny charakter zabudowy obszaru analizowanego, zlokalizowanie usług w formie przedszkola na wnioskowanej działce zakłóci istniejący ład przestrzenny tego obszaru. Pomimo, iż inwestycja polegająca na lokalizacji przedszkola wśród zabudowy mieszkaniowej może stanowić funkcję komplementarną, w analizowanej sprawie taka sytuacja nie będzie mieć miejsca. Wprowadzenie funkcji usługowej (przedszkola) w obszarze intensywnej, jednolitej, zabudowy mieszkaniowej stanowić będzie kolizję w postaci pogorszenia warunków zamieszkiwania poprzez:</w:t>
      </w:r>
    </w:p>
    <w:p w14:paraId="74ADF4AF" w14:textId="4A456B9F" w:rsidR="00CE793B" w:rsidRPr="00CE793B" w:rsidRDefault="00CE793B" w:rsidP="00CE793B">
      <w:pPr>
        <w:widowControl w:val="0"/>
        <w:numPr>
          <w:ilvl w:val="0"/>
          <w:numId w:val="4"/>
        </w:numPr>
        <w:tabs>
          <w:tab w:val="left" w:pos="851"/>
        </w:tabs>
        <w:autoSpaceDE w:val="0"/>
        <w:autoSpaceDN w:val="0"/>
        <w:adjustRightInd w:val="0"/>
        <w:ind w:left="0" w:right="-1" w:firstLine="567"/>
        <w:contextualSpacing/>
        <w:jc w:val="both"/>
        <w:rPr>
          <w:szCs w:val="28"/>
        </w:rPr>
      </w:pPr>
      <w:r w:rsidRPr="00CE793B">
        <w:rPr>
          <w:szCs w:val="28"/>
        </w:rPr>
        <w:t>wzmożony ruch samochodowy w new</w:t>
      </w:r>
      <w:r>
        <w:rPr>
          <w:szCs w:val="28"/>
        </w:rPr>
        <w:t>ralgicznych godzinach – dowóz i </w:t>
      </w:r>
      <w:r w:rsidRPr="00CE793B">
        <w:rPr>
          <w:szCs w:val="28"/>
        </w:rPr>
        <w:t>odbiór dzieci powiązany z wyjazdami i przyjazdami aktywnych zawodowo mieszkańców osiedla (stosunkowo wąska i nieprzelotowa droga);</w:t>
      </w:r>
    </w:p>
    <w:p w14:paraId="5090D097" w14:textId="77777777" w:rsidR="00CE793B" w:rsidRPr="00CE793B" w:rsidRDefault="00CE793B" w:rsidP="00CE793B">
      <w:pPr>
        <w:widowControl w:val="0"/>
        <w:numPr>
          <w:ilvl w:val="0"/>
          <w:numId w:val="4"/>
        </w:numPr>
        <w:tabs>
          <w:tab w:val="left" w:pos="851"/>
        </w:tabs>
        <w:autoSpaceDE w:val="0"/>
        <w:autoSpaceDN w:val="0"/>
        <w:adjustRightInd w:val="0"/>
        <w:ind w:left="0" w:right="-1" w:firstLine="567"/>
        <w:contextualSpacing/>
        <w:jc w:val="both"/>
        <w:rPr>
          <w:szCs w:val="28"/>
        </w:rPr>
      </w:pPr>
      <w:r w:rsidRPr="00CE793B">
        <w:rPr>
          <w:szCs w:val="28"/>
        </w:rPr>
        <w:t xml:space="preserve">ograniczenie swobody poruszania się po ogólnodostępnej drodze przez blokowanie jej przez pozostawiane na jezdni samochody osób przywożących dzieci (brak miejsc postojowych na ul. Środkowej, brak możliwości </w:t>
      </w:r>
      <w:r w:rsidRPr="00CE793B">
        <w:rPr>
          <w:szCs w:val="28"/>
        </w:rPr>
        <w:lastRenderedPageBreak/>
        <w:t xml:space="preserve">wyznaczenia wystarczającej liczby miejsc postojowych na działce inwestycyjnej ze względu na jej niewielką wielkość i sposób zagospodarowania). </w:t>
      </w:r>
    </w:p>
    <w:p w14:paraId="5E9F03CD" w14:textId="77777777" w:rsidR="00CE793B" w:rsidRPr="00CE793B" w:rsidRDefault="00CE793B" w:rsidP="00CE793B">
      <w:pPr>
        <w:widowControl w:val="0"/>
        <w:autoSpaceDE w:val="0"/>
        <w:autoSpaceDN w:val="0"/>
        <w:adjustRightInd w:val="0"/>
        <w:ind w:right="-1" w:firstLine="567"/>
        <w:jc w:val="both"/>
        <w:rPr>
          <w:szCs w:val="28"/>
        </w:rPr>
      </w:pPr>
      <w:r w:rsidRPr="00CE793B">
        <w:rPr>
          <w:szCs w:val="28"/>
        </w:rPr>
        <w:t xml:space="preserve">Powyższe uciążliwości są obserwowane w praktyce. Nadto, należy wskazać, że proponowana przez Inwestora funkcja jest obca funkcji, jaką pełni analizowany obszar.  </w:t>
      </w:r>
    </w:p>
    <w:p w14:paraId="1561AC3D" w14:textId="77777777" w:rsidR="00CE793B" w:rsidRPr="00CE793B" w:rsidRDefault="00CE793B" w:rsidP="00CE793B">
      <w:pPr>
        <w:widowControl w:val="0"/>
        <w:autoSpaceDE w:val="0"/>
        <w:autoSpaceDN w:val="0"/>
        <w:adjustRightInd w:val="0"/>
        <w:ind w:right="-1" w:firstLine="567"/>
        <w:jc w:val="both"/>
        <w:rPr>
          <w:szCs w:val="28"/>
        </w:rPr>
      </w:pPr>
      <w:r w:rsidRPr="00CE793B">
        <w:rPr>
          <w:szCs w:val="28"/>
        </w:rPr>
        <w:t xml:space="preserve">W wyroku z dnia 17.11.2016 r., sygn. akt II OSK 304/15 Naczelny Sąd Administracyjny wskazał, że „przy ocenie warunku kontynuacji istniejącej funkcji zabudowy, w tym funkcji "usługowej" konieczne jest dokonywanie tej oceny również w aspekcie uciążliwości poszczególnych rodzajów działalności, w tym usług oraz ich wpływu na działki sąsiednie” oraz „mając na uwadze wymagania ładu przestrzennego, iż w przypadku stworzenia mocno uciążliwej funkcji generującej zwiększony poziom hałasu i ruchu w zabudowie mieszkaniowej w sposób istotny zmieni to standardy przestrzenne oraz korzystanie z sąsiednich nieruchomości.”. </w:t>
      </w:r>
    </w:p>
    <w:p w14:paraId="34AF8867" w14:textId="77777777" w:rsidR="00CE793B" w:rsidRPr="00CE793B" w:rsidRDefault="00CE793B" w:rsidP="00CE793B">
      <w:pPr>
        <w:widowControl w:val="0"/>
        <w:autoSpaceDE w:val="0"/>
        <w:autoSpaceDN w:val="0"/>
        <w:adjustRightInd w:val="0"/>
        <w:ind w:right="-1"/>
        <w:jc w:val="both"/>
        <w:rPr>
          <w:szCs w:val="28"/>
        </w:rPr>
      </w:pPr>
      <w:r w:rsidRPr="00CE793B">
        <w:rPr>
          <w:szCs w:val="28"/>
        </w:rPr>
        <w:t>NSA w przywołanym wyroku wskazuje, iż pomimo stwierdzenia, że pod względem szeroko rozumianej funkcji zabudowy planowana inwestycja może kontynuować funkcję zabudowy, to biorąc inne cechy zabudowy badanego obszaru wymienione w art. 61 ust. 1 ustawy, proponowana inwestycja może nie nawiązywać do funkcji działek sąsiednich znajdujących się w obszarze analizowanym.</w:t>
      </w:r>
    </w:p>
    <w:p w14:paraId="4D10A56B" w14:textId="4C4BCCBB" w:rsidR="00CE793B" w:rsidRPr="00CE793B" w:rsidRDefault="00CE793B" w:rsidP="00CE793B">
      <w:pPr>
        <w:widowControl w:val="0"/>
        <w:autoSpaceDE w:val="0"/>
        <w:autoSpaceDN w:val="0"/>
        <w:adjustRightInd w:val="0"/>
        <w:ind w:right="-1" w:firstLine="567"/>
        <w:jc w:val="both"/>
        <w:rPr>
          <w:szCs w:val="28"/>
        </w:rPr>
      </w:pPr>
      <w:r w:rsidRPr="00CE793B">
        <w:rPr>
          <w:szCs w:val="28"/>
        </w:rPr>
        <w:t>Przy badaniu istnienia kontynuacji funkcji należy oceniać również oddziaływania, a zwłaszcza uciążliwości dla otoczenia, jakie stwarza działalność (funkcja) zamierzona przez inwestora w porównaniu z działalnością (funkcją) zastaną. Trafność takiego stanowiska znajduje potwierdzenie w licznych orzeczeniach sądów administracyjnych, w których akcentuje się konieczność oceny warunku kontynuacji istniejącej funkcji zabudowy, w tym funkcji "usługowej", również w aspekcie uciążliwości poszczególnych rodzajów działalności, w tym usług, oraz ich wpływu na działki sąsiednie</w:t>
      </w:r>
      <w:r>
        <w:rPr>
          <w:szCs w:val="28"/>
        </w:rPr>
        <w:t xml:space="preserve"> (wyrok WSA w </w:t>
      </w:r>
      <w:r w:rsidRPr="00CE793B">
        <w:rPr>
          <w:szCs w:val="28"/>
        </w:rPr>
        <w:t>Olsztynie z dnia 06.11.2019 r., sygn. akt II SA/Ol 551/19).</w:t>
      </w:r>
    </w:p>
    <w:p w14:paraId="12A6D716" w14:textId="77777777" w:rsidR="00CE793B" w:rsidRPr="00CE793B" w:rsidRDefault="00CE793B" w:rsidP="00CE793B">
      <w:pPr>
        <w:widowControl w:val="0"/>
        <w:autoSpaceDE w:val="0"/>
        <w:autoSpaceDN w:val="0"/>
        <w:adjustRightInd w:val="0"/>
        <w:ind w:right="-1" w:firstLine="567"/>
        <w:jc w:val="both"/>
        <w:rPr>
          <w:szCs w:val="28"/>
        </w:rPr>
      </w:pPr>
      <w:r w:rsidRPr="00CE793B">
        <w:rPr>
          <w:szCs w:val="28"/>
        </w:rPr>
        <w:t>Wnioskodawca w pkt 2.4.3 wniosku określił przewidywaną dla planowanej inwestycji liczbę miejsc postojowych w liczbie 6 z propozycją ich lokalizacji na działce i na drodze gminnej – ul. Środkowej. W piśmie wyjaśniającym z dnia 23.07.2021 r. (data wpływu: 27.07.2021 r.) Wnioskodawca wskazał następujące rozmieszczenie miejsc postojowych: dwa miejsca postojowe zlokalizowane na terenie planowanej inwestycji (działka o nr ewid. 2178) oraz pozostałe dwa miejsca ulokowane w drodze gminnej – na terenie zatoki postojowej. Jak wskazano w ww. piśmie wielkość działki o nr ewid. 2178 i odległości od budynków nie pozwalają na usytuowanie więcej niż dwóch miejsc postojowych na terenie inwestycji.</w:t>
      </w:r>
    </w:p>
    <w:p w14:paraId="259618F9" w14:textId="77777777" w:rsidR="00CE793B" w:rsidRPr="00CE793B" w:rsidRDefault="00CE793B" w:rsidP="00CE793B">
      <w:pPr>
        <w:widowControl w:val="0"/>
        <w:autoSpaceDE w:val="0"/>
        <w:autoSpaceDN w:val="0"/>
        <w:adjustRightInd w:val="0"/>
        <w:ind w:right="-1" w:firstLine="567"/>
        <w:jc w:val="both"/>
        <w:rPr>
          <w:szCs w:val="28"/>
        </w:rPr>
      </w:pPr>
      <w:r w:rsidRPr="00CE793B">
        <w:rPr>
          <w:szCs w:val="28"/>
        </w:rPr>
        <w:t xml:space="preserve">Zarządca drogi gminnej pismem z dnia 21.07.2021 r. odniósł się do m.in. możliwości lokalizacji miejsc postojowych w pasie drogowym i poinformował, że </w:t>
      </w:r>
      <w:r w:rsidRPr="00CE793B">
        <w:rPr>
          <w:b/>
          <w:bCs/>
          <w:szCs w:val="28"/>
        </w:rPr>
        <w:t>na obszarze całego pasa drogowego ul. Środkowej nie ma możliwości zlokalizowania przy jezdni miejsc postojowych</w:t>
      </w:r>
      <w:r w:rsidRPr="00CE793B">
        <w:rPr>
          <w:szCs w:val="28"/>
        </w:rPr>
        <w:t xml:space="preserve">, które mogłyby być </w:t>
      </w:r>
      <w:r w:rsidRPr="00CE793B">
        <w:rPr>
          <w:szCs w:val="28"/>
        </w:rPr>
        <w:lastRenderedPageBreak/>
        <w:t>przeznaczone do obsługi planowanego przedsięwzięcia. Ponadto zarządca drogi nie ma prawa budować parkingu, którego użytkowanie będzie faworyzowało wybraną grupę docelową (np. klienci określonej działalności) w zakresie potrzeb, ilości, czy też częstotliwości wykorzystywania miejsc postojowych.</w:t>
      </w:r>
    </w:p>
    <w:p w14:paraId="68C989B7" w14:textId="5E8970F5" w:rsidR="00CE793B" w:rsidRPr="00CE793B" w:rsidRDefault="00CE793B" w:rsidP="00CE793B">
      <w:pPr>
        <w:widowControl w:val="0"/>
        <w:autoSpaceDE w:val="0"/>
        <w:autoSpaceDN w:val="0"/>
        <w:adjustRightInd w:val="0"/>
        <w:ind w:right="-1" w:firstLine="567"/>
        <w:jc w:val="both"/>
        <w:rPr>
          <w:szCs w:val="28"/>
        </w:rPr>
      </w:pPr>
      <w:r w:rsidRPr="00CE793B">
        <w:rPr>
          <w:szCs w:val="28"/>
        </w:rPr>
        <w:t xml:space="preserve">Odnosząc się do możliwości zlokalizowania miejsc postojowych na terenie zatoki postojowej zarządca drogi zaznaczył już, że </w:t>
      </w:r>
      <w:r w:rsidRPr="00CE793B">
        <w:rPr>
          <w:b/>
          <w:bCs/>
          <w:szCs w:val="28"/>
        </w:rPr>
        <w:t>na terenie całego placu do zawracania obowiązuje zakaz postoju</w:t>
      </w:r>
      <w:r w:rsidRPr="00CE793B">
        <w:rPr>
          <w:szCs w:val="28"/>
        </w:rPr>
        <w:t>. Przeznaczenie części pasa drogowego ul. Środkowej w części istniejącego placu do zawracania samochodów, pod teren zatoki postojowej, oznaczony symbole</w:t>
      </w:r>
      <w:r>
        <w:rPr>
          <w:szCs w:val="28"/>
        </w:rPr>
        <w:t>m KS, wynika z obowiązującej (w </w:t>
      </w:r>
      <w:r w:rsidRPr="00CE793B">
        <w:rPr>
          <w:szCs w:val="28"/>
        </w:rPr>
        <w:t>części) zmiany miejscowego planu ogólnego zagospodarowania przestrzennego miasta Śrem, obejmującej ulicę Środkową</w:t>
      </w:r>
      <w:r w:rsidRPr="00CE793B">
        <w:rPr>
          <w:szCs w:val="28"/>
          <w:vertAlign w:val="superscript"/>
        </w:rPr>
        <w:footnoteReference w:id="1"/>
      </w:r>
      <w:r w:rsidRPr="00CE793B">
        <w:rPr>
          <w:szCs w:val="28"/>
        </w:rPr>
        <w:t>. Przywołana zmiana miejscowego planu zakładała,</w:t>
      </w:r>
      <w:r>
        <w:rPr>
          <w:szCs w:val="28"/>
        </w:rPr>
        <w:t xml:space="preserve"> </w:t>
      </w:r>
      <w:r w:rsidRPr="00CE793B">
        <w:rPr>
          <w:szCs w:val="28"/>
        </w:rPr>
        <w:t>że ul. Środkowa</w:t>
      </w:r>
      <w:r>
        <w:rPr>
          <w:szCs w:val="28"/>
        </w:rPr>
        <w:t xml:space="preserve"> stanie się ulicą przelotową, z </w:t>
      </w:r>
      <w:r w:rsidRPr="00CE793B">
        <w:rPr>
          <w:szCs w:val="28"/>
        </w:rPr>
        <w:t>włączeniem w ul. Krótką. Tak się jednak nie stało, a ponadto uchwalony na mocy uchwały Nr 167/XVII/11 Rady Miejskiej w Śremie z dnia 29 grudnia 2011 r. miejscowy plan zagospodarowania prz</w:t>
      </w:r>
      <w:r>
        <w:rPr>
          <w:szCs w:val="28"/>
        </w:rPr>
        <w:t>estrzennego dla ul. Środkowej i </w:t>
      </w:r>
      <w:r w:rsidRPr="00CE793B">
        <w:rPr>
          <w:szCs w:val="28"/>
        </w:rPr>
        <w:t xml:space="preserve">ul. Krótkiej w Śremie (Dz. Urz. Woj. Wielk. z 2012 r. poz. 537) rozwiązanie to całkowicie przekreślił. Reasumując, ul. Środkowa jest drogą nieprzelotową, a wcześniejsze przeznaczenie części tejże drogi pod zatokę postojową wykluczone przez istniejące rozwiązanie techniczno – funkcjonalne, a mianowicie wprowadzenie na tej części drogi placu do zawracania samochodów z zakazem postoju. </w:t>
      </w:r>
    </w:p>
    <w:p w14:paraId="16B5282B" w14:textId="77777777" w:rsidR="00CE793B" w:rsidRPr="00CE793B" w:rsidRDefault="00CE793B" w:rsidP="00CE793B">
      <w:pPr>
        <w:widowControl w:val="0"/>
        <w:autoSpaceDE w:val="0"/>
        <w:autoSpaceDN w:val="0"/>
        <w:adjustRightInd w:val="0"/>
        <w:ind w:right="-1" w:firstLine="567"/>
        <w:jc w:val="both"/>
        <w:rPr>
          <w:szCs w:val="28"/>
        </w:rPr>
      </w:pPr>
      <w:r w:rsidRPr="00CE793B">
        <w:rPr>
          <w:szCs w:val="28"/>
        </w:rPr>
        <w:t xml:space="preserve">Stosownie do § 2 pkt 6 rozporządzenia Ministra Infrastruktury z dnia 26 sierpnia 2003 r. w sprawie oznaczeń i nazewnictwa stosowanych w decyzji o ustaleniu lokalizacji inwestycji celu publicznego oraz w decyzji o warunkach zabudowy (Dz. U. Nr 64, poz. 1589) ustalony został sposób zapisywania ustaleń decyzji o warunkach zabudowy dotyczących obsługi w zakresie komunikacji i infrastruktury technicznej m.in. w zakresie  wymaganej ilości miejsc parkingowych. </w:t>
      </w:r>
      <w:r w:rsidRPr="00CE793B">
        <w:rPr>
          <w:b/>
          <w:bCs/>
          <w:szCs w:val="28"/>
        </w:rPr>
        <w:t>Wymagana liczba miejsc postojowych zależy m.in. od liczby samochodów użytkowników przebywających w budynku stale lub okresowo</w:t>
      </w:r>
      <w:r w:rsidRPr="00CE793B">
        <w:rPr>
          <w:szCs w:val="28"/>
        </w:rPr>
        <w:t xml:space="preserve">. Ze względu na charakter planowanej inwestycji należy zapewnić miejsca postojowe tak dla pracowników, jak i klientów (rodziców czy opiekunów dzieci). </w:t>
      </w:r>
    </w:p>
    <w:p w14:paraId="3ED2C8AC" w14:textId="168F15F4" w:rsidR="00CE793B" w:rsidRPr="00CE793B" w:rsidRDefault="00CE793B" w:rsidP="00CE793B">
      <w:pPr>
        <w:widowControl w:val="0"/>
        <w:autoSpaceDE w:val="0"/>
        <w:autoSpaceDN w:val="0"/>
        <w:adjustRightInd w:val="0"/>
        <w:ind w:right="-1" w:firstLine="567"/>
        <w:jc w:val="both"/>
        <w:rPr>
          <w:szCs w:val="28"/>
        </w:rPr>
      </w:pPr>
      <w:r w:rsidRPr="00CE793B">
        <w:rPr>
          <w:szCs w:val="28"/>
        </w:rPr>
        <w:t xml:space="preserve">W judykaturze podkreśla się, że </w:t>
      </w:r>
      <w:r w:rsidRPr="00CE793B">
        <w:rPr>
          <w:szCs w:val="28"/>
          <w:shd w:val="clear" w:color="auto" w:fill="FFFFFF"/>
        </w:rPr>
        <w:t>organ adm</w:t>
      </w:r>
      <w:r>
        <w:rPr>
          <w:szCs w:val="28"/>
          <w:shd w:val="clear" w:color="auto" w:fill="FFFFFF"/>
        </w:rPr>
        <w:t>inistracji powinien w decyzji o </w:t>
      </w:r>
      <w:r w:rsidRPr="00CE793B">
        <w:rPr>
          <w:szCs w:val="28"/>
          <w:shd w:val="clear" w:color="auto" w:fill="FFFFFF"/>
        </w:rPr>
        <w:t>warunkach zabudowy określić precyzyjnie warunki decyzji poprzez wskazanie stosownych wskaźników, posługując się określonym współczynnikiem np. liczby miejsc odnoszonych do powierzchni zabudowy usługowej lub mieszkalnej.</w:t>
      </w:r>
      <w:r w:rsidRPr="00CE793B">
        <w:rPr>
          <w:szCs w:val="28"/>
        </w:rPr>
        <w:t xml:space="preserve"> Nadto celem tego </w:t>
      </w:r>
      <w:r w:rsidRPr="00CE793B">
        <w:rPr>
          <w:szCs w:val="28"/>
          <w:shd w:val="clear" w:color="auto" w:fill="FFFFFF"/>
        </w:rPr>
        <w:t>unormowania jest doprowadzenie do tego, aby planowana inwestycja w zakresie parkowania nie obciążała wyłącznie dróg publicznych lub wewnętrznych (miejsc postojowych na tych drogach), jak również miejsc postojowych zaprojektowanych dla sąsiednich nieruchomości.</w:t>
      </w:r>
    </w:p>
    <w:p w14:paraId="37693A2A" w14:textId="77777777" w:rsidR="00CE793B" w:rsidRPr="00CE793B" w:rsidRDefault="00CE793B" w:rsidP="00CE793B">
      <w:pPr>
        <w:widowControl w:val="0"/>
        <w:autoSpaceDE w:val="0"/>
        <w:autoSpaceDN w:val="0"/>
        <w:adjustRightInd w:val="0"/>
        <w:ind w:right="-1" w:firstLine="567"/>
        <w:jc w:val="both"/>
        <w:rPr>
          <w:szCs w:val="28"/>
        </w:rPr>
      </w:pPr>
    </w:p>
    <w:p w14:paraId="5AE92244" w14:textId="77777777" w:rsidR="00CE793B" w:rsidRPr="00CE793B" w:rsidRDefault="00CE793B" w:rsidP="00CE793B">
      <w:pPr>
        <w:widowControl w:val="0"/>
        <w:autoSpaceDE w:val="0"/>
        <w:autoSpaceDN w:val="0"/>
        <w:adjustRightInd w:val="0"/>
        <w:ind w:right="-1" w:firstLine="567"/>
        <w:jc w:val="both"/>
        <w:rPr>
          <w:szCs w:val="28"/>
        </w:rPr>
      </w:pPr>
    </w:p>
    <w:p w14:paraId="3CD46FB5" w14:textId="77777777" w:rsidR="00CE793B" w:rsidRPr="00CE793B" w:rsidRDefault="00CE793B" w:rsidP="00CE793B">
      <w:pPr>
        <w:widowControl w:val="0"/>
        <w:autoSpaceDE w:val="0"/>
        <w:autoSpaceDN w:val="0"/>
        <w:adjustRightInd w:val="0"/>
        <w:ind w:right="-1" w:firstLine="567"/>
        <w:jc w:val="both"/>
        <w:rPr>
          <w:szCs w:val="28"/>
        </w:rPr>
      </w:pPr>
      <w:r w:rsidRPr="00CE793B">
        <w:rPr>
          <w:szCs w:val="28"/>
        </w:rPr>
        <w:t>Zgodnie z informacją zawartą we wniosku powierzchnia użytkowa przedszkola wynieść ma ca 250 m</w:t>
      </w:r>
      <w:r w:rsidRPr="00CE793B">
        <w:rPr>
          <w:szCs w:val="28"/>
          <w:vertAlign w:val="superscript"/>
        </w:rPr>
        <w:t>2</w:t>
      </w:r>
      <w:r w:rsidRPr="00CE793B">
        <w:rPr>
          <w:szCs w:val="28"/>
        </w:rPr>
        <w:t>, a liczba pracowników pracujących w ramach jednej zmiany wynosić ma 3 osoby. Aby zapewnić inwestycji wystarczającą obsługę w zakresie miejsc postojowych oraz zminimalizować uciążliwość planowanej inwestycji dla istniejącej zabudowy w obszarze analizowanym, miejsca te w liczbie minimum 1 na każde rozpoczęte 50 m</w:t>
      </w:r>
      <w:r w:rsidRPr="00CE793B">
        <w:rPr>
          <w:szCs w:val="28"/>
          <w:vertAlign w:val="superscript"/>
        </w:rPr>
        <w:t>2</w:t>
      </w:r>
      <w:r w:rsidRPr="00CE793B">
        <w:rPr>
          <w:szCs w:val="28"/>
        </w:rPr>
        <w:t xml:space="preserve"> powierzchni usługowej oraz minimum 1 dla pracowników winny być zlokalizowane na terenie inwestycji, co przy tak małej powierzchni działki możliwej do zagospodarowania na ten cel jest niemożliwe. Potwierdza to pismo złożone przez Pełnomocnika Inwestora. Nie ma zatem możliwości przy zastanym ładzie przestrzennym zapewnienia należytej obsługi komunikacyjnej planowanej inwestycji.</w:t>
      </w:r>
    </w:p>
    <w:p w14:paraId="3CCE46E6" w14:textId="77777777" w:rsidR="00CE793B" w:rsidRPr="00CE793B" w:rsidRDefault="00CE793B" w:rsidP="00CE793B">
      <w:pPr>
        <w:widowControl w:val="0"/>
        <w:autoSpaceDE w:val="0"/>
        <w:autoSpaceDN w:val="0"/>
        <w:adjustRightInd w:val="0"/>
        <w:ind w:right="-1" w:firstLine="567"/>
        <w:jc w:val="both"/>
        <w:rPr>
          <w:szCs w:val="28"/>
        </w:rPr>
      </w:pPr>
      <w:r w:rsidRPr="00CE793B">
        <w:rPr>
          <w:szCs w:val="28"/>
        </w:rPr>
        <w:t>Warto w tym miejscu dodać, że zarządca drogi zwrócił uwagę na fakt, iż planowane przedsięwzięcie budzi zastrzeżenia w zakresie zapewnienia bezpieczeństwa uczestnikom ruchu drogowego. Brak chodników po obu stronach ul. Środkowej wymusza na pieszych konieczność przemieszczania się po jezdni. Zwiększenie ruchu samochodowego na drodze, która aktualnie służy jedynie lokalnej społeczności (mieszkańcom), spowodowanego dowozem oraz odbiorem dzieci przedszkolnych, przyczyni się do realnego zwiększenia zagrożenia życia i zdrowia uczestników ruchu drogowego, a szczególnie pieszych.</w:t>
      </w:r>
    </w:p>
    <w:p w14:paraId="5082BEB8" w14:textId="0C93B6C6" w:rsidR="00CE793B" w:rsidRPr="00CE793B" w:rsidRDefault="00CE793B" w:rsidP="00CE793B">
      <w:pPr>
        <w:widowControl w:val="0"/>
        <w:autoSpaceDE w:val="0"/>
        <w:autoSpaceDN w:val="0"/>
        <w:adjustRightInd w:val="0"/>
        <w:ind w:right="-1" w:firstLine="567"/>
        <w:jc w:val="both"/>
        <w:rPr>
          <w:szCs w:val="28"/>
        </w:rPr>
      </w:pPr>
      <w:r w:rsidRPr="00CE793B">
        <w:rPr>
          <w:szCs w:val="28"/>
        </w:rPr>
        <w:t xml:space="preserve">Reasumując, </w:t>
      </w:r>
      <w:r w:rsidRPr="00CE793B">
        <w:rPr>
          <w:b/>
          <w:szCs w:val="28"/>
        </w:rPr>
        <w:t>nie doszło do łącznego spełnienia warunków</w:t>
      </w:r>
      <w:r w:rsidRPr="00CE793B">
        <w:rPr>
          <w:szCs w:val="28"/>
        </w:rPr>
        <w:t>, o których mowa w art. 61 ust. 1 ustawy z dnia 27 marca 2003 r. o planowaniu i zagospodarowaniu przestrzennym. Tylko bowiem łączne spełnienie ww. warunków gwarantuje uzyskanie decyzji po</w:t>
      </w:r>
      <w:r>
        <w:rPr>
          <w:szCs w:val="28"/>
        </w:rPr>
        <w:t>zytywnej (wyrok WSA w Gdańsku z </w:t>
      </w:r>
      <w:r w:rsidRPr="00CE793B">
        <w:rPr>
          <w:szCs w:val="28"/>
        </w:rPr>
        <w:t>dnia 07.09.2016 r. sygn. akt II SA/Gd 324/16).</w:t>
      </w:r>
    </w:p>
    <w:p w14:paraId="42DB7887" w14:textId="77777777" w:rsidR="00CE793B" w:rsidRPr="00CE793B" w:rsidRDefault="00CE793B" w:rsidP="00CE793B">
      <w:pPr>
        <w:widowControl w:val="0"/>
        <w:autoSpaceDE w:val="0"/>
        <w:autoSpaceDN w:val="0"/>
        <w:adjustRightInd w:val="0"/>
        <w:ind w:right="-1" w:firstLine="567"/>
        <w:jc w:val="both"/>
        <w:rPr>
          <w:szCs w:val="28"/>
        </w:rPr>
      </w:pPr>
      <w:r w:rsidRPr="00CE793B">
        <w:rPr>
          <w:szCs w:val="28"/>
        </w:rPr>
        <w:t>Projekt decyzji nie został uzgodniony z organami, o których mowa w art. 53 ust. 4, w związku z art. 64 ust. 1 ustawy z dnia 27 marca 2003 r. o planowaniu i zagospodarowaniu przestrzennym, ponieważ uzgadnianiu podlegać powinien zasadniczo projekt decyzji pozytywnej (wyrok NSA z dnia 23.03.2012 r. sygn. II OSK 33/11).</w:t>
      </w:r>
    </w:p>
    <w:p w14:paraId="78ABAB28" w14:textId="77777777" w:rsidR="00CE793B" w:rsidRPr="00CE793B" w:rsidRDefault="00CE793B" w:rsidP="00CE793B">
      <w:pPr>
        <w:widowControl w:val="0"/>
        <w:autoSpaceDE w:val="0"/>
        <w:autoSpaceDN w:val="0"/>
        <w:adjustRightInd w:val="0"/>
        <w:ind w:right="-1" w:firstLine="567"/>
        <w:jc w:val="both"/>
        <w:rPr>
          <w:szCs w:val="28"/>
        </w:rPr>
      </w:pPr>
      <w:r w:rsidRPr="00CE793B">
        <w:rPr>
          <w:szCs w:val="28"/>
        </w:rPr>
        <w:t>Decyzja nie wymagała uzyskania innych uzgodnień lub decyzji, o których mowa w art. 60 ust. 1 ustawy z dnia 27 marca 2003 r. o planowaniu i zagospodarowaniu przestrzennym, wymaganych przepisami odrębnymi.</w:t>
      </w:r>
    </w:p>
    <w:p w14:paraId="6CD20EBF" w14:textId="22922419" w:rsidR="00CE793B" w:rsidRPr="00CE793B" w:rsidRDefault="00CE793B" w:rsidP="00CE793B">
      <w:pPr>
        <w:widowControl w:val="0"/>
        <w:autoSpaceDE w:val="0"/>
        <w:autoSpaceDN w:val="0"/>
        <w:adjustRightInd w:val="0"/>
        <w:ind w:right="-1" w:firstLine="567"/>
        <w:jc w:val="both"/>
        <w:rPr>
          <w:szCs w:val="28"/>
        </w:rPr>
      </w:pPr>
      <w:r w:rsidRPr="00CE793B">
        <w:rPr>
          <w:szCs w:val="28"/>
        </w:rPr>
        <w:t xml:space="preserve">Zgodnie z utrwaloną linią orzecznictwa sądowo-administracyjnego (vide: wyrok NSA z dnia 12.03.2019 r. sygn. </w:t>
      </w:r>
      <w:r>
        <w:rPr>
          <w:szCs w:val="28"/>
        </w:rPr>
        <w:t>akt II OSK 1024/17; wyrok WSA w </w:t>
      </w:r>
      <w:r w:rsidRPr="00CE793B">
        <w:rPr>
          <w:szCs w:val="28"/>
        </w:rPr>
        <w:t xml:space="preserve">Poznaniu z dnia 19.09.2019 r. sygn. </w:t>
      </w:r>
      <w:r>
        <w:rPr>
          <w:szCs w:val="28"/>
        </w:rPr>
        <w:t>akt IV SA/Po 417/19) stronami w </w:t>
      </w:r>
      <w:r w:rsidRPr="00CE793B">
        <w:rPr>
          <w:szCs w:val="28"/>
        </w:rPr>
        <w:t xml:space="preserve">postępowaniu o ustalenie warunków zabudowy i zagospodarowania terenu mogą być właściciele lub użytkownicy wieczyści działek sąsiednich. Stronami tego postępowania mogą być także, w zależności od okoliczności, właściciele działek niesąsiadujących bezpośrednio z terenem planowanej inwestycji. </w:t>
      </w:r>
    </w:p>
    <w:p w14:paraId="518CA0E8" w14:textId="77777777" w:rsidR="00CE793B" w:rsidRPr="00CE793B" w:rsidRDefault="00CE793B" w:rsidP="00CE793B">
      <w:pPr>
        <w:widowControl w:val="0"/>
        <w:autoSpaceDE w:val="0"/>
        <w:autoSpaceDN w:val="0"/>
        <w:adjustRightInd w:val="0"/>
        <w:ind w:right="-1"/>
        <w:jc w:val="both"/>
        <w:rPr>
          <w:szCs w:val="28"/>
        </w:rPr>
      </w:pPr>
      <w:r w:rsidRPr="00CE793B">
        <w:rPr>
          <w:szCs w:val="28"/>
        </w:rPr>
        <w:t xml:space="preserve">O interesie prawnym właściciela działki leżącej w sąsiedztwie działki, której </w:t>
      </w:r>
      <w:r w:rsidRPr="00CE793B">
        <w:rPr>
          <w:szCs w:val="28"/>
        </w:rPr>
        <w:lastRenderedPageBreak/>
        <w:t>dotyczy postępowanie o wydanie warunków zabudowy, decyduje nie charakter tego sąsiedztwa (bezpośredni, pośredni), ale zasięg oddziaływania danej inwestycji na nieruchomości sąsiednie oraz stopień jej uciążliwości dla tych nieruchomości. Organ prowadzący postępowanie w sprawie warunków zabudowy ma obowiązek zbadać rodzaj inwestycji, jej rozmiary oraz stopień i zakres jej uciążliwości dla otoczenia, a następnie ustalić, jak daleko sięgać będzie oddziaływanie planowanej inwestycji. Zakres tego oddziaływania pozwala na ustalenie kręgu osób, które mają interes prawny w sprawie.</w:t>
      </w:r>
    </w:p>
    <w:p w14:paraId="1B05D74C" w14:textId="77777777" w:rsidR="00CE793B" w:rsidRPr="00CE793B" w:rsidRDefault="00CE793B" w:rsidP="00CE793B">
      <w:pPr>
        <w:widowControl w:val="0"/>
        <w:autoSpaceDE w:val="0"/>
        <w:autoSpaceDN w:val="0"/>
        <w:adjustRightInd w:val="0"/>
        <w:ind w:right="-1" w:firstLine="567"/>
        <w:jc w:val="both"/>
        <w:rPr>
          <w:szCs w:val="28"/>
        </w:rPr>
      </w:pPr>
      <w:r w:rsidRPr="00CE793B">
        <w:rPr>
          <w:szCs w:val="28"/>
        </w:rPr>
        <w:t>Zakresem oddziaływania planowanej inwestycji objęty jest teren: działka objęta wnioskiem, działki bezpośrednio graniczące z terenem inwestycji oraz ze względu na położenie i charakter planowanej inwestycji, a także przewidywane uciążliwości komunikacyjne (zwiększenie natężenia ruchu na drodze nieprzelotowej), właściciele działek zabudowanych, położonych przy tej samej drodze, co teren inwestycji.</w:t>
      </w:r>
    </w:p>
    <w:p w14:paraId="4A21517B" w14:textId="77777777" w:rsidR="00CE793B" w:rsidRPr="00CE793B" w:rsidRDefault="00CE793B" w:rsidP="00CE793B">
      <w:pPr>
        <w:widowControl w:val="0"/>
        <w:autoSpaceDE w:val="0"/>
        <w:autoSpaceDN w:val="0"/>
        <w:adjustRightInd w:val="0"/>
        <w:ind w:right="-1" w:firstLine="567"/>
        <w:jc w:val="both"/>
        <w:rPr>
          <w:szCs w:val="28"/>
        </w:rPr>
      </w:pPr>
      <w:r w:rsidRPr="00CE793B">
        <w:rPr>
          <w:szCs w:val="28"/>
        </w:rPr>
        <w:t>Biorąc powyższe pod uwagę za stronę postępowania został uznany wnioskodawca, będący zarazem współwłaścicielem działki objętej wnioskiem, drugi współwłaściciel działki objętej wnioskiem, właściciele nieruchomości bezpośrednio graniczących z terenem inwestycji oraz działek budowlanych położonych przy ul. Środkowej.</w:t>
      </w:r>
    </w:p>
    <w:p w14:paraId="7B3FB179" w14:textId="77777777" w:rsidR="00CE793B" w:rsidRPr="00CE793B" w:rsidRDefault="00CE793B" w:rsidP="00CE793B">
      <w:pPr>
        <w:widowControl w:val="0"/>
        <w:autoSpaceDE w:val="0"/>
        <w:autoSpaceDN w:val="0"/>
        <w:adjustRightInd w:val="0"/>
        <w:ind w:right="-1" w:firstLine="567"/>
        <w:jc w:val="both"/>
        <w:rPr>
          <w:szCs w:val="28"/>
        </w:rPr>
      </w:pPr>
      <w:r w:rsidRPr="00CE793B">
        <w:rPr>
          <w:szCs w:val="28"/>
        </w:rPr>
        <w:t xml:space="preserve">Podsumowując, planowana inwestycja </w:t>
      </w:r>
      <w:r w:rsidRPr="00CE793B">
        <w:rPr>
          <w:b/>
          <w:szCs w:val="28"/>
        </w:rPr>
        <w:t>nie spełnia</w:t>
      </w:r>
      <w:r w:rsidRPr="00CE793B">
        <w:rPr>
          <w:szCs w:val="28"/>
        </w:rPr>
        <w:t xml:space="preserve"> warunków określonych w art. 61 ust. 1 ustawy z dnia 27 marca 2003 r. o planowaniu i zagospodarowaniu przestrzennym, a wydanie decyzji o warunkach zabudowy jest możliwe jedynie w przypadku łącznego spełnienia tych warunków.</w:t>
      </w:r>
    </w:p>
    <w:p w14:paraId="55886E56" w14:textId="77777777" w:rsidR="00CE793B" w:rsidRPr="00CE793B" w:rsidRDefault="00CE793B" w:rsidP="00CE793B">
      <w:pPr>
        <w:widowControl w:val="0"/>
        <w:autoSpaceDE w:val="0"/>
        <w:autoSpaceDN w:val="0"/>
        <w:adjustRightInd w:val="0"/>
        <w:ind w:right="-1"/>
        <w:jc w:val="center"/>
        <w:rPr>
          <w:szCs w:val="28"/>
        </w:rPr>
      </w:pPr>
      <w:r w:rsidRPr="00CE793B">
        <w:rPr>
          <w:szCs w:val="28"/>
        </w:rPr>
        <w:t>W związku z powyższym orzeczono jak w sentencji.</w:t>
      </w:r>
    </w:p>
    <w:p w14:paraId="6DFDAAFD" w14:textId="77777777" w:rsidR="00CE793B" w:rsidRPr="00CE793B" w:rsidRDefault="00CE793B" w:rsidP="00CE793B">
      <w:pPr>
        <w:widowControl w:val="0"/>
        <w:autoSpaceDE w:val="0"/>
        <w:autoSpaceDN w:val="0"/>
        <w:adjustRightInd w:val="0"/>
        <w:ind w:right="-1"/>
        <w:jc w:val="center"/>
        <w:rPr>
          <w:sz w:val="20"/>
          <w:szCs w:val="20"/>
        </w:rPr>
      </w:pPr>
    </w:p>
    <w:p w14:paraId="37958C45" w14:textId="77777777" w:rsidR="00CE793B" w:rsidRPr="00CE793B" w:rsidRDefault="00CE793B" w:rsidP="00CE793B">
      <w:pPr>
        <w:widowControl w:val="0"/>
        <w:autoSpaceDE w:val="0"/>
        <w:autoSpaceDN w:val="0"/>
        <w:adjustRightInd w:val="0"/>
        <w:ind w:right="-1"/>
        <w:jc w:val="center"/>
        <w:rPr>
          <w:b/>
          <w:szCs w:val="28"/>
        </w:rPr>
      </w:pPr>
      <w:r w:rsidRPr="00CE793B">
        <w:rPr>
          <w:b/>
          <w:szCs w:val="28"/>
        </w:rPr>
        <w:t>Pouczenie</w:t>
      </w:r>
    </w:p>
    <w:p w14:paraId="7F32FD51" w14:textId="77777777" w:rsidR="00CE793B" w:rsidRPr="00CE793B" w:rsidRDefault="00CE793B" w:rsidP="00CE793B">
      <w:pPr>
        <w:widowControl w:val="0"/>
        <w:autoSpaceDE w:val="0"/>
        <w:autoSpaceDN w:val="0"/>
        <w:adjustRightInd w:val="0"/>
        <w:ind w:right="-1" w:firstLine="567"/>
        <w:jc w:val="both"/>
        <w:rPr>
          <w:sz w:val="20"/>
          <w:szCs w:val="20"/>
        </w:rPr>
      </w:pPr>
    </w:p>
    <w:p w14:paraId="622D0CDA" w14:textId="77777777" w:rsidR="00CE793B" w:rsidRPr="00CE793B" w:rsidRDefault="00CE793B" w:rsidP="00CE793B">
      <w:pPr>
        <w:widowControl w:val="0"/>
        <w:autoSpaceDE w:val="0"/>
        <w:autoSpaceDN w:val="0"/>
        <w:adjustRightInd w:val="0"/>
        <w:ind w:right="-1" w:firstLine="567"/>
        <w:jc w:val="both"/>
        <w:rPr>
          <w:szCs w:val="28"/>
        </w:rPr>
      </w:pPr>
      <w:r w:rsidRPr="00CE793B">
        <w:rPr>
          <w:szCs w:val="28"/>
        </w:rPr>
        <w:t>Od niniejszej decyzji służy stronie prawo wniesienia odwołania do Samorządowego Kolegium Odwoławczego w Poznaniu, za moim pośrednictwem, w terminie 14 dni od dnia doręczenia.</w:t>
      </w:r>
    </w:p>
    <w:p w14:paraId="7552EDEB" w14:textId="77777777" w:rsidR="00CE793B" w:rsidRPr="00CE793B" w:rsidRDefault="00CE793B" w:rsidP="00CE793B">
      <w:pPr>
        <w:widowControl w:val="0"/>
        <w:autoSpaceDE w:val="0"/>
        <w:autoSpaceDN w:val="0"/>
        <w:adjustRightInd w:val="0"/>
        <w:ind w:right="-1" w:firstLine="567"/>
        <w:jc w:val="both"/>
        <w:rPr>
          <w:szCs w:val="28"/>
        </w:rPr>
      </w:pPr>
      <w:r w:rsidRPr="00CE793B">
        <w:rPr>
          <w:szCs w:val="28"/>
        </w:rPr>
        <w:t xml:space="preserve">W trakcie biegu terminu do wniesienia odwołania strona może, na podstawie art. 127a § 1 ustawy z dnia 14 czerwca 1960 r. – Kodeks postępowania administracyjnego, zrzec się prawa do wniesienia odwołania wobec organu administracji publicznej, który wydał decyzję. </w:t>
      </w:r>
    </w:p>
    <w:p w14:paraId="02C347E6" w14:textId="097E51B3" w:rsidR="00053E5A" w:rsidRPr="00035282" w:rsidRDefault="00CE793B" w:rsidP="00CE793B">
      <w:pPr>
        <w:jc w:val="both"/>
        <w:rPr>
          <w:sz w:val="26"/>
          <w:szCs w:val="26"/>
        </w:rPr>
      </w:pPr>
      <w:r w:rsidRPr="00CE793B">
        <w:rPr>
          <w:szCs w:val="28"/>
        </w:rPr>
        <w:t>Z dniem doręczenia organowi administracji publicznej oświadczenia o zrzeczeniu się prawa do wniesienia odwołania przez ostatnią ze stron postępowania, decyzja staje się ostateczna i prawomocna.</w:t>
      </w:r>
    </w:p>
    <w:sectPr w:rsidR="00053E5A" w:rsidRPr="00035282" w:rsidSect="00D93896">
      <w:headerReference w:type="default" r:id="rId8"/>
      <w:footerReference w:type="default" r:id="rId9"/>
      <w:headerReference w:type="first" r:id="rId10"/>
      <w:pgSz w:w="11906" w:h="16838"/>
      <w:pgMar w:top="1417" w:right="1417" w:bottom="1417"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5B441" w14:textId="77777777" w:rsidR="001925F3" w:rsidRDefault="001925F3" w:rsidP="00053E5A">
      <w:r>
        <w:separator/>
      </w:r>
    </w:p>
  </w:endnote>
  <w:endnote w:type="continuationSeparator" w:id="0">
    <w:p w14:paraId="1BF52CD9" w14:textId="77777777" w:rsidR="001925F3" w:rsidRDefault="001925F3" w:rsidP="00053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83543" w14:textId="77777777" w:rsidR="0048459B" w:rsidRDefault="009614DC">
    <w:pPr>
      <w:pStyle w:val="Stopka"/>
    </w:pPr>
    <w:r>
      <w:rPr>
        <w:noProof/>
        <w:lang w:eastAsia="pl-PL"/>
      </w:rPr>
      <w:drawing>
        <wp:anchor distT="0" distB="0" distL="114300" distR="114300" simplePos="0" relativeHeight="251659264" behindDoc="1" locked="0" layoutInCell="1" allowOverlap="1" wp14:anchorId="48D74F7B" wp14:editId="2E15CC06">
          <wp:simplePos x="0" y="0"/>
          <wp:positionH relativeFrom="column">
            <wp:posOffset>4062730</wp:posOffset>
          </wp:positionH>
          <wp:positionV relativeFrom="paragraph">
            <wp:posOffset>-556260</wp:posOffset>
          </wp:positionV>
          <wp:extent cx="2419985" cy="993140"/>
          <wp:effectExtent l="0" t="0" r="0" b="0"/>
          <wp:wrapNone/>
          <wp:docPr id="2" name="Obraz 2" descr="Adres strony internetowej czerwony napis srem.pl&#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Adres strony internetowej czerwony napis srem.pl&#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19985" cy="99314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B5519" w14:textId="77777777" w:rsidR="001925F3" w:rsidRDefault="001925F3" w:rsidP="00053E5A">
      <w:r>
        <w:separator/>
      </w:r>
    </w:p>
  </w:footnote>
  <w:footnote w:type="continuationSeparator" w:id="0">
    <w:p w14:paraId="779D2765" w14:textId="77777777" w:rsidR="001925F3" w:rsidRDefault="001925F3" w:rsidP="00053E5A">
      <w:r>
        <w:continuationSeparator/>
      </w:r>
    </w:p>
  </w:footnote>
  <w:footnote w:id="1">
    <w:p w14:paraId="4E110749" w14:textId="77777777" w:rsidR="00CE793B" w:rsidRDefault="00CE793B" w:rsidP="00CE793B">
      <w:pPr>
        <w:pStyle w:val="Tekstprzypisudolnego"/>
      </w:pPr>
      <w:r>
        <w:rPr>
          <w:rStyle w:val="Odwoanieprzypisudolnego"/>
        </w:rPr>
        <w:footnoteRef/>
      </w:r>
      <w:r>
        <w:t xml:space="preserve"> uchwała Nr 401/XLVIII/98 Rady Miejskiej w Śremie z dnia 9 czerwca 1998 r. (Dz. Urz. Woj. Pozn. Nr 15, poz. 198).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119A2" w14:textId="34969EBE" w:rsidR="00D93896" w:rsidRDefault="00D93896" w:rsidP="00D93896">
    <w:pPr>
      <w:pStyle w:val="Nagwek"/>
      <w:tabs>
        <w:tab w:val="clear" w:pos="4536"/>
        <w:tab w:val="clear" w:pos="9072"/>
        <w:tab w:val="left" w:pos="6000"/>
      </w:tabs>
    </w:pPr>
    <w:r>
      <w:tab/>
    </w:r>
  </w:p>
  <w:p w14:paraId="645BF253" w14:textId="61F0797A" w:rsidR="00053E5A" w:rsidRPr="00D93896" w:rsidRDefault="00053E5A" w:rsidP="00D9389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08C03" w14:textId="77777777" w:rsidR="00D93896" w:rsidRDefault="00D93896" w:rsidP="00D93896">
    <w:pPr>
      <w:pStyle w:val="Nagwek"/>
      <w:tabs>
        <w:tab w:val="clear" w:pos="4536"/>
        <w:tab w:val="clear" w:pos="9072"/>
        <w:tab w:val="left" w:pos="6000"/>
      </w:tabs>
    </w:pPr>
    <w:r>
      <w:rPr>
        <w:noProof/>
        <w:lang w:eastAsia="pl-PL"/>
      </w:rPr>
      <w:drawing>
        <wp:anchor distT="0" distB="0" distL="114300" distR="114300" simplePos="0" relativeHeight="251665408" behindDoc="1" locked="0" layoutInCell="1" allowOverlap="1" wp14:anchorId="270B3E30" wp14:editId="755D6CB5">
          <wp:simplePos x="0" y="0"/>
          <wp:positionH relativeFrom="column">
            <wp:posOffset>-309245</wp:posOffset>
          </wp:positionH>
          <wp:positionV relativeFrom="paragraph">
            <wp:posOffset>-68580</wp:posOffset>
          </wp:positionV>
          <wp:extent cx="1276985" cy="1459865"/>
          <wp:effectExtent l="0" t="0" r="0" b="6985"/>
          <wp:wrapNone/>
          <wp:docPr id="1" name="Obraz 1" descr="Logo Śremu&#10;&#10;Logo Śremu zawierające kolorowe symbole drzew, ikonę wieży ciśnień, falę w kolorze niebieskim symbolizującą rzekę Wartę oraz napis Śrem&#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descr="Logo Śremu&#10;&#10;Logo Śremu zawierające kolorowe symbole drzew, ikonę wieży ciśnień, falę w kolorze niebieskim symbolizującą rzekę Wartę oraz napis Śrem&#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6985" cy="1459865"/>
                  </a:xfrm>
                  <a:prstGeom prst="rect">
                    <a:avLst/>
                  </a:prstGeom>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64384" behindDoc="1" locked="0" layoutInCell="1" allowOverlap="1" wp14:anchorId="1C206194" wp14:editId="214C2E21">
          <wp:simplePos x="0" y="0"/>
          <wp:positionH relativeFrom="column">
            <wp:posOffset>1052830</wp:posOffset>
          </wp:positionH>
          <wp:positionV relativeFrom="paragraph">
            <wp:posOffset>64770</wp:posOffset>
          </wp:positionV>
          <wp:extent cx="4528820" cy="652145"/>
          <wp:effectExtent l="0" t="0" r="5080" b="0"/>
          <wp:wrapNone/>
          <wp:docPr id="5" name="Obraz 5" descr="Urząd Miejski w Śremie, Pl. 20 Października 1, 63-100 Śrem, tel. 61 28 35 225, adres email urzad@srem.pl&#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Urząd Miejski w Śremie, Pl. 20 Października 1, 63-100 Śrem, tel. 61 28 35 225, adres email urzad@srem.pl&#10;"/>
                  <pic:cNvPicPr/>
                </pic:nvPicPr>
                <pic:blipFill>
                  <a:blip r:embed="rId2" cstate="print">
                    <a:extLst>
                      <a:ext uri="{28A0092B-C50C-407E-A947-70E740481C1C}">
                        <a14:useLocalDpi xmlns:a14="http://schemas.microsoft.com/office/drawing/2010/main" val="0"/>
                      </a:ext>
                    </a:extLst>
                  </a:blip>
                  <a:stretch>
                    <a:fillRect/>
                  </a:stretch>
                </pic:blipFill>
                <pic:spPr>
                  <a:xfrm>
                    <a:off x="0" y="0"/>
                    <a:ext cx="4528820" cy="652145"/>
                  </a:xfrm>
                  <a:prstGeom prst="rect">
                    <a:avLst/>
                  </a:prstGeom>
                </pic:spPr>
              </pic:pic>
            </a:graphicData>
          </a:graphic>
          <wp14:sizeRelH relativeFrom="page">
            <wp14:pctWidth>0</wp14:pctWidth>
          </wp14:sizeRelH>
          <wp14:sizeRelV relativeFrom="page">
            <wp14:pctHeight>0</wp14:pctHeight>
          </wp14:sizeRelV>
        </wp:anchor>
      </w:drawing>
    </w:r>
    <w:r>
      <w:tab/>
    </w:r>
  </w:p>
  <w:p w14:paraId="15382C61" w14:textId="77777777" w:rsidR="00D93896" w:rsidRPr="00D93896" w:rsidRDefault="00D93896" w:rsidP="00D93896">
    <w:pPr>
      <w:pStyle w:val="Nagwek"/>
    </w:pPr>
  </w:p>
  <w:p w14:paraId="43330B71" w14:textId="77777777" w:rsidR="00D93896" w:rsidRDefault="00D9389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3"/>
    <w:lvl w:ilvl="0">
      <w:start w:val="1"/>
      <w:numFmt w:val="decimal"/>
      <w:lvlText w:val="%1)"/>
      <w:lvlJc w:val="left"/>
      <w:pPr>
        <w:tabs>
          <w:tab w:val="num" w:pos="0"/>
        </w:tabs>
        <w:ind w:left="720" w:hanging="360"/>
      </w:pPr>
      <w:rPr>
        <w:sz w:val="28"/>
      </w:rPr>
    </w:lvl>
  </w:abstractNum>
  <w:abstractNum w:abstractNumId="1" w15:restartNumberingAfterBreak="0">
    <w:nsid w:val="03B8560F"/>
    <w:multiLevelType w:val="hybridMultilevel"/>
    <w:tmpl w:val="E83E0EF0"/>
    <w:lvl w:ilvl="0" w:tplc="E6B8B576">
      <w:start w:val="1"/>
      <w:numFmt w:val="decimal"/>
      <w:lvlText w:val="%1)"/>
      <w:lvlJc w:val="left"/>
      <w:pPr>
        <w:ind w:left="1287" w:hanging="360"/>
      </w:pPr>
      <w:rPr>
        <w:rFonts w:hint="default"/>
        <w:sz w:val="28"/>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 w15:restartNumberingAfterBreak="0">
    <w:nsid w:val="1F147D37"/>
    <w:multiLevelType w:val="hybridMultilevel"/>
    <w:tmpl w:val="EF1A7B10"/>
    <w:lvl w:ilvl="0" w:tplc="2258FA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7D6720A"/>
    <w:multiLevelType w:val="hybridMultilevel"/>
    <w:tmpl w:val="9D66FD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35282"/>
    <w:rsid w:val="00053E5A"/>
    <w:rsid w:val="0009309A"/>
    <w:rsid w:val="000D5352"/>
    <w:rsid w:val="000E1583"/>
    <w:rsid w:val="001925F3"/>
    <w:rsid w:val="00250690"/>
    <w:rsid w:val="002C390B"/>
    <w:rsid w:val="002D254F"/>
    <w:rsid w:val="002D659D"/>
    <w:rsid w:val="002E69FC"/>
    <w:rsid w:val="00334942"/>
    <w:rsid w:val="00335708"/>
    <w:rsid w:val="003551E5"/>
    <w:rsid w:val="003A4561"/>
    <w:rsid w:val="004519AC"/>
    <w:rsid w:val="00453BE9"/>
    <w:rsid w:val="0047728F"/>
    <w:rsid w:val="0048459B"/>
    <w:rsid w:val="00512333"/>
    <w:rsid w:val="0052168E"/>
    <w:rsid w:val="00525346"/>
    <w:rsid w:val="00560A03"/>
    <w:rsid w:val="005E5887"/>
    <w:rsid w:val="006048F3"/>
    <w:rsid w:val="006A6F3E"/>
    <w:rsid w:val="006C0809"/>
    <w:rsid w:val="0071211A"/>
    <w:rsid w:val="00793F07"/>
    <w:rsid w:val="007C1198"/>
    <w:rsid w:val="007D1893"/>
    <w:rsid w:val="007E1C50"/>
    <w:rsid w:val="00805F64"/>
    <w:rsid w:val="0081559F"/>
    <w:rsid w:val="0084356A"/>
    <w:rsid w:val="008751B5"/>
    <w:rsid w:val="008941B1"/>
    <w:rsid w:val="00917C21"/>
    <w:rsid w:val="009614DC"/>
    <w:rsid w:val="0096677E"/>
    <w:rsid w:val="009B0906"/>
    <w:rsid w:val="00A2064E"/>
    <w:rsid w:val="00AA3F52"/>
    <w:rsid w:val="00C16875"/>
    <w:rsid w:val="00C64D90"/>
    <w:rsid w:val="00CE793B"/>
    <w:rsid w:val="00D715C6"/>
    <w:rsid w:val="00D93896"/>
    <w:rsid w:val="00EA48E7"/>
    <w:rsid w:val="00EB581E"/>
    <w:rsid w:val="00F5372B"/>
    <w:rsid w:val="00FA5C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D93CD9"/>
  <w15:docId w15:val="{40021A15-038D-4C62-9FF6-56FC40F70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5282"/>
    <w:pPr>
      <w:spacing w:after="0" w:line="240" w:lineRule="auto"/>
    </w:pPr>
    <w:rPr>
      <w:rFonts w:ascii="Times New Roman" w:eastAsia="Times New Roman" w:hAnsi="Times New Roman" w:cs="Times New Roman"/>
      <w:sz w:val="28"/>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pPr>
    <w:rPr>
      <w:rFonts w:asciiTheme="minorHAnsi" w:eastAsiaTheme="minorHAnsi" w:hAnsiTheme="minorHAnsi" w:cstheme="minorBidi"/>
      <w:sz w:val="22"/>
      <w:szCs w:val="22"/>
      <w:lang w:eastAsia="en-US"/>
    </w:r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pPr>
    <w:rPr>
      <w:rFonts w:asciiTheme="minorHAnsi" w:eastAsiaTheme="minorHAnsi" w:hAnsiTheme="minorHAnsi" w:cstheme="minorBidi"/>
      <w:sz w:val="22"/>
      <w:szCs w:val="22"/>
      <w:lang w:eastAsia="en-US"/>
    </w:r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semiHidden/>
    <w:unhideWhenUsed/>
    <w:rsid w:val="00CE793B"/>
    <w:rPr>
      <w:sz w:val="20"/>
      <w:szCs w:val="20"/>
    </w:rPr>
  </w:style>
  <w:style w:type="character" w:customStyle="1" w:styleId="TekstprzypisudolnegoZnak">
    <w:name w:val="Tekst przypisu dolnego Znak"/>
    <w:basedOn w:val="Domylnaczcionkaakapitu"/>
    <w:link w:val="Tekstprzypisudolnego"/>
    <w:semiHidden/>
    <w:rsid w:val="00CE793B"/>
    <w:rPr>
      <w:rFonts w:ascii="Times New Roman" w:eastAsia="Times New Roman" w:hAnsi="Times New Roman" w:cs="Times New Roman"/>
      <w:sz w:val="20"/>
      <w:szCs w:val="20"/>
      <w:lang w:eastAsia="pl-PL"/>
    </w:rPr>
  </w:style>
  <w:style w:type="character" w:styleId="Odwoanieprzypisudolnego">
    <w:name w:val="footnote reference"/>
    <w:semiHidden/>
    <w:unhideWhenUsed/>
    <w:rsid w:val="00CE793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8BFE79-EEAC-4826-A3C1-4F1E09DC1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3641</Words>
  <Characters>21847</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Marta Matuszewska</cp:lastModifiedBy>
  <cp:revision>6</cp:revision>
  <cp:lastPrinted>2020-02-11T13:09:00Z</cp:lastPrinted>
  <dcterms:created xsi:type="dcterms:W3CDTF">2021-08-16T07:18:00Z</dcterms:created>
  <dcterms:modified xsi:type="dcterms:W3CDTF">2021-08-17T05:51:00Z</dcterms:modified>
</cp:coreProperties>
</file>