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57004" w14:textId="77777777" w:rsidR="00AF5105" w:rsidRDefault="00AF5105" w:rsidP="00AF5105">
      <w:pPr>
        <w:shd w:val="clear" w:color="auto" w:fill="FDFCFB"/>
        <w:jc w:val="both"/>
        <w:rPr>
          <w:b/>
          <w:bCs/>
          <w:color w:val="FF0000"/>
          <w:lang w:eastAsia="pl-PL"/>
        </w:rPr>
      </w:pPr>
      <w:r>
        <w:rPr>
          <w:color w:val="000000"/>
          <w:lang w:eastAsia="pl-PL"/>
        </w:rPr>
        <w:t>Wałbrzyska Specjalna Strefa Ekonomiczna "INVEST-PARK" wspólnie z</w:t>
      </w:r>
      <w:r>
        <w:rPr>
          <w:b/>
          <w:bCs/>
          <w:color w:val="000000"/>
          <w:lang w:eastAsia="pl-PL"/>
        </w:rPr>
        <w:t> </w:t>
      </w:r>
      <w:bookmarkStart w:id="0" w:name="_Hlk80709139"/>
      <w:r>
        <w:rPr>
          <w:b/>
          <w:bCs/>
          <w:color w:val="000000"/>
          <w:lang w:eastAsia="pl-PL"/>
        </w:rPr>
        <w:t>Kancelarią Wilczyński Milczanowski i Partnerzy  </w:t>
      </w:r>
      <w:bookmarkEnd w:id="0"/>
      <w:r>
        <w:rPr>
          <w:color w:val="000000"/>
          <w:lang w:eastAsia="pl-PL"/>
        </w:rPr>
        <w:t xml:space="preserve">zaprasza na </w:t>
      </w:r>
      <w:r>
        <w:rPr>
          <w:b/>
          <w:bCs/>
          <w:color w:val="000000"/>
          <w:lang w:eastAsia="pl-PL"/>
        </w:rPr>
        <w:t>bezpłatne webinarium:</w:t>
      </w:r>
      <w:r>
        <w:rPr>
          <w:b/>
          <w:bCs/>
          <w:color w:val="FF0000"/>
          <w:lang w:eastAsia="pl-PL"/>
        </w:rPr>
        <w:t> </w:t>
      </w:r>
    </w:p>
    <w:p w14:paraId="04470FD1" w14:textId="77777777" w:rsidR="00AF5105" w:rsidRDefault="00AF5105" w:rsidP="00AF5105">
      <w:pPr>
        <w:shd w:val="clear" w:color="auto" w:fill="FDFCFB"/>
        <w:jc w:val="both"/>
        <w:rPr>
          <w:b/>
          <w:bCs/>
          <w:color w:val="FF0000"/>
          <w:lang w:eastAsia="pl-PL"/>
        </w:rPr>
      </w:pPr>
    </w:p>
    <w:p w14:paraId="3536678B" w14:textId="77777777" w:rsidR="00AF5105" w:rsidRPr="00AF5105" w:rsidRDefault="00AF5105" w:rsidP="00AF5105">
      <w:pPr>
        <w:shd w:val="clear" w:color="auto" w:fill="FDFCFB"/>
        <w:textAlignment w:val="baseline"/>
        <w:rPr>
          <w:b/>
          <w:bCs/>
          <w:sz w:val="28"/>
          <w:szCs w:val="28"/>
          <w:lang w:eastAsia="pl-PL"/>
        </w:rPr>
      </w:pPr>
      <w:r w:rsidRPr="00AF5105">
        <w:rPr>
          <w:b/>
          <w:bCs/>
          <w:sz w:val="28"/>
          <w:szCs w:val="28"/>
          <w:lang w:eastAsia="pl-PL"/>
        </w:rPr>
        <w:t xml:space="preserve">Ustawa o ochronie sygnalistów – fakty i mity </w:t>
      </w:r>
      <w:r w:rsidRPr="00AF5105">
        <w:rPr>
          <w:b/>
          <w:bCs/>
          <w:sz w:val="28"/>
          <w:szCs w:val="28"/>
          <w:lang w:eastAsia="pl-PL"/>
        </w:rPr>
        <w:br/>
        <w:t xml:space="preserve">(czyli jak spokojnie przygotować się na rewolucję w </w:t>
      </w:r>
      <w:proofErr w:type="spellStart"/>
      <w:r w:rsidRPr="00AF5105">
        <w:rPr>
          <w:b/>
          <w:bCs/>
          <w:sz w:val="28"/>
          <w:szCs w:val="28"/>
          <w:lang w:eastAsia="pl-PL"/>
        </w:rPr>
        <w:t>compliance</w:t>
      </w:r>
      <w:proofErr w:type="spellEnd"/>
      <w:r w:rsidRPr="00AF5105">
        <w:rPr>
          <w:b/>
          <w:bCs/>
          <w:sz w:val="28"/>
          <w:szCs w:val="28"/>
          <w:lang w:eastAsia="pl-PL"/>
        </w:rPr>
        <w:t>)</w:t>
      </w:r>
    </w:p>
    <w:p w14:paraId="032F1631" w14:textId="77777777" w:rsidR="00AF5105" w:rsidRPr="00AF5105" w:rsidRDefault="00AF5105" w:rsidP="00AF5105">
      <w:pPr>
        <w:shd w:val="clear" w:color="auto" w:fill="FDFCFB"/>
        <w:jc w:val="both"/>
        <w:textAlignment w:val="baseline"/>
        <w:rPr>
          <w:lang w:eastAsia="pl-PL"/>
        </w:rPr>
      </w:pPr>
    </w:p>
    <w:p w14:paraId="40730F59" w14:textId="77777777" w:rsidR="00AF5105" w:rsidRPr="00AF5105" w:rsidRDefault="00AF5105" w:rsidP="00AF5105">
      <w:pPr>
        <w:shd w:val="clear" w:color="auto" w:fill="FDFCFB"/>
        <w:jc w:val="both"/>
        <w:textAlignment w:val="baseline"/>
        <w:rPr>
          <w:b/>
          <w:bCs/>
          <w:lang w:eastAsia="pl-PL"/>
        </w:rPr>
      </w:pPr>
      <w:r w:rsidRPr="00AF5105">
        <w:rPr>
          <w:lang w:eastAsia="pl-PL"/>
        </w:rPr>
        <w:t xml:space="preserve">które odbędzie się </w:t>
      </w:r>
      <w:r w:rsidRPr="00AF5105">
        <w:rPr>
          <w:b/>
          <w:bCs/>
          <w:lang w:eastAsia="pl-PL"/>
        </w:rPr>
        <w:t>22 listopada 2021 r. od 9:30 do 11:00.</w:t>
      </w:r>
    </w:p>
    <w:p w14:paraId="19208FFF" w14:textId="77777777" w:rsidR="00AF5105" w:rsidRDefault="00AF5105" w:rsidP="00AF5105">
      <w:pPr>
        <w:shd w:val="clear" w:color="auto" w:fill="FDFCFB"/>
        <w:jc w:val="both"/>
        <w:rPr>
          <w:color w:val="000000"/>
          <w:lang w:eastAsia="pl-PL"/>
        </w:rPr>
      </w:pPr>
    </w:p>
    <w:p w14:paraId="1140D8C5" w14:textId="77777777" w:rsidR="00AF5105" w:rsidRDefault="00AF5105" w:rsidP="00AF5105">
      <w:pPr>
        <w:shd w:val="clear" w:color="auto" w:fill="FDFCFB"/>
        <w:rPr>
          <w:color w:val="000000"/>
          <w:lang w:eastAsia="pl-PL"/>
        </w:rPr>
      </w:pPr>
      <w:bookmarkStart w:id="1" w:name="_Hlk80709319"/>
      <w:r>
        <w:rPr>
          <w:color w:val="000000"/>
          <w:lang w:eastAsia="pl-PL"/>
        </w:rPr>
        <w:t xml:space="preserve">Do 17 grudnia 2021 r. Polska powinna przyjąć przepisy wdrażające unijną dyrektywę o ochronie sygnalistów. Opublikowano już projekt odpowiedniej ustawy, czasu na przygotowanie nie ma zatem dużo. </w:t>
      </w:r>
    </w:p>
    <w:p w14:paraId="7FC8BAB4" w14:textId="77777777" w:rsidR="00AF5105" w:rsidRDefault="00AF5105" w:rsidP="00AF5105">
      <w:pPr>
        <w:shd w:val="clear" w:color="auto" w:fill="FDFCFB"/>
        <w:rPr>
          <w:color w:val="000000"/>
          <w:lang w:eastAsia="pl-PL"/>
        </w:rPr>
      </w:pPr>
      <w:r>
        <w:rPr>
          <w:color w:val="000000"/>
          <w:lang w:eastAsia="pl-PL"/>
        </w:rPr>
        <w:t xml:space="preserve">Nowe wymogi w pierwszej kolejności obejmą pracodawców zatrudniających co najmniej 250 pracowników oraz wybrane kategorie przedsiębiorców, niezależnie od poziomu zatrudnienia. </w:t>
      </w:r>
    </w:p>
    <w:p w14:paraId="52AF93FC" w14:textId="77777777" w:rsidR="00AF5105" w:rsidRDefault="00AF5105" w:rsidP="00AF5105">
      <w:pPr>
        <w:shd w:val="clear" w:color="auto" w:fill="FDFCFB"/>
        <w:rPr>
          <w:color w:val="000000"/>
          <w:lang w:eastAsia="pl-PL"/>
        </w:rPr>
      </w:pPr>
      <w:r>
        <w:rPr>
          <w:color w:val="000000"/>
          <w:lang w:eastAsia="pl-PL"/>
        </w:rPr>
        <w:t xml:space="preserve">Projekt przewiduje konkretne obowiązki oraz surowe sankcje za ich naruszenie. Warto też podkreślić, że systemy odbierania zgłoszeń od sygnalistów, przyjęte dotąd wyłącznie na poziomie grupy kapitałowej, mogą okazać się niewystarczające. Niezbędne będzie lokalne podejście, zapewniające zgodność z polskimi przepisami. </w:t>
      </w:r>
    </w:p>
    <w:p w14:paraId="34CD097B" w14:textId="77777777" w:rsidR="00AF5105" w:rsidRDefault="00AF5105" w:rsidP="00AF5105">
      <w:pPr>
        <w:shd w:val="clear" w:color="auto" w:fill="FDFCFB"/>
        <w:rPr>
          <w:color w:val="000000"/>
          <w:lang w:eastAsia="pl-PL"/>
        </w:rPr>
      </w:pPr>
    </w:p>
    <w:p w14:paraId="38F192D8" w14:textId="77777777" w:rsidR="00AF5105" w:rsidRDefault="00AF5105" w:rsidP="00AF5105">
      <w:pPr>
        <w:shd w:val="clear" w:color="auto" w:fill="FDFCFB"/>
        <w:rPr>
          <w:color w:val="000000"/>
          <w:lang w:eastAsia="pl-PL"/>
        </w:rPr>
      </w:pPr>
      <w:r>
        <w:rPr>
          <w:color w:val="000000"/>
          <w:lang w:eastAsia="pl-PL"/>
        </w:rPr>
        <w:t>Podczas webinarium w praktyczny sposób opowiemy o tym, jak efektywnie – ale też ze spokojem i zdrowym rozsądkiem – przygotować się na nadchodzące zmiany.</w:t>
      </w:r>
    </w:p>
    <w:p w14:paraId="269B362C" w14:textId="77777777" w:rsidR="00AF5105" w:rsidRDefault="00AF5105" w:rsidP="00AF5105">
      <w:pPr>
        <w:shd w:val="clear" w:color="auto" w:fill="FDFCFB"/>
        <w:rPr>
          <w:color w:val="000000"/>
          <w:lang w:eastAsia="pl-PL"/>
        </w:rPr>
      </w:pPr>
    </w:p>
    <w:p w14:paraId="2B79F753" w14:textId="77777777" w:rsidR="00AF5105" w:rsidRDefault="00AF5105" w:rsidP="00AF5105">
      <w:pPr>
        <w:shd w:val="clear" w:color="auto" w:fill="FDFCFB"/>
        <w:rPr>
          <w:b/>
          <w:bCs/>
          <w:color w:val="000000"/>
          <w:u w:val="single"/>
          <w:lang w:eastAsia="pl-PL"/>
        </w:rPr>
      </w:pPr>
      <w:r>
        <w:rPr>
          <w:b/>
          <w:bCs/>
          <w:color w:val="000000"/>
          <w:u w:val="single"/>
          <w:lang w:eastAsia="pl-PL"/>
        </w:rPr>
        <w:t>Agenda:</w:t>
      </w:r>
    </w:p>
    <w:p w14:paraId="0111ED9E" w14:textId="77777777" w:rsidR="00AF5105" w:rsidRDefault="00AF5105" w:rsidP="00AF5105">
      <w:pPr>
        <w:shd w:val="clear" w:color="auto" w:fill="FDFCFB"/>
        <w:rPr>
          <w:color w:val="000000"/>
          <w:lang w:eastAsia="pl-PL"/>
        </w:rPr>
      </w:pPr>
    </w:p>
    <w:p w14:paraId="27D57E4C" w14:textId="77777777" w:rsidR="00AF5105" w:rsidRDefault="00AF5105" w:rsidP="00AF5105">
      <w:pPr>
        <w:pStyle w:val="Akapitzlist"/>
        <w:numPr>
          <w:ilvl w:val="0"/>
          <w:numId w:val="1"/>
        </w:numPr>
        <w:shd w:val="clear" w:color="auto" w:fill="FDFCFB"/>
        <w:rPr>
          <w:rFonts w:eastAsia="Times New Roman"/>
          <w:color w:val="000000"/>
          <w:lang w:eastAsia="pl-PL"/>
        </w:rPr>
      </w:pPr>
      <w:r>
        <w:rPr>
          <w:rFonts w:eastAsia="Times New Roman"/>
          <w:color w:val="000000"/>
          <w:lang w:eastAsia="pl-PL"/>
        </w:rPr>
        <w:t>Kto będzie zobowiązany do wdrożenia nowych wymogów?</w:t>
      </w:r>
    </w:p>
    <w:p w14:paraId="445AF06B" w14:textId="77777777" w:rsidR="00AF5105" w:rsidRDefault="00AF5105" w:rsidP="00AF5105">
      <w:pPr>
        <w:pStyle w:val="Akapitzlist"/>
        <w:numPr>
          <w:ilvl w:val="0"/>
          <w:numId w:val="1"/>
        </w:numPr>
        <w:shd w:val="clear" w:color="auto" w:fill="FDFCFB"/>
        <w:rPr>
          <w:rFonts w:eastAsia="Times New Roman"/>
          <w:color w:val="000000"/>
          <w:lang w:eastAsia="pl-PL"/>
        </w:rPr>
      </w:pPr>
      <w:r>
        <w:rPr>
          <w:rFonts w:eastAsia="Times New Roman"/>
          <w:color w:val="000000"/>
          <w:lang w:eastAsia="pl-PL"/>
        </w:rPr>
        <w:t xml:space="preserve">Zakres obowiązków, w tym m.in.: </w:t>
      </w:r>
    </w:p>
    <w:p w14:paraId="6FC610CC" w14:textId="77777777" w:rsidR="00AF5105" w:rsidRDefault="00AF5105" w:rsidP="00AF5105">
      <w:pPr>
        <w:pStyle w:val="Akapitzlist"/>
        <w:numPr>
          <w:ilvl w:val="1"/>
          <w:numId w:val="1"/>
        </w:numPr>
        <w:shd w:val="clear" w:color="auto" w:fill="FDFCFB"/>
        <w:rPr>
          <w:rFonts w:eastAsia="Times New Roman"/>
          <w:color w:val="000000"/>
          <w:lang w:eastAsia="pl-PL"/>
        </w:rPr>
      </w:pPr>
      <w:r>
        <w:rPr>
          <w:rFonts w:eastAsia="Times New Roman"/>
          <w:color w:val="000000"/>
          <w:lang w:eastAsia="pl-PL"/>
        </w:rPr>
        <w:t>Wewnętrzny regulamin – co musi, a co może zawierać?</w:t>
      </w:r>
    </w:p>
    <w:p w14:paraId="1C7F550D" w14:textId="77777777" w:rsidR="00AF5105" w:rsidRDefault="00AF5105" w:rsidP="00AF5105">
      <w:pPr>
        <w:pStyle w:val="Akapitzlist"/>
        <w:numPr>
          <w:ilvl w:val="1"/>
          <w:numId w:val="1"/>
        </w:numPr>
        <w:shd w:val="clear" w:color="auto" w:fill="FDFCFB"/>
        <w:rPr>
          <w:rFonts w:eastAsia="Times New Roman"/>
          <w:color w:val="000000"/>
          <w:lang w:eastAsia="pl-PL"/>
        </w:rPr>
      </w:pPr>
      <w:r>
        <w:rPr>
          <w:rFonts w:eastAsia="Times New Roman"/>
          <w:color w:val="000000"/>
          <w:lang w:eastAsia="pl-PL"/>
        </w:rPr>
        <w:t>Obowiązkowa konsultacja ze związkami lub przedstawicielem pracowników;</w:t>
      </w:r>
    </w:p>
    <w:p w14:paraId="5BEE9FC6" w14:textId="77777777" w:rsidR="00AF5105" w:rsidRDefault="00AF5105" w:rsidP="00AF5105">
      <w:pPr>
        <w:pStyle w:val="Akapitzlist"/>
        <w:numPr>
          <w:ilvl w:val="1"/>
          <w:numId w:val="1"/>
        </w:numPr>
        <w:shd w:val="clear" w:color="auto" w:fill="FDFCFB"/>
        <w:rPr>
          <w:rFonts w:eastAsia="Times New Roman"/>
          <w:color w:val="000000"/>
          <w:lang w:eastAsia="pl-PL"/>
        </w:rPr>
      </w:pPr>
      <w:r>
        <w:rPr>
          <w:rFonts w:eastAsia="Times New Roman"/>
          <w:color w:val="000000"/>
          <w:lang w:eastAsia="pl-PL"/>
        </w:rPr>
        <w:t>Rozpatrzenie i archiwizacja zgłoszenia;</w:t>
      </w:r>
    </w:p>
    <w:p w14:paraId="6C7456C7" w14:textId="77777777" w:rsidR="00AF5105" w:rsidRDefault="00AF5105" w:rsidP="00AF5105">
      <w:pPr>
        <w:pStyle w:val="Akapitzlist"/>
        <w:numPr>
          <w:ilvl w:val="1"/>
          <w:numId w:val="1"/>
        </w:numPr>
        <w:shd w:val="clear" w:color="auto" w:fill="FDFCFB"/>
        <w:rPr>
          <w:rFonts w:eastAsia="Times New Roman"/>
          <w:color w:val="000000"/>
          <w:lang w:eastAsia="pl-PL"/>
        </w:rPr>
      </w:pPr>
      <w:r>
        <w:rPr>
          <w:rFonts w:eastAsia="Times New Roman"/>
          <w:color w:val="000000"/>
          <w:lang w:eastAsia="pl-PL"/>
        </w:rPr>
        <w:t xml:space="preserve">Możliwości </w:t>
      </w:r>
      <w:proofErr w:type="spellStart"/>
      <w:r>
        <w:rPr>
          <w:rFonts w:eastAsia="Times New Roman"/>
          <w:color w:val="000000"/>
          <w:lang w:eastAsia="pl-PL"/>
        </w:rPr>
        <w:t>outsorcingu</w:t>
      </w:r>
      <w:proofErr w:type="spellEnd"/>
      <w:r>
        <w:rPr>
          <w:rFonts w:eastAsia="Times New Roman"/>
          <w:color w:val="000000"/>
          <w:lang w:eastAsia="pl-PL"/>
        </w:rPr>
        <w:t xml:space="preserve"> i współdzielenia zasobów przez przedsiębiorców;</w:t>
      </w:r>
    </w:p>
    <w:p w14:paraId="4632070E" w14:textId="77777777" w:rsidR="00AF5105" w:rsidRDefault="00AF5105" w:rsidP="00AF5105">
      <w:pPr>
        <w:pStyle w:val="Akapitzlist"/>
        <w:numPr>
          <w:ilvl w:val="1"/>
          <w:numId w:val="1"/>
        </w:numPr>
        <w:shd w:val="clear" w:color="auto" w:fill="FDFCFB"/>
        <w:rPr>
          <w:rFonts w:eastAsia="Times New Roman"/>
          <w:color w:val="000000"/>
          <w:lang w:eastAsia="pl-PL"/>
        </w:rPr>
      </w:pPr>
      <w:r>
        <w:rPr>
          <w:rFonts w:eastAsia="Times New Roman"/>
          <w:color w:val="000000"/>
          <w:lang w:eastAsia="pl-PL"/>
        </w:rPr>
        <w:t>Ochrona sygnalisty – kiedy przysługuje i na czym polega?</w:t>
      </w:r>
    </w:p>
    <w:p w14:paraId="08457A2F" w14:textId="77777777" w:rsidR="00AF5105" w:rsidRDefault="00AF5105" w:rsidP="00AF5105">
      <w:pPr>
        <w:pStyle w:val="Akapitzlist"/>
        <w:numPr>
          <w:ilvl w:val="0"/>
          <w:numId w:val="1"/>
        </w:numPr>
        <w:shd w:val="clear" w:color="auto" w:fill="FDFCFB"/>
        <w:rPr>
          <w:rFonts w:eastAsia="Times New Roman"/>
          <w:color w:val="000000"/>
          <w:lang w:eastAsia="pl-PL"/>
        </w:rPr>
      </w:pPr>
      <w:r>
        <w:rPr>
          <w:rFonts w:eastAsia="Times New Roman"/>
          <w:color w:val="000000"/>
          <w:lang w:eastAsia="pl-PL"/>
        </w:rPr>
        <w:t xml:space="preserve">System </w:t>
      </w:r>
      <w:proofErr w:type="spellStart"/>
      <w:r>
        <w:rPr>
          <w:rFonts w:eastAsia="Times New Roman"/>
          <w:color w:val="000000"/>
          <w:lang w:eastAsia="pl-PL"/>
        </w:rPr>
        <w:t>compliance</w:t>
      </w:r>
      <w:proofErr w:type="spellEnd"/>
      <w:r>
        <w:rPr>
          <w:rFonts w:eastAsia="Times New Roman"/>
          <w:color w:val="000000"/>
          <w:lang w:eastAsia="pl-PL"/>
        </w:rPr>
        <w:t xml:space="preserve"> w międzynarodowej grupie kapitałowej, a obowiązki polskiej spółki – jak zapewnić zgodność i komunikować się z grupą?</w:t>
      </w:r>
    </w:p>
    <w:p w14:paraId="6C6D053C" w14:textId="77777777" w:rsidR="00AF5105" w:rsidRDefault="00AF5105" w:rsidP="00AF5105">
      <w:pPr>
        <w:pStyle w:val="Akapitzlist"/>
        <w:numPr>
          <w:ilvl w:val="0"/>
          <w:numId w:val="1"/>
        </w:numPr>
        <w:shd w:val="clear" w:color="auto" w:fill="FDFCFB"/>
        <w:rPr>
          <w:rFonts w:eastAsia="Times New Roman"/>
          <w:color w:val="000000"/>
          <w:lang w:eastAsia="pl-PL"/>
        </w:rPr>
      </w:pPr>
      <w:r>
        <w:rPr>
          <w:rFonts w:eastAsia="Times New Roman"/>
          <w:color w:val="000000"/>
          <w:lang w:eastAsia="pl-PL"/>
        </w:rPr>
        <w:t>Praktyczne wyzwania:</w:t>
      </w:r>
    </w:p>
    <w:p w14:paraId="2D6EB66D" w14:textId="77777777" w:rsidR="00AF5105" w:rsidRDefault="00AF5105" w:rsidP="00AF5105">
      <w:pPr>
        <w:pStyle w:val="Akapitzlist"/>
        <w:numPr>
          <w:ilvl w:val="1"/>
          <w:numId w:val="1"/>
        </w:numPr>
        <w:shd w:val="clear" w:color="auto" w:fill="FDFCFB"/>
        <w:rPr>
          <w:rFonts w:eastAsia="Times New Roman"/>
          <w:color w:val="000000"/>
          <w:lang w:eastAsia="pl-PL"/>
        </w:rPr>
      </w:pPr>
      <w:r>
        <w:rPr>
          <w:rFonts w:eastAsia="Times New Roman"/>
          <w:color w:val="000000"/>
          <w:lang w:eastAsia="pl-PL"/>
        </w:rPr>
        <w:t>Nowe obowiązki – kto w organizacji powinien się tym zająć?</w:t>
      </w:r>
    </w:p>
    <w:p w14:paraId="0B592F2B" w14:textId="77777777" w:rsidR="00AF5105" w:rsidRDefault="00AF5105" w:rsidP="00AF5105">
      <w:pPr>
        <w:pStyle w:val="Akapitzlist"/>
        <w:numPr>
          <w:ilvl w:val="1"/>
          <w:numId w:val="1"/>
        </w:numPr>
        <w:shd w:val="clear" w:color="auto" w:fill="FDFCFB"/>
        <w:rPr>
          <w:rFonts w:eastAsia="Times New Roman"/>
          <w:color w:val="000000"/>
          <w:lang w:eastAsia="pl-PL"/>
        </w:rPr>
      </w:pPr>
      <w:r>
        <w:rPr>
          <w:rFonts w:eastAsia="Times New Roman"/>
          <w:color w:val="000000"/>
          <w:lang w:eastAsia="pl-PL"/>
        </w:rPr>
        <w:t>Rola działów HR;</w:t>
      </w:r>
    </w:p>
    <w:p w14:paraId="7773479B" w14:textId="77777777" w:rsidR="00AF5105" w:rsidRDefault="00AF5105" w:rsidP="00AF5105">
      <w:pPr>
        <w:pStyle w:val="Akapitzlist"/>
        <w:numPr>
          <w:ilvl w:val="1"/>
          <w:numId w:val="1"/>
        </w:numPr>
        <w:shd w:val="clear" w:color="auto" w:fill="FDFCFB"/>
        <w:rPr>
          <w:rFonts w:eastAsia="Times New Roman"/>
          <w:color w:val="000000"/>
          <w:lang w:eastAsia="pl-PL"/>
        </w:rPr>
      </w:pPr>
      <w:r>
        <w:rPr>
          <w:rFonts w:eastAsia="Times New Roman"/>
          <w:color w:val="000000"/>
          <w:lang w:eastAsia="pl-PL"/>
        </w:rPr>
        <w:t>Możliwość dokonywania zgłoszeń poza spółką – czy i jak zachęcać do zgłoszeń wewnętrznych?</w:t>
      </w:r>
    </w:p>
    <w:p w14:paraId="1C8EEDFC" w14:textId="77777777" w:rsidR="00AF5105" w:rsidRDefault="00AF5105" w:rsidP="00AF5105">
      <w:pPr>
        <w:pStyle w:val="Akapitzlist"/>
        <w:numPr>
          <w:ilvl w:val="1"/>
          <w:numId w:val="1"/>
        </w:numPr>
        <w:shd w:val="clear" w:color="auto" w:fill="FDFCFB"/>
        <w:rPr>
          <w:rFonts w:eastAsia="Times New Roman"/>
          <w:color w:val="000000"/>
          <w:lang w:eastAsia="pl-PL"/>
        </w:rPr>
      </w:pPr>
      <w:r>
        <w:rPr>
          <w:rFonts w:eastAsia="Times New Roman"/>
          <w:color w:val="000000"/>
          <w:lang w:eastAsia="pl-PL"/>
        </w:rPr>
        <w:t>Szkolenia i kampanie informacyjne – dlaczego staną się niezbędne?</w:t>
      </w:r>
    </w:p>
    <w:p w14:paraId="324CACF2" w14:textId="77777777" w:rsidR="00AF5105" w:rsidRDefault="00AF5105" w:rsidP="00AF5105">
      <w:pPr>
        <w:pStyle w:val="Akapitzlist"/>
        <w:numPr>
          <w:ilvl w:val="0"/>
          <w:numId w:val="1"/>
        </w:numPr>
        <w:shd w:val="clear" w:color="auto" w:fill="FDFCFB"/>
        <w:rPr>
          <w:rFonts w:eastAsia="Times New Roman"/>
          <w:color w:val="000000"/>
          <w:lang w:eastAsia="pl-PL"/>
        </w:rPr>
      </w:pPr>
      <w:r>
        <w:rPr>
          <w:rFonts w:eastAsia="Times New Roman"/>
          <w:color w:val="000000"/>
          <w:lang w:eastAsia="pl-PL"/>
        </w:rPr>
        <w:t>Plan działania – jakie kroki przewidzieć w procesie wdrożenia?</w:t>
      </w:r>
    </w:p>
    <w:p w14:paraId="429395EF" w14:textId="77777777" w:rsidR="00AF5105" w:rsidRDefault="00AF5105" w:rsidP="00AF5105">
      <w:pPr>
        <w:pStyle w:val="Akapitzlist"/>
        <w:numPr>
          <w:ilvl w:val="0"/>
          <w:numId w:val="1"/>
        </w:numPr>
        <w:shd w:val="clear" w:color="auto" w:fill="FDFCFB"/>
        <w:rPr>
          <w:rFonts w:eastAsia="Times New Roman"/>
          <w:color w:val="000000"/>
          <w:lang w:eastAsia="pl-PL"/>
        </w:rPr>
      </w:pPr>
      <w:r>
        <w:rPr>
          <w:rFonts w:eastAsia="Times New Roman"/>
          <w:color w:val="000000"/>
          <w:lang w:eastAsia="pl-PL"/>
        </w:rPr>
        <w:t>Sankcje – na kim spoczywa odpowiedzialność i od czego zależy?</w:t>
      </w:r>
    </w:p>
    <w:p w14:paraId="32EBB962" w14:textId="77777777" w:rsidR="00AF5105" w:rsidRDefault="00AF5105" w:rsidP="00AF5105">
      <w:pPr>
        <w:shd w:val="clear" w:color="auto" w:fill="FDFCFB"/>
        <w:rPr>
          <w:b/>
          <w:bCs/>
          <w:color w:val="000000"/>
          <w:u w:val="single"/>
          <w:lang w:eastAsia="pl-PL"/>
        </w:rPr>
      </w:pPr>
    </w:p>
    <w:p w14:paraId="1833A9FD" w14:textId="77777777" w:rsidR="00AF5105" w:rsidRDefault="00AF5105" w:rsidP="00AF5105">
      <w:pPr>
        <w:shd w:val="clear" w:color="auto" w:fill="FDFCFB"/>
        <w:rPr>
          <w:b/>
          <w:bCs/>
          <w:color w:val="000000"/>
          <w:u w:val="single"/>
          <w:lang w:eastAsia="pl-PL"/>
        </w:rPr>
      </w:pPr>
      <w:r>
        <w:rPr>
          <w:b/>
          <w:bCs/>
          <w:color w:val="000000"/>
          <w:u w:val="single"/>
          <w:lang w:eastAsia="pl-PL"/>
        </w:rPr>
        <w:t>Spotkanie poprowadzi dla Państwa:</w:t>
      </w:r>
    </w:p>
    <w:bookmarkEnd w:id="1"/>
    <w:p w14:paraId="110D0A08" w14:textId="77777777" w:rsidR="00AF5105" w:rsidRDefault="00AF5105" w:rsidP="00AF5105">
      <w:pPr>
        <w:shd w:val="clear" w:color="auto" w:fill="FDFCFB"/>
        <w:rPr>
          <w:b/>
          <w:bCs/>
          <w:lang w:eastAsia="pl-PL"/>
        </w:rPr>
      </w:pPr>
      <w:r>
        <w:rPr>
          <w:b/>
          <w:bCs/>
          <w:color w:val="000000"/>
          <w:lang w:eastAsia="pl-PL"/>
        </w:rPr>
        <w:t xml:space="preserve">Adwokat Salwador Milczanowski | Kancelaria Wilczyński Milczanowski i Partnerzy:  </w:t>
      </w:r>
    </w:p>
    <w:p w14:paraId="3C469472" w14:textId="77777777" w:rsidR="00AF5105" w:rsidRDefault="00AF5105" w:rsidP="00AF5105">
      <w:pPr>
        <w:shd w:val="clear" w:color="auto" w:fill="FDFCFB"/>
        <w:jc w:val="both"/>
        <w:textAlignment w:val="baseline"/>
        <w:rPr>
          <w:sz w:val="18"/>
          <w:szCs w:val="18"/>
        </w:rPr>
      </w:pPr>
      <w:r>
        <w:rPr>
          <w:color w:val="000000"/>
          <w:sz w:val="18"/>
          <w:szCs w:val="18"/>
        </w:rPr>
        <w:t xml:space="preserve">13 lat doświadczenia zawodowego, specjalizuje się w zagadnieniach prawa karnego gospodarczego (tzw. business </w:t>
      </w:r>
      <w:proofErr w:type="spellStart"/>
      <w:r>
        <w:rPr>
          <w:color w:val="000000"/>
          <w:sz w:val="18"/>
          <w:szCs w:val="18"/>
        </w:rPr>
        <w:t>crime</w:t>
      </w:r>
      <w:proofErr w:type="spellEnd"/>
      <w:r>
        <w:rPr>
          <w:color w:val="000000"/>
          <w:sz w:val="18"/>
          <w:szCs w:val="18"/>
        </w:rPr>
        <w:t xml:space="preserve">) oraz </w:t>
      </w:r>
      <w:proofErr w:type="spellStart"/>
      <w:r>
        <w:rPr>
          <w:color w:val="000000"/>
          <w:sz w:val="18"/>
          <w:szCs w:val="18"/>
        </w:rPr>
        <w:t>compliance</w:t>
      </w:r>
      <w:proofErr w:type="spellEnd"/>
      <w:r>
        <w:rPr>
          <w:color w:val="000000"/>
          <w:sz w:val="18"/>
          <w:szCs w:val="18"/>
        </w:rPr>
        <w:t>, w szczególności w: budowaniu i zarządzaniu systemami zgłoszeń od sygnalistów, prowadzeniu wewnętrznych postępowań wyjaśniających, wdrażaniu polityk antykorupcyjnych oraz wymogów związanych z przeciwdziałaniem praniu pieniędzy i finansowaniu terroryzmu (AML/CFT).</w:t>
      </w:r>
    </w:p>
    <w:p w14:paraId="2288E12C" w14:textId="77777777" w:rsidR="00336F31" w:rsidRDefault="00336F31"/>
    <w:sectPr w:rsidR="00336F31" w:rsidSect="00360D57">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13EB"/>
    <w:multiLevelType w:val="hybridMultilevel"/>
    <w:tmpl w:val="7C1E17B8"/>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911"/>
    <w:rsid w:val="00325911"/>
    <w:rsid w:val="00336F31"/>
    <w:rsid w:val="00360D57"/>
    <w:rsid w:val="00464807"/>
    <w:rsid w:val="00511C3D"/>
    <w:rsid w:val="00AF5105"/>
    <w:rsid w:val="00F02C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4A7681-4567-4952-BD54-FE51FC8AD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pl-PL"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5105"/>
    <w:pPr>
      <w:jc w:val="left"/>
    </w:pPr>
    <w:rPr>
      <w:rFonts w:ascii="Calibri" w:hAnsi="Calibri" w:cs="Calibr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F510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368</Words>
  <Characters>2209</Characters>
  <Application>Microsoft Office Word</Application>
  <DocSecurity>0</DocSecurity>
  <Lines>18</Lines>
  <Paragraphs>5</Paragraphs>
  <ScaleCrop>false</ScaleCrop>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Projs</dc:creator>
  <cp:keywords/>
  <dc:description/>
  <cp:lastModifiedBy>Julia Projs</cp:lastModifiedBy>
  <cp:revision>2</cp:revision>
  <dcterms:created xsi:type="dcterms:W3CDTF">2021-11-17T10:59:00Z</dcterms:created>
  <dcterms:modified xsi:type="dcterms:W3CDTF">2021-11-17T10:59:00Z</dcterms:modified>
</cp:coreProperties>
</file>