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58845" w14:textId="77777777" w:rsidR="00BB64A3" w:rsidRPr="00BB64A3" w:rsidRDefault="00BB64A3" w:rsidP="00BB64A3">
      <w:pPr>
        <w:shd w:val="clear" w:color="auto" w:fill="FDFCFB"/>
        <w:textAlignment w:val="baseline"/>
      </w:pPr>
      <w:r w:rsidRPr="00BB64A3">
        <w:t xml:space="preserve">Kancelaria Olesiński &amp; Wspólnicy wspólnie z Wałbrzyską Specjalną Strefą Ekonomiczną INVEST-PARK przygotowało dla Państwa bezpłatne webinarium pn. : </w:t>
      </w:r>
    </w:p>
    <w:p w14:paraId="14999649" w14:textId="77777777" w:rsidR="00BB64A3" w:rsidRPr="00BB64A3" w:rsidRDefault="00BB64A3" w:rsidP="00BB64A3">
      <w:pPr>
        <w:shd w:val="clear" w:color="auto" w:fill="FDFCFB"/>
        <w:textAlignment w:val="baseline"/>
      </w:pPr>
      <w:r w:rsidRPr="00BB64A3">
        <w:rPr>
          <w:b/>
          <w:bCs/>
          <w:sz w:val="24"/>
          <w:szCs w:val="24"/>
          <w:lang w:eastAsia="pl-PL"/>
        </w:rPr>
        <w:t> </w:t>
      </w:r>
    </w:p>
    <w:p w14:paraId="6327327A" w14:textId="77777777" w:rsidR="00BB64A3" w:rsidRPr="00BB64A3" w:rsidRDefault="00BB64A3" w:rsidP="00BB64A3">
      <w:pPr>
        <w:spacing w:before="40" w:after="100" w:line="276" w:lineRule="auto"/>
        <w:jc w:val="center"/>
      </w:pPr>
      <w:r w:rsidRPr="00BB64A3">
        <w:rPr>
          <w:b/>
          <w:bCs/>
          <w:sz w:val="36"/>
          <w:szCs w:val="36"/>
        </w:rPr>
        <w:t>„</w:t>
      </w:r>
      <w:r w:rsidRPr="00BB64A3">
        <w:rPr>
          <w:b/>
          <w:bCs/>
          <w:sz w:val="32"/>
          <w:szCs w:val="32"/>
        </w:rPr>
        <w:t>Efektywne rozliczenie uzyskanego zwolnienia – korzystanie z zezwolenia strefowego / decyzji o wsparciu w praktyce”</w:t>
      </w:r>
    </w:p>
    <w:p w14:paraId="71C868DB" w14:textId="77777777" w:rsidR="00BB64A3" w:rsidRPr="00BB64A3" w:rsidRDefault="00BB64A3" w:rsidP="00BB64A3">
      <w:pPr>
        <w:shd w:val="clear" w:color="auto" w:fill="FDFCFB"/>
        <w:jc w:val="both"/>
        <w:textAlignment w:val="baseline"/>
      </w:pPr>
      <w:r w:rsidRPr="00BB64A3">
        <w:rPr>
          <w:lang w:eastAsia="pl-PL"/>
        </w:rPr>
        <w:t> </w:t>
      </w:r>
    </w:p>
    <w:p w14:paraId="306B8109" w14:textId="77777777" w:rsidR="00BB64A3" w:rsidRPr="00BB64A3" w:rsidRDefault="00BB64A3" w:rsidP="00BB64A3">
      <w:pPr>
        <w:shd w:val="clear" w:color="auto" w:fill="FDFCFB"/>
        <w:jc w:val="both"/>
        <w:textAlignment w:val="baseline"/>
      </w:pPr>
      <w:r w:rsidRPr="00BB64A3">
        <w:rPr>
          <w:lang w:eastAsia="pl-PL"/>
        </w:rPr>
        <w:t xml:space="preserve">które odbędzie się </w:t>
      </w:r>
      <w:r w:rsidRPr="00BB64A3">
        <w:rPr>
          <w:b/>
          <w:bCs/>
          <w:highlight w:val="yellow"/>
          <w:lang w:eastAsia="pl-PL"/>
        </w:rPr>
        <w:t>25 lutego 2022 r. w godzinach 10:00 - 12:00.</w:t>
      </w:r>
    </w:p>
    <w:p w14:paraId="27420A44" w14:textId="77777777" w:rsidR="00BB64A3" w:rsidRPr="00BB64A3" w:rsidRDefault="00BB64A3" w:rsidP="00BB64A3">
      <w:pPr>
        <w:shd w:val="clear" w:color="auto" w:fill="FDFCFB"/>
        <w:jc w:val="both"/>
        <w:textAlignment w:val="baseline"/>
      </w:pPr>
      <w:r w:rsidRPr="00BB64A3">
        <w:rPr>
          <w:lang w:eastAsia="pl-PL"/>
        </w:rPr>
        <w:t> </w:t>
      </w:r>
    </w:p>
    <w:p w14:paraId="2B909DEF" w14:textId="77777777" w:rsidR="00BB64A3" w:rsidRPr="00BB64A3" w:rsidRDefault="00BB64A3" w:rsidP="00BB64A3">
      <w:pPr>
        <w:shd w:val="clear" w:color="auto" w:fill="FDFCFB"/>
        <w:jc w:val="both"/>
        <w:textAlignment w:val="baseline"/>
      </w:pPr>
      <w:r w:rsidRPr="00BB64A3">
        <w:rPr>
          <w:b/>
          <w:bCs/>
          <w:lang w:eastAsia="pl-PL"/>
        </w:rPr>
        <w:t> </w:t>
      </w:r>
    </w:p>
    <w:p w14:paraId="66079B62" w14:textId="77777777" w:rsidR="00BB64A3" w:rsidRPr="00BB64A3" w:rsidRDefault="00BB64A3" w:rsidP="00BB64A3">
      <w:pPr>
        <w:shd w:val="clear" w:color="auto" w:fill="FDFCFB"/>
        <w:jc w:val="both"/>
        <w:textAlignment w:val="baseline"/>
      </w:pPr>
      <w:r w:rsidRPr="00BB64A3">
        <w:rPr>
          <w:b/>
          <w:bCs/>
          <w:lang w:eastAsia="pl-PL"/>
        </w:rPr>
        <w:t>Agenda spotkania</w:t>
      </w:r>
      <w:r w:rsidRPr="00BB64A3">
        <w:rPr>
          <w:lang w:eastAsia="pl-PL"/>
        </w:rPr>
        <w:t>:</w:t>
      </w:r>
    </w:p>
    <w:p w14:paraId="4CE0FC55" w14:textId="77777777" w:rsidR="00BB64A3" w:rsidRPr="00BB64A3" w:rsidRDefault="00BB64A3" w:rsidP="00BB64A3">
      <w:pPr>
        <w:shd w:val="clear" w:color="auto" w:fill="FDFCFB"/>
        <w:jc w:val="both"/>
        <w:textAlignment w:val="baseline"/>
      </w:pPr>
      <w:r w:rsidRPr="00BB64A3">
        <w:rPr>
          <w:lang w:eastAsia="pl-PL"/>
        </w:rPr>
        <w:t> </w:t>
      </w:r>
    </w:p>
    <w:p w14:paraId="6E3D1AC6" w14:textId="77777777" w:rsidR="00BB64A3" w:rsidRPr="00BB64A3" w:rsidRDefault="00BB64A3" w:rsidP="00BB64A3">
      <w:pPr>
        <w:shd w:val="clear" w:color="auto" w:fill="FDFCFB"/>
        <w:ind w:left="705" w:hanging="705"/>
        <w:jc w:val="both"/>
        <w:textAlignment w:val="baseline"/>
      </w:pPr>
      <w:r w:rsidRPr="00BB64A3">
        <w:rPr>
          <w:lang w:eastAsia="pl-PL"/>
        </w:rPr>
        <w:t xml:space="preserve">1.            Ustalanie podstawy opodatkowania – w tym m.in. zasady podziału przychodów i kosztów na działalność zwolnioną i podatkowaną, zasady alokacji kosztów wspólnych </w:t>
      </w:r>
    </w:p>
    <w:p w14:paraId="39390C3A" w14:textId="77777777" w:rsidR="00BB64A3" w:rsidRPr="00BB64A3" w:rsidRDefault="00BB64A3" w:rsidP="00BB64A3">
      <w:pPr>
        <w:shd w:val="clear" w:color="auto" w:fill="FDFCFB"/>
        <w:jc w:val="both"/>
        <w:textAlignment w:val="baseline"/>
      </w:pPr>
      <w:r w:rsidRPr="00BB64A3">
        <w:rPr>
          <w:lang w:eastAsia="pl-PL"/>
        </w:rPr>
        <w:t>2.            Wydzielenie działalności strefowej, działalność pomocnicza, podejście projektowe</w:t>
      </w:r>
    </w:p>
    <w:p w14:paraId="5C96CEEE" w14:textId="77777777" w:rsidR="00BB64A3" w:rsidRPr="00BB64A3" w:rsidRDefault="00BB64A3" w:rsidP="00BB64A3">
      <w:pPr>
        <w:shd w:val="clear" w:color="auto" w:fill="FDFCFB"/>
        <w:jc w:val="both"/>
        <w:textAlignment w:val="baseline"/>
      </w:pPr>
      <w:r w:rsidRPr="00BB64A3">
        <w:rPr>
          <w:lang w:eastAsia="pl-PL"/>
        </w:rPr>
        <w:t xml:space="preserve">3.            Ewidencja kosztów i przychodów spółki posiadającej Zezwolenie / </w:t>
      </w:r>
      <w:proofErr w:type="spellStart"/>
      <w:r w:rsidRPr="00BB64A3">
        <w:rPr>
          <w:lang w:eastAsia="pl-PL"/>
        </w:rPr>
        <w:t>DoW</w:t>
      </w:r>
      <w:proofErr w:type="spellEnd"/>
      <w:r w:rsidRPr="00BB64A3">
        <w:rPr>
          <w:lang w:eastAsia="pl-PL"/>
        </w:rPr>
        <w:t xml:space="preserve"> </w:t>
      </w:r>
    </w:p>
    <w:p w14:paraId="208D73B4" w14:textId="77777777" w:rsidR="00BB64A3" w:rsidRPr="00BB64A3" w:rsidRDefault="00BB64A3" w:rsidP="00BB64A3">
      <w:pPr>
        <w:shd w:val="clear" w:color="auto" w:fill="FDFCFB"/>
        <w:jc w:val="both"/>
        <w:textAlignment w:val="baseline"/>
      </w:pPr>
      <w:r w:rsidRPr="00BB64A3">
        <w:rPr>
          <w:lang w:eastAsia="pl-PL"/>
        </w:rPr>
        <w:t>4.            Koszty kwalifikowane, czyli jakie?</w:t>
      </w:r>
    </w:p>
    <w:p w14:paraId="6D9C81CD" w14:textId="77777777" w:rsidR="00BB64A3" w:rsidRPr="00BB64A3" w:rsidRDefault="00BB64A3" w:rsidP="00BB64A3">
      <w:pPr>
        <w:shd w:val="clear" w:color="auto" w:fill="FDFCFB"/>
        <w:ind w:left="705" w:hanging="705"/>
        <w:jc w:val="both"/>
        <w:textAlignment w:val="baseline"/>
      </w:pPr>
      <w:r w:rsidRPr="00BB64A3">
        <w:rPr>
          <w:lang w:eastAsia="pl-PL"/>
        </w:rPr>
        <w:t xml:space="preserve">5.            Zasady kalkulacji limitu pomocy publicznej – </w:t>
      </w:r>
      <w:proofErr w:type="spellStart"/>
      <w:r w:rsidRPr="00BB64A3">
        <w:rPr>
          <w:lang w:eastAsia="pl-PL"/>
        </w:rPr>
        <w:t>case</w:t>
      </w:r>
      <w:proofErr w:type="spellEnd"/>
      <w:r w:rsidRPr="00BB64A3">
        <w:rPr>
          <w:lang w:eastAsia="pl-PL"/>
        </w:rPr>
        <w:t xml:space="preserve"> </w:t>
      </w:r>
      <w:proofErr w:type="spellStart"/>
      <w:r w:rsidRPr="00BB64A3">
        <w:rPr>
          <w:lang w:eastAsia="pl-PL"/>
        </w:rPr>
        <w:t>study</w:t>
      </w:r>
      <w:proofErr w:type="spellEnd"/>
      <w:r w:rsidRPr="00BB64A3">
        <w:rPr>
          <w:lang w:eastAsia="pl-PL"/>
        </w:rPr>
        <w:t xml:space="preserve"> (w tym m.in. dyskontowanie, łączenie limitów, kumulowanie pomocy z różnych źródeł)</w:t>
      </w:r>
    </w:p>
    <w:p w14:paraId="282C8544" w14:textId="77777777" w:rsidR="00BB64A3" w:rsidRPr="00BB64A3" w:rsidRDefault="00BB64A3" w:rsidP="00BB64A3">
      <w:pPr>
        <w:shd w:val="clear" w:color="auto" w:fill="FDFCFB"/>
        <w:ind w:left="705" w:hanging="705"/>
        <w:jc w:val="both"/>
        <w:textAlignment w:val="baseline"/>
      </w:pPr>
      <w:r w:rsidRPr="00BB64A3">
        <w:rPr>
          <w:lang w:eastAsia="pl-PL"/>
        </w:rPr>
        <w:t xml:space="preserve">6.            Praktyczne aspekty korzystania z ulgi podatkowej w oparciu o </w:t>
      </w:r>
      <w:proofErr w:type="spellStart"/>
      <w:r w:rsidRPr="00BB64A3">
        <w:rPr>
          <w:lang w:eastAsia="pl-PL"/>
        </w:rPr>
        <w:t>DoW</w:t>
      </w:r>
      <w:proofErr w:type="spellEnd"/>
      <w:r w:rsidRPr="00BB64A3">
        <w:rPr>
          <w:lang w:eastAsia="pl-PL"/>
        </w:rPr>
        <w:t xml:space="preserve"> – CIT i PIT (w tym m.in. moment zwolnienia, rozliczanie zaliczek, operowanie stawkami amortyzacyjnymi, „minimalny CIT” a działalność zwolniona)</w:t>
      </w:r>
    </w:p>
    <w:p w14:paraId="4F015BD7" w14:textId="77777777" w:rsidR="00BB64A3" w:rsidRPr="00BB64A3" w:rsidRDefault="00BB64A3" w:rsidP="00BB64A3">
      <w:pPr>
        <w:shd w:val="clear" w:color="auto" w:fill="FDFCFB"/>
        <w:jc w:val="both"/>
        <w:textAlignment w:val="baseline"/>
      </w:pPr>
      <w:r w:rsidRPr="00BB64A3">
        <w:rPr>
          <w:lang w:eastAsia="pl-PL"/>
        </w:rPr>
        <w:t>7.            Obowiązki sprawozdawcze związane z korzystaniem z ulgi podatkowej:</w:t>
      </w:r>
    </w:p>
    <w:p w14:paraId="022D34A8" w14:textId="77777777" w:rsidR="00BB64A3" w:rsidRPr="00BB64A3" w:rsidRDefault="00BB64A3" w:rsidP="00BB64A3">
      <w:pPr>
        <w:shd w:val="clear" w:color="auto" w:fill="FDFCFB"/>
        <w:jc w:val="both"/>
        <w:textAlignment w:val="baseline"/>
      </w:pPr>
      <w:r w:rsidRPr="00BB64A3">
        <w:rPr>
          <w:lang w:eastAsia="pl-PL"/>
        </w:rPr>
        <w:t>-              Formularze podatkowe (CIT, PIT)</w:t>
      </w:r>
    </w:p>
    <w:p w14:paraId="1B49B393" w14:textId="77777777" w:rsidR="00BB64A3" w:rsidRPr="00BB64A3" w:rsidRDefault="00BB64A3" w:rsidP="00BB64A3">
      <w:pPr>
        <w:shd w:val="clear" w:color="auto" w:fill="FDFCFB"/>
        <w:jc w:val="both"/>
        <w:textAlignment w:val="baseline"/>
      </w:pPr>
      <w:r w:rsidRPr="00BB64A3">
        <w:rPr>
          <w:lang w:eastAsia="pl-PL"/>
        </w:rPr>
        <w:t>-              Obowiązek zgłaszania schematów podatkowych (MDR)</w:t>
      </w:r>
    </w:p>
    <w:p w14:paraId="757ADE20" w14:textId="77777777" w:rsidR="00BB64A3" w:rsidRPr="00BB64A3" w:rsidRDefault="00BB64A3" w:rsidP="00BB64A3">
      <w:pPr>
        <w:shd w:val="clear" w:color="auto" w:fill="FDFCFB"/>
        <w:jc w:val="both"/>
        <w:textAlignment w:val="baseline"/>
      </w:pPr>
      <w:r w:rsidRPr="00BB64A3">
        <w:rPr>
          <w:lang w:eastAsia="pl-PL"/>
        </w:rPr>
        <w:t>8.            Sesja Q&amp;A</w:t>
      </w:r>
    </w:p>
    <w:p w14:paraId="05A86CA9" w14:textId="77777777" w:rsidR="00BB64A3" w:rsidRPr="00BB64A3" w:rsidRDefault="00BB64A3" w:rsidP="00BB64A3">
      <w:pPr>
        <w:shd w:val="clear" w:color="auto" w:fill="FDFCFB"/>
        <w:jc w:val="both"/>
        <w:textAlignment w:val="baseline"/>
      </w:pPr>
      <w:r w:rsidRPr="00BB64A3">
        <w:rPr>
          <w:b/>
          <w:bCs/>
          <w:lang w:eastAsia="pl-PL"/>
        </w:rPr>
        <w:t> </w:t>
      </w:r>
    </w:p>
    <w:p w14:paraId="0F255929" w14:textId="77777777" w:rsidR="00BB64A3" w:rsidRPr="00BB64A3" w:rsidRDefault="00BB64A3" w:rsidP="00BB64A3">
      <w:pPr>
        <w:shd w:val="clear" w:color="auto" w:fill="FDFCFB"/>
      </w:pPr>
      <w:r w:rsidRPr="00BB64A3">
        <w:rPr>
          <w:b/>
          <w:bCs/>
          <w:sz w:val="24"/>
          <w:szCs w:val="24"/>
          <w:lang w:eastAsia="pl-PL"/>
        </w:rPr>
        <w:t>LINK DO REJESTRACJI:</w:t>
      </w:r>
      <w:r w:rsidRPr="00BB64A3">
        <w:t xml:space="preserve"> </w:t>
      </w:r>
      <w:hyperlink r:id="rId5" w:history="1">
        <w:r w:rsidRPr="00BB64A3">
          <w:rPr>
            <w:rStyle w:val="Hipercze"/>
            <w:color w:val="auto"/>
          </w:rPr>
          <w:t>https://wsseinvestpark.clickmeeting.com/efektywne-rozliczenie-uzyskanego-zwolnienia-korzystanie-z-zezwolenia-strefowego-dow-w-praktyce/register?_ga=2.85142105.1127518602.1644822654-1816579327.1585910442&amp;_gac=1.60276447.1644580443.Cj0KCQiAr5iQBhCsARIsAPcwROPxXfD2EV9rgmQKUfQyHUgEBC0Dv_RTW10FGas20G9SGTowF_ORRLoaAus5EALw_wcB</w:t>
        </w:r>
      </w:hyperlink>
    </w:p>
    <w:p w14:paraId="392A05C1" w14:textId="406C0D2E" w:rsidR="00C325C2" w:rsidRPr="00BB64A3" w:rsidRDefault="00C325C2" w:rsidP="00C325C2">
      <w:pPr>
        <w:rPr>
          <w:rFonts w:cs="Arial"/>
        </w:rPr>
      </w:pPr>
    </w:p>
    <w:sectPr w:rsidR="00C325C2" w:rsidRPr="00BB64A3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EC63E2"/>
    <w:multiLevelType w:val="hybridMultilevel"/>
    <w:tmpl w:val="56E4DA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4E5"/>
    <w:rsid w:val="001B4D6A"/>
    <w:rsid w:val="002674E5"/>
    <w:rsid w:val="00305F62"/>
    <w:rsid w:val="00336F31"/>
    <w:rsid w:val="00360D57"/>
    <w:rsid w:val="00464807"/>
    <w:rsid w:val="00503595"/>
    <w:rsid w:val="00511C3D"/>
    <w:rsid w:val="0054317D"/>
    <w:rsid w:val="00623465"/>
    <w:rsid w:val="009B3A35"/>
    <w:rsid w:val="00A807ED"/>
    <w:rsid w:val="00A850EE"/>
    <w:rsid w:val="00BB64A3"/>
    <w:rsid w:val="00C325C2"/>
    <w:rsid w:val="00C32ED7"/>
    <w:rsid w:val="00CE7501"/>
    <w:rsid w:val="00D24907"/>
    <w:rsid w:val="00E21885"/>
    <w:rsid w:val="00E72B07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449B9"/>
  <w15:chartTrackingRefBased/>
  <w15:docId w15:val="{F262BD76-226C-4D45-B359-334928656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64A3"/>
    <w:pPr>
      <w:jc w:val="left"/>
    </w:pPr>
    <w:rPr>
      <w:rFonts w:ascii="Calibri" w:hAnsi="Calibri" w:cs="Calibri"/>
      <w:sz w:val="22"/>
    </w:rPr>
  </w:style>
  <w:style w:type="paragraph" w:styleId="Nagwek1">
    <w:name w:val="heading 1"/>
    <w:basedOn w:val="Normalny"/>
    <w:link w:val="Nagwek1Znak"/>
    <w:uiPriority w:val="9"/>
    <w:qFormat/>
    <w:rsid w:val="00A850EE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32ED7"/>
    <w:rPr>
      <w:color w:val="0563C1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32ED7"/>
    <w:rPr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32ED7"/>
    <w:rPr>
      <w:rFonts w:ascii="Calibri" w:hAnsi="Calibri"/>
      <w:sz w:val="22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A850EE"/>
    <w:rPr>
      <w:rFonts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50E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50E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A850EE"/>
  </w:style>
  <w:style w:type="character" w:styleId="Pogrubienie">
    <w:name w:val="Strong"/>
    <w:basedOn w:val="Domylnaczcionkaakapitu"/>
    <w:uiPriority w:val="22"/>
    <w:qFormat/>
    <w:rsid w:val="00E218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efektywne-rozliczenie-uzyskanego-zwolnienia-korzystanie-z-zezwolenia-strefowego-dow-w-praktyce/register?_ga=2.85142105.1127518602.1644822654-1816579327.1585910442&amp;_gac=1.60276447.1644580443.Cj0KCQiAr5iQBhCsARIsAPcwROPxXfD2EV9rgmQKUfQyHUgEBC0Dv_RTW10FGas20G9SGTowF_ORRLoaAus5EALw_wc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2022-02-22T10:49:00Z</dcterms:created>
  <dcterms:modified xsi:type="dcterms:W3CDTF">2022-02-22T10:49:00Z</dcterms:modified>
</cp:coreProperties>
</file>