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07CBD9" w14:textId="77777777" w:rsidR="00EA0DCD" w:rsidRPr="00EA0DCD" w:rsidRDefault="00EA0DCD" w:rsidP="00EA0DCD">
      <w:pPr>
        <w:shd w:val="clear" w:color="auto" w:fill="FDFCFB"/>
        <w:textAlignment w:val="baseline"/>
        <w:rPr>
          <w:sz w:val="28"/>
          <w:szCs w:val="28"/>
        </w:rPr>
      </w:pPr>
      <w:r w:rsidRPr="00EA0DCD">
        <w:rPr>
          <w:sz w:val="28"/>
          <w:szCs w:val="28"/>
        </w:rPr>
        <w:t xml:space="preserve">Kancelaria Prawna Łebek &amp; Wspólnicy wspólnie z Wałbrzyską Specjalną Strefą Ekonomiczną INVEST-PARK zaprasza na darmowe webinarium pn. : </w:t>
      </w:r>
    </w:p>
    <w:p w14:paraId="142412A9" w14:textId="77777777" w:rsidR="00EA0DCD" w:rsidRPr="00EA0DCD" w:rsidRDefault="00EA0DCD" w:rsidP="00EA0DCD">
      <w:pPr>
        <w:shd w:val="clear" w:color="auto" w:fill="FDFCFB"/>
        <w:textAlignment w:val="baseline"/>
        <w:rPr>
          <w:sz w:val="28"/>
          <w:szCs w:val="28"/>
        </w:rPr>
      </w:pPr>
    </w:p>
    <w:p w14:paraId="46EC942B" w14:textId="77777777" w:rsidR="00EA0DCD" w:rsidRPr="00EA0DCD" w:rsidRDefault="00EA0DCD" w:rsidP="00EA0DCD">
      <w:pPr>
        <w:spacing w:before="40" w:after="100" w:line="276" w:lineRule="auto"/>
        <w:jc w:val="center"/>
        <w:rPr>
          <w:b/>
          <w:bCs/>
          <w:sz w:val="28"/>
          <w:szCs w:val="28"/>
        </w:rPr>
      </w:pPr>
      <w:r w:rsidRPr="00EA0DCD">
        <w:rPr>
          <w:b/>
          <w:bCs/>
          <w:sz w:val="28"/>
          <w:szCs w:val="28"/>
        </w:rPr>
        <w:t xml:space="preserve">„ </w:t>
      </w:r>
      <w:proofErr w:type="spellStart"/>
      <w:r w:rsidRPr="00EA0DCD">
        <w:rPr>
          <w:b/>
          <w:bCs/>
          <w:sz w:val="28"/>
          <w:szCs w:val="28"/>
        </w:rPr>
        <w:t>Mobbing</w:t>
      </w:r>
      <w:proofErr w:type="spellEnd"/>
      <w:r w:rsidRPr="00EA0DCD">
        <w:rPr>
          <w:b/>
          <w:bCs/>
          <w:sz w:val="28"/>
          <w:szCs w:val="28"/>
        </w:rPr>
        <w:t xml:space="preserve"> w latach XXI wieku, nowe i stare zagrożenia dla pracowników i pracodawców”</w:t>
      </w:r>
    </w:p>
    <w:p w14:paraId="7CFD06FD" w14:textId="77777777" w:rsidR="00EA0DCD" w:rsidRPr="00EA0DCD" w:rsidRDefault="00EA0DCD" w:rsidP="00EA0DCD">
      <w:pPr>
        <w:shd w:val="clear" w:color="auto" w:fill="FDFCFB"/>
        <w:jc w:val="both"/>
        <w:textAlignment w:val="baseline"/>
        <w:rPr>
          <w:sz w:val="28"/>
          <w:szCs w:val="28"/>
          <w:lang w:eastAsia="pl-PL"/>
        </w:rPr>
      </w:pPr>
    </w:p>
    <w:p w14:paraId="12022228" w14:textId="77777777" w:rsidR="00EA0DCD" w:rsidRPr="00EA0DCD" w:rsidRDefault="00EA0DCD" w:rsidP="00EA0DCD">
      <w:pPr>
        <w:shd w:val="clear" w:color="auto" w:fill="FDFCFB"/>
        <w:jc w:val="both"/>
        <w:textAlignment w:val="baseline"/>
        <w:rPr>
          <w:b/>
          <w:bCs/>
          <w:sz w:val="28"/>
          <w:szCs w:val="28"/>
          <w:lang w:eastAsia="pl-PL"/>
        </w:rPr>
      </w:pPr>
      <w:r w:rsidRPr="00EA0DCD">
        <w:rPr>
          <w:sz w:val="28"/>
          <w:szCs w:val="28"/>
          <w:lang w:eastAsia="pl-PL"/>
        </w:rPr>
        <w:t xml:space="preserve">które odbędzie się </w:t>
      </w:r>
      <w:r w:rsidRPr="00EA0DCD">
        <w:rPr>
          <w:b/>
          <w:bCs/>
          <w:sz w:val="28"/>
          <w:szCs w:val="28"/>
          <w:highlight w:val="yellow"/>
          <w:lang w:eastAsia="pl-PL"/>
        </w:rPr>
        <w:t>3 marca 2022 r. w godzinach 10:00 - 12:00.</w:t>
      </w:r>
    </w:p>
    <w:p w14:paraId="76E510F3" w14:textId="77777777" w:rsidR="00EA0DCD" w:rsidRPr="00EA0DCD" w:rsidRDefault="00EA0DCD" w:rsidP="00EA0DCD">
      <w:pPr>
        <w:shd w:val="clear" w:color="auto" w:fill="FDFCFB"/>
        <w:jc w:val="both"/>
        <w:textAlignment w:val="baseline"/>
        <w:rPr>
          <w:sz w:val="28"/>
          <w:szCs w:val="28"/>
          <w:lang w:eastAsia="pl-PL"/>
        </w:rPr>
      </w:pPr>
    </w:p>
    <w:p w14:paraId="4CC831DD" w14:textId="77777777" w:rsidR="00EA0DCD" w:rsidRPr="00EA0DCD" w:rsidRDefault="00EA0DCD" w:rsidP="00EA0DCD">
      <w:pPr>
        <w:shd w:val="clear" w:color="auto" w:fill="FDFCFB"/>
        <w:jc w:val="both"/>
        <w:textAlignment w:val="baseline"/>
        <w:rPr>
          <w:b/>
          <w:bCs/>
          <w:sz w:val="28"/>
          <w:szCs w:val="28"/>
          <w:lang w:eastAsia="pl-PL"/>
        </w:rPr>
      </w:pPr>
    </w:p>
    <w:p w14:paraId="372DC13B" w14:textId="77777777" w:rsidR="00EA0DCD" w:rsidRPr="00EA0DCD" w:rsidRDefault="00EA0DCD" w:rsidP="00EA0DCD">
      <w:pPr>
        <w:shd w:val="clear" w:color="auto" w:fill="FDFCFB"/>
        <w:jc w:val="both"/>
        <w:textAlignment w:val="baseline"/>
        <w:rPr>
          <w:sz w:val="28"/>
          <w:szCs w:val="28"/>
          <w:lang w:eastAsia="pl-PL"/>
        </w:rPr>
      </w:pPr>
      <w:r w:rsidRPr="00EA0DCD">
        <w:rPr>
          <w:b/>
          <w:bCs/>
          <w:sz w:val="28"/>
          <w:szCs w:val="28"/>
          <w:lang w:eastAsia="pl-PL"/>
        </w:rPr>
        <w:t>Agenda</w:t>
      </w:r>
      <w:r w:rsidRPr="00EA0DCD">
        <w:rPr>
          <w:sz w:val="28"/>
          <w:szCs w:val="28"/>
          <w:lang w:eastAsia="pl-PL"/>
        </w:rPr>
        <w:t>:</w:t>
      </w:r>
    </w:p>
    <w:p w14:paraId="715AB505" w14:textId="77777777" w:rsidR="00EA0DCD" w:rsidRPr="00EA0DCD" w:rsidRDefault="00EA0DCD" w:rsidP="00EA0DCD">
      <w:pPr>
        <w:pStyle w:val="Akapitzlist"/>
        <w:numPr>
          <w:ilvl w:val="0"/>
          <w:numId w:val="2"/>
        </w:numPr>
        <w:shd w:val="clear" w:color="auto" w:fill="FDFCFB"/>
        <w:spacing w:before="100" w:beforeAutospacing="1" w:after="100" w:afterAutospacing="1"/>
        <w:contextualSpacing w:val="0"/>
        <w:jc w:val="both"/>
        <w:textAlignment w:val="baseline"/>
        <w:rPr>
          <w:rFonts w:eastAsia="Times New Roman"/>
          <w:sz w:val="28"/>
          <w:szCs w:val="28"/>
          <w:lang w:eastAsia="pl-PL"/>
        </w:rPr>
      </w:pPr>
      <w:r w:rsidRPr="00EA0DCD">
        <w:rPr>
          <w:rFonts w:eastAsia="Times New Roman"/>
          <w:sz w:val="28"/>
          <w:szCs w:val="28"/>
        </w:rPr>
        <w:t xml:space="preserve">Wprowadzenie </w:t>
      </w:r>
    </w:p>
    <w:p w14:paraId="3FDF70AF" w14:textId="77777777" w:rsidR="00EA0DCD" w:rsidRPr="00EA0DCD" w:rsidRDefault="00EA0DCD" w:rsidP="00EA0DCD">
      <w:pPr>
        <w:pStyle w:val="Akapitzlist"/>
        <w:numPr>
          <w:ilvl w:val="0"/>
          <w:numId w:val="2"/>
        </w:numPr>
        <w:shd w:val="clear" w:color="auto" w:fill="FDFCFB"/>
        <w:spacing w:before="100" w:beforeAutospacing="1" w:after="100" w:afterAutospacing="1"/>
        <w:contextualSpacing w:val="0"/>
        <w:jc w:val="both"/>
        <w:textAlignment w:val="baseline"/>
        <w:rPr>
          <w:rFonts w:eastAsia="Times New Roman"/>
          <w:sz w:val="28"/>
          <w:szCs w:val="28"/>
        </w:rPr>
      </w:pPr>
      <w:proofErr w:type="spellStart"/>
      <w:r w:rsidRPr="00EA0DCD">
        <w:rPr>
          <w:rFonts w:eastAsia="Times New Roman"/>
          <w:sz w:val="28"/>
          <w:szCs w:val="28"/>
        </w:rPr>
        <w:t>Mobbing</w:t>
      </w:r>
      <w:proofErr w:type="spellEnd"/>
      <w:r w:rsidRPr="00EA0DCD">
        <w:rPr>
          <w:rFonts w:eastAsia="Times New Roman"/>
          <w:sz w:val="28"/>
          <w:szCs w:val="28"/>
        </w:rPr>
        <w:t xml:space="preserve"> - charakterystyka zjawiska</w:t>
      </w:r>
    </w:p>
    <w:p w14:paraId="79F2CAC1" w14:textId="77777777" w:rsidR="00EA0DCD" w:rsidRPr="00EA0DCD" w:rsidRDefault="00EA0DCD" w:rsidP="00EA0DCD">
      <w:pPr>
        <w:pStyle w:val="Akapitzlist"/>
        <w:numPr>
          <w:ilvl w:val="0"/>
          <w:numId w:val="3"/>
        </w:numPr>
        <w:shd w:val="clear" w:color="auto" w:fill="FDFCFB"/>
        <w:spacing w:before="100" w:beforeAutospacing="1" w:after="100" w:afterAutospacing="1"/>
        <w:jc w:val="both"/>
        <w:textAlignment w:val="baseline"/>
        <w:rPr>
          <w:rFonts w:eastAsia="Times New Roman"/>
          <w:sz w:val="28"/>
          <w:szCs w:val="28"/>
        </w:rPr>
      </w:pPr>
      <w:r w:rsidRPr="00EA0DCD">
        <w:rPr>
          <w:rFonts w:eastAsia="Times New Roman"/>
          <w:sz w:val="28"/>
          <w:szCs w:val="28"/>
        </w:rPr>
        <w:t xml:space="preserve">Co to jest </w:t>
      </w:r>
      <w:proofErr w:type="spellStart"/>
      <w:r w:rsidRPr="00EA0DCD">
        <w:rPr>
          <w:rFonts w:eastAsia="Times New Roman"/>
          <w:sz w:val="28"/>
          <w:szCs w:val="28"/>
        </w:rPr>
        <w:t>mobbing</w:t>
      </w:r>
      <w:proofErr w:type="spellEnd"/>
      <w:r w:rsidRPr="00EA0DCD">
        <w:rPr>
          <w:rFonts w:eastAsia="Times New Roman"/>
          <w:sz w:val="28"/>
          <w:szCs w:val="28"/>
        </w:rPr>
        <w:t>?</w:t>
      </w:r>
    </w:p>
    <w:p w14:paraId="72593E81" w14:textId="77777777" w:rsidR="00EA0DCD" w:rsidRPr="00EA0DCD" w:rsidRDefault="00EA0DCD" w:rsidP="00EA0DCD">
      <w:pPr>
        <w:pStyle w:val="Akapitzlist"/>
        <w:numPr>
          <w:ilvl w:val="0"/>
          <w:numId w:val="3"/>
        </w:numPr>
        <w:shd w:val="clear" w:color="auto" w:fill="FDFCFB"/>
        <w:spacing w:before="100" w:beforeAutospacing="1" w:after="100" w:afterAutospacing="1"/>
        <w:jc w:val="both"/>
        <w:textAlignment w:val="baseline"/>
        <w:rPr>
          <w:rFonts w:eastAsia="Times New Roman"/>
          <w:sz w:val="28"/>
          <w:szCs w:val="28"/>
        </w:rPr>
      </w:pPr>
      <w:r w:rsidRPr="00EA0DCD">
        <w:rPr>
          <w:rFonts w:eastAsia="Times New Roman"/>
          <w:sz w:val="28"/>
          <w:szCs w:val="28"/>
        </w:rPr>
        <w:t xml:space="preserve">Przykładowe zachowania uznawane powszechnie za </w:t>
      </w:r>
      <w:proofErr w:type="spellStart"/>
      <w:r w:rsidRPr="00EA0DCD">
        <w:rPr>
          <w:rFonts w:eastAsia="Times New Roman"/>
          <w:sz w:val="28"/>
          <w:szCs w:val="28"/>
        </w:rPr>
        <w:t>mobbing</w:t>
      </w:r>
      <w:proofErr w:type="spellEnd"/>
    </w:p>
    <w:p w14:paraId="64BFC662" w14:textId="77777777" w:rsidR="00EA0DCD" w:rsidRPr="00EA0DCD" w:rsidRDefault="00EA0DCD" w:rsidP="00EA0DCD">
      <w:pPr>
        <w:pStyle w:val="Akapitzlist"/>
        <w:numPr>
          <w:ilvl w:val="0"/>
          <w:numId w:val="3"/>
        </w:numPr>
        <w:shd w:val="clear" w:color="auto" w:fill="FDFCFB"/>
        <w:spacing w:before="100" w:beforeAutospacing="1" w:after="100" w:afterAutospacing="1"/>
        <w:jc w:val="both"/>
        <w:textAlignment w:val="baseline"/>
        <w:rPr>
          <w:rFonts w:eastAsia="Times New Roman"/>
          <w:sz w:val="28"/>
          <w:szCs w:val="28"/>
        </w:rPr>
      </w:pPr>
      <w:r w:rsidRPr="00EA0DCD">
        <w:rPr>
          <w:rFonts w:eastAsia="Times New Roman"/>
          <w:sz w:val="28"/>
          <w:szCs w:val="28"/>
        </w:rPr>
        <w:t xml:space="preserve">Warunki ważne do zakwalifikowania zachowania jako </w:t>
      </w:r>
      <w:proofErr w:type="spellStart"/>
      <w:r w:rsidRPr="00EA0DCD">
        <w:rPr>
          <w:rFonts w:eastAsia="Times New Roman"/>
          <w:sz w:val="28"/>
          <w:szCs w:val="28"/>
        </w:rPr>
        <w:t>mobbingu</w:t>
      </w:r>
      <w:proofErr w:type="spellEnd"/>
    </w:p>
    <w:p w14:paraId="2C2A909E" w14:textId="77777777" w:rsidR="00EA0DCD" w:rsidRPr="00EA0DCD" w:rsidRDefault="00EA0DCD" w:rsidP="00EA0DCD">
      <w:pPr>
        <w:pStyle w:val="Akapitzlist"/>
        <w:shd w:val="clear" w:color="auto" w:fill="FDFCFB"/>
        <w:ind w:left="1440"/>
        <w:jc w:val="both"/>
        <w:textAlignment w:val="baseline"/>
        <w:rPr>
          <w:sz w:val="28"/>
          <w:szCs w:val="28"/>
        </w:rPr>
      </w:pPr>
    </w:p>
    <w:p w14:paraId="77FAD044" w14:textId="77777777" w:rsidR="00EA0DCD" w:rsidRPr="00EA0DCD" w:rsidRDefault="00EA0DCD" w:rsidP="00EA0DCD">
      <w:pPr>
        <w:pStyle w:val="Akapitzlist"/>
        <w:numPr>
          <w:ilvl w:val="0"/>
          <w:numId w:val="2"/>
        </w:numPr>
        <w:shd w:val="clear" w:color="auto" w:fill="FDFCFB"/>
        <w:spacing w:before="100" w:beforeAutospacing="1" w:after="100" w:afterAutospacing="1"/>
        <w:contextualSpacing w:val="0"/>
        <w:jc w:val="both"/>
        <w:textAlignment w:val="baseline"/>
        <w:rPr>
          <w:rFonts w:eastAsia="Times New Roman"/>
          <w:sz w:val="28"/>
          <w:szCs w:val="28"/>
        </w:rPr>
      </w:pPr>
      <w:r w:rsidRPr="00EA0DCD">
        <w:rPr>
          <w:rFonts w:eastAsia="Times New Roman"/>
          <w:sz w:val="28"/>
          <w:szCs w:val="28"/>
        </w:rPr>
        <w:t xml:space="preserve">Płaszczyzny </w:t>
      </w:r>
      <w:proofErr w:type="spellStart"/>
      <w:r w:rsidRPr="00EA0DCD">
        <w:rPr>
          <w:rFonts w:eastAsia="Times New Roman"/>
          <w:sz w:val="28"/>
          <w:szCs w:val="28"/>
        </w:rPr>
        <w:t>mobbingu</w:t>
      </w:r>
      <w:proofErr w:type="spellEnd"/>
      <w:r w:rsidRPr="00EA0DCD">
        <w:rPr>
          <w:rFonts w:eastAsia="Times New Roman"/>
          <w:sz w:val="28"/>
          <w:szCs w:val="28"/>
        </w:rPr>
        <w:t xml:space="preserve"> – kto może stosować </w:t>
      </w:r>
      <w:proofErr w:type="spellStart"/>
      <w:r w:rsidRPr="00EA0DCD">
        <w:rPr>
          <w:rFonts w:eastAsia="Times New Roman"/>
          <w:sz w:val="28"/>
          <w:szCs w:val="28"/>
        </w:rPr>
        <w:t>mobbing</w:t>
      </w:r>
      <w:proofErr w:type="spellEnd"/>
      <w:r w:rsidRPr="00EA0DCD">
        <w:rPr>
          <w:rFonts w:eastAsia="Times New Roman"/>
          <w:sz w:val="28"/>
          <w:szCs w:val="28"/>
        </w:rPr>
        <w:t xml:space="preserve">?. </w:t>
      </w:r>
    </w:p>
    <w:p w14:paraId="6C14BCDB" w14:textId="77777777" w:rsidR="00EA0DCD" w:rsidRPr="00EA0DCD" w:rsidRDefault="00EA0DCD" w:rsidP="00EA0DCD">
      <w:pPr>
        <w:pStyle w:val="Akapitzlist"/>
        <w:numPr>
          <w:ilvl w:val="0"/>
          <w:numId w:val="2"/>
        </w:numPr>
        <w:shd w:val="clear" w:color="auto" w:fill="FDFCFB"/>
        <w:spacing w:before="100" w:beforeAutospacing="1" w:after="100" w:afterAutospacing="1"/>
        <w:contextualSpacing w:val="0"/>
        <w:jc w:val="both"/>
        <w:textAlignment w:val="baseline"/>
        <w:rPr>
          <w:rFonts w:eastAsia="Times New Roman"/>
          <w:sz w:val="28"/>
          <w:szCs w:val="28"/>
        </w:rPr>
      </w:pPr>
      <w:r w:rsidRPr="00EA0DCD">
        <w:rPr>
          <w:rFonts w:eastAsia="Times New Roman"/>
          <w:sz w:val="28"/>
          <w:szCs w:val="28"/>
        </w:rPr>
        <w:t xml:space="preserve">Obowiązki pracodawcy. </w:t>
      </w:r>
    </w:p>
    <w:p w14:paraId="729E1D02" w14:textId="77777777" w:rsidR="00EA0DCD" w:rsidRPr="00EA0DCD" w:rsidRDefault="00EA0DCD" w:rsidP="00EA0DCD">
      <w:pPr>
        <w:pStyle w:val="Akapitzlist"/>
        <w:numPr>
          <w:ilvl w:val="0"/>
          <w:numId w:val="2"/>
        </w:numPr>
        <w:shd w:val="clear" w:color="auto" w:fill="FDFCFB"/>
        <w:spacing w:before="100" w:beforeAutospacing="1" w:after="100" w:afterAutospacing="1"/>
        <w:contextualSpacing w:val="0"/>
        <w:jc w:val="both"/>
        <w:textAlignment w:val="baseline"/>
        <w:rPr>
          <w:rFonts w:eastAsia="Times New Roman"/>
          <w:sz w:val="28"/>
          <w:szCs w:val="28"/>
        </w:rPr>
      </w:pPr>
      <w:r w:rsidRPr="00EA0DCD">
        <w:rPr>
          <w:rFonts w:eastAsia="Times New Roman"/>
          <w:sz w:val="28"/>
          <w:szCs w:val="28"/>
        </w:rPr>
        <w:t xml:space="preserve">Odpowiedzialność za </w:t>
      </w:r>
      <w:proofErr w:type="spellStart"/>
      <w:r w:rsidRPr="00EA0DCD">
        <w:rPr>
          <w:rFonts w:eastAsia="Times New Roman"/>
          <w:sz w:val="28"/>
          <w:szCs w:val="28"/>
        </w:rPr>
        <w:t>mobbing</w:t>
      </w:r>
      <w:proofErr w:type="spellEnd"/>
      <w:r w:rsidRPr="00EA0DCD">
        <w:rPr>
          <w:rFonts w:eastAsia="Times New Roman"/>
          <w:sz w:val="28"/>
          <w:szCs w:val="28"/>
        </w:rPr>
        <w:t xml:space="preserve">. </w:t>
      </w:r>
    </w:p>
    <w:p w14:paraId="36CBD4E1" w14:textId="77777777" w:rsidR="00EA0DCD" w:rsidRPr="00EA0DCD" w:rsidRDefault="00EA0DCD" w:rsidP="00EA0DCD">
      <w:pPr>
        <w:pStyle w:val="Akapitzlist"/>
        <w:numPr>
          <w:ilvl w:val="0"/>
          <w:numId w:val="4"/>
        </w:numPr>
        <w:shd w:val="clear" w:color="auto" w:fill="FDFCFB"/>
        <w:spacing w:before="100" w:beforeAutospacing="1" w:after="100" w:afterAutospacing="1"/>
        <w:jc w:val="both"/>
        <w:textAlignment w:val="baseline"/>
        <w:rPr>
          <w:rFonts w:eastAsia="Times New Roman"/>
          <w:sz w:val="28"/>
          <w:szCs w:val="28"/>
        </w:rPr>
      </w:pPr>
      <w:r w:rsidRPr="00EA0DCD">
        <w:rPr>
          <w:rFonts w:eastAsia="Times New Roman"/>
          <w:sz w:val="28"/>
          <w:szCs w:val="28"/>
        </w:rPr>
        <w:t>Odpowiedzialność cywilna</w:t>
      </w:r>
    </w:p>
    <w:p w14:paraId="44B29F05" w14:textId="77777777" w:rsidR="00EA0DCD" w:rsidRPr="00EA0DCD" w:rsidRDefault="00EA0DCD" w:rsidP="00EA0DCD">
      <w:pPr>
        <w:pStyle w:val="Akapitzlist"/>
        <w:numPr>
          <w:ilvl w:val="0"/>
          <w:numId w:val="4"/>
        </w:numPr>
        <w:shd w:val="clear" w:color="auto" w:fill="FDFCFB"/>
        <w:spacing w:before="100" w:beforeAutospacing="1" w:after="100" w:afterAutospacing="1"/>
        <w:jc w:val="both"/>
        <w:textAlignment w:val="baseline"/>
        <w:rPr>
          <w:rFonts w:eastAsia="Times New Roman"/>
          <w:sz w:val="28"/>
          <w:szCs w:val="28"/>
        </w:rPr>
      </w:pPr>
      <w:r w:rsidRPr="00EA0DCD">
        <w:rPr>
          <w:rFonts w:eastAsia="Times New Roman"/>
          <w:sz w:val="28"/>
          <w:szCs w:val="28"/>
        </w:rPr>
        <w:t>Odpowiedzialność karna</w:t>
      </w:r>
    </w:p>
    <w:p w14:paraId="138B5025" w14:textId="77777777" w:rsidR="00EA0DCD" w:rsidRPr="00EA0DCD" w:rsidRDefault="00EA0DCD" w:rsidP="00EA0DCD">
      <w:pPr>
        <w:pStyle w:val="Akapitzlist"/>
        <w:numPr>
          <w:ilvl w:val="0"/>
          <w:numId w:val="4"/>
        </w:numPr>
        <w:shd w:val="clear" w:color="auto" w:fill="FDFCFB"/>
        <w:spacing w:before="100" w:beforeAutospacing="1" w:after="100" w:afterAutospacing="1"/>
        <w:jc w:val="both"/>
        <w:textAlignment w:val="baseline"/>
        <w:rPr>
          <w:rFonts w:eastAsia="Times New Roman"/>
          <w:sz w:val="28"/>
          <w:szCs w:val="28"/>
        </w:rPr>
      </w:pPr>
      <w:r w:rsidRPr="00EA0DCD">
        <w:rPr>
          <w:rFonts w:eastAsia="Times New Roman"/>
          <w:sz w:val="28"/>
          <w:szCs w:val="28"/>
        </w:rPr>
        <w:t>Zgłoszenie do PIP</w:t>
      </w:r>
    </w:p>
    <w:p w14:paraId="628E604C" w14:textId="77777777" w:rsidR="00EA0DCD" w:rsidRPr="00EA0DCD" w:rsidRDefault="00EA0DCD" w:rsidP="00EA0DCD">
      <w:pPr>
        <w:pStyle w:val="Akapitzlist"/>
        <w:shd w:val="clear" w:color="auto" w:fill="FDFCFB"/>
        <w:ind w:left="1440"/>
        <w:jc w:val="both"/>
        <w:textAlignment w:val="baseline"/>
        <w:rPr>
          <w:sz w:val="28"/>
          <w:szCs w:val="28"/>
        </w:rPr>
      </w:pPr>
    </w:p>
    <w:p w14:paraId="0B11410B" w14:textId="77777777" w:rsidR="00EA0DCD" w:rsidRPr="00EA0DCD" w:rsidRDefault="00EA0DCD" w:rsidP="00EA0DCD">
      <w:pPr>
        <w:pStyle w:val="Akapitzlist"/>
        <w:numPr>
          <w:ilvl w:val="0"/>
          <w:numId w:val="2"/>
        </w:numPr>
        <w:shd w:val="clear" w:color="auto" w:fill="FDFCFB"/>
        <w:spacing w:before="100" w:beforeAutospacing="1" w:after="100" w:afterAutospacing="1"/>
        <w:contextualSpacing w:val="0"/>
        <w:jc w:val="both"/>
        <w:textAlignment w:val="baseline"/>
        <w:rPr>
          <w:rFonts w:eastAsia="Times New Roman"/>
          <w:sz w:val="28"/>
          <w:szCs w:val="28"/>
        </w:rPr>
      </w:pPr>
      <w:r w:rsidRPr="00EA0DCD">
        <w:rPr>
          <w:rFonts w:eastAsia="Times New Roman"/>
          <w:sz w:val="28"/>
          <w:szCs w:val="28"/>
        </w:rPr>
        <w:t xml:space="preserve">Podsumowanie </w:t>
      </w:r>
    </w:p>
    <w:p w14:paraId="78F3FB3A" w14:textId="77777777" w:rsidR="00EA0DCD" w:rsidRPr="00EA0DCD" w:rsidRDefault="00EA0DCD" w:rsidP="00EA0DCD">
      <w:pPr>
        <w:shd w:val="clear" w:color="auto" w:fill="FDFCFB"/>
        <w:rPr>
          <w:sz w:val="24"/>
          <w:szCs w:val="24"/>
        </w:rPr>
      </w:pPr>
      <w:r w:rsidRPr="00EA0DCD">
        <w:rPr>
          <w:b/>
          <w:bCs/>
          <w:sz w:val="28"/>
          <w:szCs w:val="28"/>
          <w:lang w:eastAsia="pl-PL"/>
        </w:rPr>
        <w:t>LINK DO REJESTRACJI:</w:t>
      </w:r>
      <w:r w:rsidRPr="00EA0DCD">
        <w:rPr>
          <w:sz w:val="24"/>
          <w:szCs w:val="24"/>
        </w:rPr>
        <w:t xml:space="preserve"> </w:t>
      </w:r>
      <w:hyperlink r:id="rId5" w:history="1">
        <w:r w:rsidRPr="00EA0DCD">
          <w:rPr>
            <w:rStyle w:val="Hipercze"/>
            <w:sz w:val="24"/>
            <w:szCs w:val="24"/>
          </w:rPr>
          <w:t>https://wsseinvestpark.clickmeeting.com/mobbing-w-latach-xxi-wieku-nowe-i-stare-zagrozenia-dla-pracownikow-i-pracodawcow/register?_ga=2.267510158.184108666.1645426614-1816579327.1585910442&amp;_gac=1.184514900.1644580443.Cj0KCQiAr5iQBhCsARIsAPcwROPxXfD2EV9rgmQKUfQyHUgEBC0Dv_RTW10FGas20G9SGTowF_ORRLoaAus5EALw_wcB</w:t>
        </w:r>
      </w:hyperlink>
    </w:p>
    <w:p w14:paraId="392A05C1" w14:textId="469D9271" w:rsidR="00C325C2" w:rsidRPr="00EA0DCD" w:rsidRDefault="00C325C2" w:rsidP="00EA0DCD">
      <w:pPr>
        <w:rPr>
          <w:sz w:val="28"/>
          <w:szCs w:val="28"/>
        </w:rPr>
      </w:pPr>
    </w:p>
    <w:sectPr w:rsidR="00C325C2" w:rsidRPr="00EA0DCD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80812"/>
    <w:multiLevelType w:val="hybridMultilevel"/>
    <w:tmpl w:val="7CBEEFA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5F77E6F"/>
    <w:multiLevelType w:val="hybridMultilevel"/>
    <w:tmpl w:val="9772977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5342FAE"/>
    <w:multiLevelType w:val="hybridMultilevel"/>
    <w:tmpl w:val="E56E34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EC63E2"/>
    <w:multiLevelType w:val="hybridMultilevel"/>
    <w:tmpl w:val="56E4DA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4E5"/>
    <w:rsid w:val="001B4D6A"/>
    <w:rsid w:val="002674E5"/>
    <w:rsid w:val="00305F62"/>
    <w:rsid w:val="00336F31"/>
    <w:rsid w:val="00360D57"/>
    <w:rsid w:val="00464807"/>
    <w:rsid w:val="00503595"/>
    <w:rsid w:val="00511C3D"/>
    <w:rsid w:val="0054317D"/>
    <w:rsid w:val="005836D8"/>
    <w:rsid w:val="00623465"/>
    <w:rsid w:val="009B3A35"/>
    <w:rsid w:val="00A807ED"/>
    <w:rsid w:val="00A850EE"/>
    <w:rsid w:val="00C325C2"/>
    <w:rsid w:val="00C32ED7"/>
    <w:rsid w:val="00CE7501"/>
    <w:rsid w:val="00D24907"/>
    <w:rsid w:val="00E21885"/>
    <w:rsid w:val="00E72B07"/>
    <w:rsid w:val="00EA0DCD"/>
    <w:rsid w:val="00F0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449B9"/>
  <w15:chartTrackingRefBased/>
  <w15:docId w15:val="{F262BD76-226C-4D45-B359-334928656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0DCD"/>
    <w:pPr>
      <w:jc w:val="left"/>
    </w:pPr>
    <w:rPr>
      <w:rFonts w:ascii="Calibri" w:hAnsi="Calibri" w:cs="Calibri"/>
      <w:sz w:val="22"/>
    </w:rPr>
  </w:style>
  <w:style w:type="paragraph" w:styleId="Nagwek1">
    <w:name w:val="heading 1"/>
    <w:basedOn w:val="Normalny"/>
    <w:link w:val="Nagwek1Znak"/>
    <w:uiPriority w:val="9"/>
    <w:qFormat/>
    <w:rsid w:val="00A850EE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32ED7"/>
    <w:rPr>
      <w:color w:val="0563C1" w:themeColor="hyperlink"/>
      <w:u w:val="singl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32ED7"/>
    <w:rPr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32ED7"/>
    <w:rPr>
      <w:rFonts w:ascii="Calibri" w:hAnsi="Calibri"/>
      <w:sz w:val="22"/>
      <w:szCs w:val="21"/>
    </w:rPr>
  </w:style>
  <w:style w:type="character" w:customStyle="1" w:styleId="Nagwek1Znak">
    <w:name w:val="Nagłówek 1 Znak"/>
    <w:basedOn w:val="Domylnaczcionkaakapitu"/>
    <w:link w:val="Nagwek1"/>
    <w:uiPriority w:val="9"/>
    <w:rsid w:val="00A850EE"/>
    <w:rPr>
      <w:rFonts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850E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50EE"/>
    <w:pPr>
      <w:ind w:left="720"/>
      <w:contextualSpacing/>
    </w:pPr>
  </w:style>
  <w:style w:type="character" w:customStyle="1" w:styleId="markedcontent">
    <w:name w:val="markedcontent"/>
    <w:basedOn w:val="Domylnaczcionkaakapitu"/>
    <w:rsid w:val="00A850EE"/>
  </w:style>
  <w:style w:type="character" w:styleId="Pogrubienie">
    <w:name w:val="Strong"/>
    <w:basedOn w:val="Domylnaczcionkaakapitu"/>
    <w:uiPriority w:val="22"/>
    <w:qFormat/>
    <w:rsid w:val="00E218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76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sseinvestpark.clickmeeting.com/mobbing-w-latach-xxi-wieku-nowe-i-stare-zagrozenia-dla-pracownikow-i-pracodawcow/register?_ga=2.267510158.184108666.1645426614-1816579327.1585910442&amp;_gac=1.184514900.1644580443.Cj0KCQiAr5iQBhCsARIsAPcwROPxXfD2EV9rgmQKUfQyHUgEBC0Dv_RTW10FGas20G9SGTowF_ORRLoaAus5EALw_wc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2022-02-25T06:43:00Z</dcterms:created>
  <dcterms:modified xsi:type="dcterms:W3CDTF">2022-02-25T06:43:00Z</dcterms:modified>
</cp:coreProperties>
</file>