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A700A0" w14:textId="77777777" w:rsidR="004922DB" w:rsidRPr="006D5809" w:rsidRDefault="004922DB" w:rsidP="004922DB">
      <w:pPr>
        <w:spacing w:after="0" w:line="240" w:lineRule="auto"/>
        <w:ind w:right="5668"/>
        <w:jc w:val="center"/>
        <w:rPr>
          <w:rFonts w:cstheme="minorHAnsi"/>
          <w:bCs/>
          <w:sz w:val="28"/>
          <w:szCs w:val="28"/>
        </w:rPr>
      </w:pPr>
      <w:r w:rsidRPr="006D5809">
        <w:rPr>
          <w:rFonts w:cstheme="minorHAnsi"/>
          <w:bCs/>
          <w:sz w:val="28"/>
          <w:szCs w:val="28"/>
        </w:rPr>
        <w:t>Burmistrz Śremu</w:t>
      </w:r>
    </w:p>
    <w:p w14:paraId="37CFACA1" w14:textId="514AA7D8" w:rsidR="004922DB" w:rsidRPr="006D5809" w:rsidRDefault="004922DB" w:rsidP="004922DB">
      <w:pPr>
        <w:spacing w:after="0" w:line="240" w:lineRule="auto"/>
        <w:ind w:right="5668"/>
        <w:jc w:val="center"/>
        <w:rPr>
          <w:rFonts w:cstheme="minorHAnsi"/>
          <w:bCs/>
          <w:sz w:val="28"/>
          <w:szCs w:val="28"/>
        </w:rPr>
      </w:pPr>
      <w:r w:rsidRPr="006D5809">
        <w:rPr>
          <w:rFonts w:cstheme="minorHAnsi"/>
          <w:bCs/>
          <w:sz w:val="28"/>
          <w:szCs w:val="28"/>
        </w:rPr>
        <w:t>ul. Plac 20 Października 1</w:t>
      </w:r>
    </w:p>
    <w:p w14:paraId="351E604D" w14:textId="77777777" w:rsidR="004922DB" w:rsidRPr="006D5809" w:rsidRDefault="004922DB" w:rsidP="004922DB">
      <w:pPr>
        <w:spacing w:after="0" w:line="240" w:lineRule="auto"/>
        <w:ind w:right="5668"/>
        <w:jc w:val="center"/>
        <w:rPr>
          <w:rFonts w:cstheme="minorHAnsi"/>
          <w:bCs/>
          <w:sz w:val="28"/>
          <w:szCs w:val="28"/>
        </w:rPr>
      </w:pPr>
      <w:r w:rsidRPr="006D5809">
        <w:rPr>
          <w:rFonts w:cstheme="minorHAnsi"/>
          <w:bCs/>
          <w:sz w:val="28"/>
          <w:szCs w:val="28"/>
        </w:rPr>
        <w:t>63-100 Śrem</w:t>
      </w:r>
    </w:p>
    <w:p w14:paraId="69612C35" w14:textId="363B7EF1" w:rsidR="004922DB" w:rsidRPr="006D5809" w:rsidRDefault="004922DB" w:rsidP="004922DB">
      <w:pPr>
        <w:spacing w:after="120" w:line="240" w:lineRule="auto"/>
        <w:jc w:val="right"/>
        <w:rPr>
          <w:rFonts w:cstheme="minorHAnsi"/>
          <w:sz w:val="28"/>
          <w:szCs w:val="28"/>
        </w:rPr>
      </w:pPr>
      <w:r w:rsidRPr="006D5809">
        <w:rPr>
          <w:rFonts w:cstheme="minorHAnsi"/>
          <w:sz w:val="28"/>
          <w:szCs w:val="28"/>
        </w:rPr>
        <w:t xml:space="preserve">Śrem, </w:t>
      </w:r>
      <w:r w:rsidR="009D7A66">
        <w:rPr>
          <w:rFonts w:cstheme="minorHAnsi"/>
          <w:sz w:val="28"/>
          <w:szCs w:val="28"/>
        </w:rPr>
        <w:t>28</w:t>
      </w:r>
      <w:r w:rsidRPr="006D5809">
        <w:rPr>
          <w:rFonts w:cstheme="minorHAnsi"/>
          <w:sz w:val="28"/>
          <w:szCs w:val="28"/>
        </w:rPr>
        <w:t xml:space="preserve"> </w:t>
      </w:r>
      <w:r w:rsidR="004266A8" w:rsidRPr="006D5809">
        <w:rPr>
          <w:rFonts w:cstheme="minorHAnsi"/>
          <w:sz w:val="28"/>
          <w:szCs w:val="28"/>
        </w:rPr>
        <w:t>marca</w:t>
      </w:r>
      <w:r w:rsidRPr="006D5809">
        <w:rPr>
          <w:rFonts w:cstheme="minorHAnsi"/>
          <w:sz w:val="28"/>
          <w:szCs w:val="28"/>
        </w:rPr>
        <w:t xml:space="preserve"> 2022 roku</w:t>
      </w:r>
    </w:p>
    <w:p w14:paraId="4FE9DCF9" w14:textId="7A98ED73" w:rsidR="004922DB" w:rsidRPr="006D5809" w:rsidRDefault="004922DB" w:rsidP="004922DB">
      <w:pPr>
        <w:spacing w:after="120" w:line="240" w:lineRule="auto"/>
        <w:rPr>
          <w:rFonts w:cstheme="minorHAnsi"/>
          <w:sz w:val="28"/>
          <w:szCs w:val="28"/>
        </w:rPr>
      </w:pPr>
      <w:r w:rsidRPr="006D5809">
        <w:rPr>
          <w:rFonts w:cstheme="minorHAnsi"/>
          <w:sz w:val="28"/>
          <w:szCs w:val="28"/>
        </w:rPr>
        <w:t>PPSOŚ.6220.</w:t>
      </w:r>
      <w:r w:rsidR="00056D8D" w:rsidRPr="006D5809">
        <w:rPr>
          <w:rFonts w:cstheme="minorHAnsi"/>
          <w:sz w:val="28"/>
          <w:szCs w:val="28"/>
        </w:rPr>
        <w:t>1.2021</w:t>
      </w:r>
      <w:r w:rsidRPr="006D5809">
        <w:rPr>
          <w:rFonts w:cstheme="minorHAnsi"/>
          <w:sz w:val="28"/>
          <w:szCs w:val="28"/>
        </w:rPr>
        <w:t>.BM</w:t>
      </w:r>
    </w:p>
    <w:p w14:paraId="59CF0FA0" w14:textId="77777777" w:rsidR="004922DB" w:rsidRPr="006D5809" w:rsidRDefault="004922DB" w:rsidP="00883567">
      <w:pPr>
        <w:keepNext/>
        <w:keepLines/>
        <w:spacing w:after="120" w:line="240" w:lineRule="auto"/>
        <w:jc w:val="center"/>
        <w:outlineLvl w:val="0"/>
        <w:rPr>
          <w:rFonts w:eastAsia="Times New Roman" w:cstheme="minorHAnsi"/>
          <w:sz w:val="28"/>
          <w:szCs w:val="28"/>
        </w:rPr>
      </w:pPr>
      <w:r w:rsidRPr="006D5809">
        <w:rPr>
          <w:rFonts w:eastAsia="Times New Roman" w:cstheme="minorHAnsi"/>
          <w:sz w:val="28"/>
          <w:szCs w:val="28"/>
        </w:rPr>
        <w:t>Obwieszczenie</w:t>
      </w:r>
    </w:p>
    <w:p w14:paraId="77975ECA" w14:textId="4454477B" w:rsidR="004922DB" w:rsidRPr="006D5809" w:rsidRDefault="004922DB" w:rsidP="00883567">
      <w:pPr>
        <w:keepNext/>
        <w:keepLines/>
        <w:spacing w:after="120" w:line="240" w:lineRule="auto"/>
        <w:jc w:val="center"/>
        <w:outlineLvl w:val="0"/>
        <w:rPr>
          <w:rFonts w:eastAsia="Times New Roman" w:cstheme="minorHAnsi"/>
          <w:sz w:val="28"/>
          <w:szCs w:val="28"/>
        </w:rPr>
      </w:pPr>
      <w:r w:rsidRPr="006D5809">
        <w:rPr>
          <w:rFonts w:eastAsia="Times New Roman" w:cstheme="minorHAnsi"/>
          <w:sz w:val="28"/>
          <w:szCs w:val="28"/>
        </w:rPr>
        <w:t xml:space="preserve">o wydaniu decyzji o </w:t>
      </w:r>
      <w:r w:rsidR="00056D8D" w:rsidRPr="006D5809">
        <w:rPr>
          <w:rFonts w:eastAsia="Times New Roman" w:cstheme="minorHAnsi"/>
          <w:sz w:val="28"/>
          <w:szCs w:val="28"/>
        </w:rPr>
        <w:t>odmowie określenia środowiskowych uwarunkowań</w:t>
      </w:r>
    </w:p>
    <w:p w14:paraId="59F8C2BD" w14:textId="2946FD79" w:rsidR="0031777D" w:rsidRPr="006D5809" w:rsidRDefault="0031777D" w:rsidP="0031777D">
      <w:pPr>
        <w:spacing w:after="120" w:line="240" w:lineRule="auto"/>
        <w:ind w:firstLine="708"/>
        <w:jc w:val="both"/>
        <w:rPr>
          <w:rFonts w:eastAsia="Times New Roman" w:cstheme="minorHAnsi"/>
          <w:sz w:val="28"/>
          <w:szCs w:val="28"/>
          <w:lang w:eastAsia="pl-PL"/>
        </w:rPr>
      </w:pPr>
      <w:r w:rsidRPr="006D5809">
        <w:rPr>
          <w:rFonts w:eastAsia="Times New Roman" w:cstheme="minorHAnsi"/>
          <w:sz w:val="28"/>
          <w:szCs w:val="28"/>
          <w:lang w:eastAsia="pl-PL"/>
        </w:rPr>
        <w:t>Na podstawie art. 73 ust. 1 i art. 74 ust. 3 ustawy z dnia 3</w:t>
      </w:r>
      <w:r w:rsidR="00020EF4" w:rsidRPr="006D5809">
        <w:rPr>
          <w:rFonts w:eastAsia="Times New Roman" w:cstheme="minorHAnsi"/>
          <w:sz w:val="28"/>
          <w:szCs w:val="28"/>
          <w:lang w:eastAsia="pl-PL"/>
        </w:rPr>
        <w:t> </w:t>
      </w:r>
      <w:r w:rsidRPr="006D5809">
        <w:rPr>
          <w:rFonts w:eastAsia="Times New Roman" w:cstheme="minorHAnsi"/>
          <w:sz w:val="28"/>
          <w:szCs w:val="28"/>
          <w:lang w:eastAsia="pl-PL"/>
        </w:rPr>
        <w:t>października</w:t>
      </w:r>
      <w:r w:rsidR="004266A8" w:rsidRPr="006D5809">
        <w:rPr>
          <w:rFonts w:eastAsia="Times New Roman" w:cstheme="minorHAnsi"/>
          <w:sz w:val="28"/>
          <w:szCs w:val="28"/>
          <w:lang w:eastAsia="pl-PL"/>
        </w:rPr>
        <w:t> </w:t>
      </w:r>
      <w:r w:rsidRPr="006D5809">
        <w:rPr>
          <w:rFonts w:eastAsia="Times New Roman" w:cstheme="minorHAnsi"/>
          <w:sz w:val="28"/>
          <w:szCs w:val="28"/>
          <w:lang w:eastAsia="pl-PL"/>
        </w:rPr>
        <w:t>2008 r. o udostępnianiu informacji o środowisku i jego ochronie, udziale społeczeństwa w ochronie środowiska oraz o ocenach oddziaływania na środowisko (Dz. U. z 2021 r. poz. 2373 i 2389), zawiadamiam strony postępowania, że Burmistrz Śremu</w:t>
      </w:r>
      <w:r w:rsidR="004266A8" w:rsidRPr="006D5809">
        <w:rPr>
          <w:rFonts w:eastAsia="Times New Roman" w:cstheme="minorHAnsi"/>
          <w:sz w:val="28"/>
          <w:szCs w:val="28"/>
          <w:lang w:eastAsia="pl-PL"/>
        </w:rPr>
        <w:t>,</w:t>
      </w:r>
      <w:r w:rsidRPr="006D5809">
        <w:rPr>
          <w:rFonts w:eastAsia="Times New Roman" w:cstheme="minorHAnsi"/>
          <w:sz w:val="28"/>
          <w:szCs w:val="28"/>
          <w:lang w:eastAsia="pl-PL"/>
        </w:rPr>
        <w:t xml:space="preserve"> </w:t>
      </w:r>
      <w:r w:rsidR="004266A8" w:rsidRPr="006D5809">
        <w:rPr>
          <w:rFonts w:eastAsia="Times New Roman" w:cstheme="minorHAnsi"/>
          <w:sz w:val="28"/>
          <w:szCs w:val="28"/>
          <w:lang w:eastAsia="pl-PL"/>
        </w:rPr>
        <w:t xml:space="preserve">na mocy decyzji z </w:t>
      </w:r>
      <w:r w:rsidR="00056D8D" w:rsidRPr="006D5809">
        <w:rPr>
          <w:rFonts w:eastAsia="Times New Roman" w:cstheme="minorHAnsi"/>
          <w:sz w:val="28"/>
          <w:szCs w:val="28"/>
          <w:lang w:eastAsia="pl-PL"/>
        </w:rPr>
        <w:t>28</w:t>
      </w:r>
      <w:r w:rsidR="004266A8" w:rsidRPr="006D5809">
        <w:rPr>
          <w:rFonts w:eastAsia="Times New Roman" w:cstheme="minorHAnsi"/>
          <w:sz w:val="28"/>
          <w:szCs w:val="28"/>
          <w:lang w:eastAsia="pl-PL"/>
        </w:rPr>
        <w:t xml:space="preserve">.03.2022 r., </w:t>
      </w:r>
      <w:r w:rsidR="00056D8D" w:rsidRPr="006D5809">
        <w:rPr>
          <w:rFonts w:eastAsia="Times New Roman" w:cstheme="minorHAnsi"/>
          <w:sz w:val="28"/>
          <w:szCs w:val="28"/>
          <w:lang w:eastAsia="pl-PL"/>
        </w:rPr>
        <w:t>odmówił określenia środowiskowych uwarunkowań dla planowanego przedsięwzięcia MW Solar Invest Spółki z ograniczoną odpowiedzialnością z siedzibą w Klonówcu, Klonówiec 3f, 64-111 Lipno, polegającego na budowie elektrowni słonecznej „Bystrzek” o mocy do 80 MW wraz z infrastrukturą towarzyszącą na działkach o numerach ewidencyjnych: 40/5; 40/6; 40/7; 40/8; 43, obręb Bystrzek</w:t>
      </w:r>
      <w:r w:rsidRPr="006D5809">
        <w:rPr>
          <w:rFonts w:eastAsia="Times New Roman" w:cstheme="minorHAnsi"/>
          <w:sz w:val="28"/>
          <w:szCs w:val="28"/>
          <w:lang w:eastAsia="pl-PL"/>
        </w:rPr>
        <w:t>. Od decyzji służy stronie prawo wniesienia odwołania do Samorządowego Kolegium Odwoławczego w</w:t>
      </w:r>
      <w:r w:rsidR="00E81680" w:rsidRPr="006D5809">
        <w:rPr>
          <w:rFonts w:eastAsia="Times New Roman" w:cstheme="minorHAnsi"/>
          <w:sz w:val="28"/>
          <w:szCs w:val="28"/>
          <w:lang w:eastAsia="pl-PL"/>
        </w:rPr>
        <w:t> </w:t>
      </w:r>
      <w:r w:rsidRPr="006D5809">
        <w:rPr>
          <w:rFonts w:eastAsia="Times New Roman" w:cstheme="minorHAnsi"/>
          <w:sz w:val="28"/>
          <w:szCs w:val="28"/>
          <w:lang w:eastAsia="pl-PL"/>
        </w:rPr>
        <w:t xml:space="preserve">Poznaniu, za pośrednictwem Burmistrza Śremu, w terminie 14 dni od dnia doręczenia. W trakcie biegu terminu do wniesienia odwołania strona może, na podstawie art. 127a § 1 </w:t>
      </w:r>
      <w:r w:rsidR="004266A8" w:rsidRPr="006D5809">
        <w:rPr>
          <w:rFonts w:eastAsia="Times New Roman" w:cstheme="minorHAnsi"/>
          <w:sz w:val="28"/>
          <w:szCs w:val="28"/>
          <w:lang w:eastAsia="pl-PL"/>
        </w:rPr>
        <w:t>ustawy z dnia 14 czerwca 1960 r. - Kodeks postępowania administracyjnego (Dz. U. z 2021 r. poz. 735, z</w:t>
      </w:r>
      <w:r w:rsidR="00677A8F" w:rsidRPr="006D5809">
        <w:rPr>
          <w:rFonts w:eastAsia="Times New Roman" w:cstheme="minorHAnsi"/>
          <w:sz w:val="28"/>
          <w:szCs w:val="28"/>
          <w:lang w:eastAsia="pl-PL"/>
        </w:rPr>
        <w:t> </w:t>
      </w:r>
      <w:r w:rsidR="004266A8" w:rsidRPr="006D5809">
        <w:rPr>
          <w:rFonts w:eastAsia="Times New Roman" w:cstheme="minorHAnsi"/>
          <w:sz w:val="28"/>
          <w:szCs w:val="28"/>
          <w:lang w:eastAsia="pl-PL"/>
        </w:rPr>
        <w:t>późn.</w:t>
      </w:r>
      <w:r w:rsidR="00677A8F" w:rsidRPr="006D5809">
        <w:rPr>
          <w:rFonts w:eastAsia="Times New Roman" w:cstheme="minorHAnsi"/>
          <w:sz w:val="28"/>
          <w:szCs w:val="28"/>
          <w:lang w:eastAsia="pl-PL"/>
        </w:rPr>
        <w:t> </w:t>
      </w:r>
      <w:r w:rsidR="004266A8" w:rsidRPr="006D5809">
        <w:rPr>
          <w:rFonts w:eastAsia="Times New Roman" w:cstheme="minorHAnsi"/>
          <w:sz w:val="28"/>
          <w:szCs w:val="28"/>
          <w:lang w:eastAsia="pl-PL"/>
        </w:rPr>
        <w:t>zm.)</w:t>
      </w:r>
      <w:r w:rsidRPr="006D5809">
        <w:rPr>
          <w:rFonts w:eastAsia="Times New Roman" w:cstheme="minorHAnsi"/>
          <w:sz w:val="28"/>
          <w:szCs w:val="28"/>
          <w:lang w:eastAsia="pl-PL"/>
        </w:rPr>
        <w:t>,</w:t>
      </w:r>
      <w:r w:rsidR="00E81680" w:rsidRPr="006D5809">
        <w:rPr>
          <w:rFonts w:eastAsia="Times New Roman" w:cstheme="minorHAnsi"/>
          <w:sz w:val="28"/>
          <w:szCs w:val="28"/>
          <w:lang w:eastAsia="pl-PL"/>
        </w:rPr>
        <w:t xml:space="preserve"> zwanej dalej K.p.a.,</w:t>
      </w:r>
      <w:r w:rsidRPr="006D5809">
        <w:rPr>
          <w:rFonts w:eastAsia="Times New Roman" w:cstheme="minorHAnsi"/>
          <w:sz w:val="28"/>
          <w:szCs w:val="28"/>
          <w:lang w:eastAsia="pl-PL"/>
        </w:rPr>
        <w:t xml:space="preserve"> zrzec się prawa do wniesienia odwołania wobec organu administracji publicznej, który wydał decyzję. Z dniem doręczenia organowi administracji publicznej oświadczenia o zrzeczeniu się prawa do wniesienia odwołania przez ostatnią ze stron postępowania, decyzja staje się ostateczna i prawomocna. Doręczenie przez obwieszczenie uważa się za dokonane po 14</w:t>
      </w:r>
      <w:r w:rsidR="00E81680" w:rsidRPr="006D5809">
        <w:rPr>
          <w:rFonts w:eastAsia="Times New Roman" w:cstheme="minorHAnsi"/>
          <w:sz w:val="28"/>
          <w:szCs w:val="28"/>
          <w:lang w:eastAsia="pl-PL"/>
        </w:rPr>
        <w:t> </w:t>
      </w:r>
      <w:r w:rsidRPr="006D5809">
        <w:rPr>
          <w:rFonts w:eastAsia="Times New Roman" w:cstheme="minorHAnsi"/>
          <w:sz w:val="28"/>
          <w:szCs w:val="28"/>
          <w:lang w:eastAsia="pl-PL"/>
        </w:rPr>
        <w:t>dniach od dnia publicznego ogłoszenia stosownie do art.</w:t>
      </w:r>
      <w:r w:rsidR="00677A8F" w:rsidRPr="006D5809">
        <w:rPr>
          <w:rFonts w:eastAsia="Times New Roman" w:cstheme="minorHAnsi"/>
          <w:sz w:val="28"/>
          <w:szCs w:val="28"/>
          <w:lang w:eastAsia="pl-PL"/>
        </w:rPr>
        <w:t> </w:t>
      </w:r>
      <w:r w:rsidRPr="006D5809">
        <w:rPr>
          <w:rFonts w:eastAsia="Times New Roman" w:cstheme="minorHAnsi"/>
          <w:sz w:val="28"/>
          <w:szCs w:val="28"/>
          <w:lang w:eastAsia="pl-PL"/>
        </w:rPr>
        <w:t xml:space="preserve">49 K.p.a. </w:t>
      </w:r>
    </w:p>
    <w:p w14:paraId="4FF2F240" w14:textId="67E80BE3" w:rsidR="00020EF4" w:rsidRPr="006D5809" w:rsidRDefault="00E81680" w:rsidP="00056D8D">
      <w:pPr>
        <w:spacing w:after="120" w:line="240" w:lineRule="auto"/>
        <w:ind w:firstLine="708"/>
        <w:jc w:val="both"/>
        <w:rPr>
          <w:rFonts w:eastAsia="Times New Roman" w:cstheme="minorHAnsi"/>
          <w:sz w:val="28"/>
          <w:szCs w:val="28"/>
          <w:lang w:eastAsia="pl-PL"/>
        </w:rPr>
      </w:pPr>
      <w:r w:rsidRPr="006D5809">
        <w:rPr>
          <w:rFonts w:eastAsia="Times New Roman" w:cstheme="minorHAnsi"/>
          <w:sz w:val="28"/>
          <w:szCs w:val="28"/>
          <w:lang w:eastAsia="pl-PL"/>
        </w:rPr>
        <w:t>Z</w:t>
      </w:r>
      <w:r w:rsidR="0031777D" w:rsidRPr="006D5809">
        <w:rPr>
          <w:rFonts w:eastAsia="Times New Roman" w:cstheme="minorHAnsi"/>
          <w:sz w:val="28"/>
          <w:szCs w:val="28"/>
          <w:lang w:eastAsia="pl-PL"/>
        </w:rPr>
        <w:t xml:space="preserve"> treścią decyzji oraz z dokumentacją sprawy można zapoznać się w</w:t>
      </w:r>
      <w:r w:rsidR="00D96D0F" w:rsidRPr="006D5809">
        <w:rPr>
          <w:rFonts w:eastAsia="Times New Roman" w:cstheme="minorHAnsi"/>
          <w:sz w:val="28"/>
          <w:szCs w:val="28"/>
          <w:lang w:eastAsia="pl-PL"/>
        </w:rPr>
        <w:t> </w:t>
      </w:r>
      <w:r w:rsidR="0031777D" w:rsidRPr="006D5809">
        <w:rPr>
          <w:rFonts w:eastAsia="Times New Roman" w:cstheme="minorHAnsi"/>
          <w:sz w:val="28"/>
          <w:szCs w:val="28"/>
          <w:lang w:eastAsia="pl-PL"/>
        </w:rPr>
        <w:t>Urzędzie Miejskim w</w:t>
      </w:r>
      <w:r w:rsidR="00020EF4" w:rsidRPr="006D5809">
        <w:rPr>
          <w:rFonts w:eastAsia="Times New Roman" w:cstheme="minorHAnsi"/>
          <w:sz w:val="28"/>
          <w:szCs w:val="28"/>
          <w:lang w:eastAsia="pl-PL"/>
        </w:rPr>
        <w:t> </w:t>
      </w:r>
      <w:r w:rsidR="0031777D" w:rsidRPr="006D5809">
        <w:rPr>
          <w:rFonts w:eastAsia="Times New Roman" w:cstheme="minorHAnsi"/>
          <w:sz w:val="28"/>
          <w:szCs w:val="28"/>
          <w:lang w:eastAsia="pl-PL"/>
        </w:rPr>
        <w:t>Śremie (ul. Plac 20 Października 1</w:t>
      </w:r>
      <w:r w:rsidR="00D96D0F" w:rsidRPr="006D5809">
        <w:rPr>
          <w:rFonts w:eastAsia="Times New Roman" w:cstheme="minorHAnsi"/>
          <w:sz w:val="28"/>
          <w:szCs w:val="28"/>
          <w:lang w:eastAsia="pl-PL"/>
        </w:rPr>
        <w:t>, pok. 33</w:t>
      </w:r>
      <w:r w:rsidR="0031777D" w:rsidRPr="006D5809">
        <w:rPr>
          <w:rFonts w:eastAsia="Times New Roman" w:cstheme="minorHAnsi"/>
          <w:sz w:val="28"/>
          <w:szCs w:val="28"/>
          <w:lang w:eastAsia="pl-PL"/>
        </w:rPr>
        <w:t>), w</w:t>
      </w:r>
      <w:r w:rsidR="00D96D0F" w:rsidRPr="006D5809">
        <w:rPr>
          <w:rFonts w:eastAsia="Times New Roman" w:cstheme="minorHAnsi"/>
          <w:sz w:val="28"/>
          <w:szCs w:val="28"/>
          <w:lang w:eastAsia="pl-PL"/>
        </w:rPr>
        <w:t> </w:t>
      </w:r>
      <w:r w:rsidR="0031777D" w:rsidRPr="006D5809">
        <w:rPr>
          <w:rFonts w:eastAsia="Times New Roman" w:cstheme="minorHAnsi"/>
          <w:sz w:val="28"/>
          <w:szCs w:val="28"/>
          <w:lang w:eastAsia="pl-PL"/>
        </w:rPr>
        <w:t>godzinach od 7:00 do 15:00</w:t>
      </w:r>
      <w:r w:rsidR="00D96D0F" w:rsidRPr="006D5809">
        <w:rPr>
          <w:rFonts w:eastAsia="Times New Roman" w:cstheme="minorHAnsi"/>
          <w:sz w:val="28"/>
          <w:szCs w:val="28"/>
          <w:lang w:eastAsia="pl-PL"/>
        </w:rPr>
        <w:t xml:space="preserve">. </w:t>
      </w:r>
      <w:r w:rsidR="0031777D" w:rsidRPr="006D5809">
        <w:rPr>
          <w:rFonts w:eastAsia="Times New Roman" w:cstheme="minorHAnsi"/>
          <w:sz w:val="28"/>
          <w:szCs w:val="28"/>
          <w:lang w:eastAsia="pl-PL"/>
        </w:rPr>
        <w:t>Z treścią decyzji można zapoznać się również w</w:t>
      </w:r>
      <w:r w:rsidR="00A80570" w:rsidRPr="006D5809">
        <w:rPr>
          <w:rFonts w:eastAsia="Times New Roman" w:cstheme="minorHAnsi"/>
          <w:sz w:val="28"/>
          <w:szCs w:val="28"/>
          <w:lang w:eastAsia="pl-PL"/>
        </w:rPr>
        <w:t> </w:t>
      </w:r>
      <w:r w:rsidR="0031777D" w:rsidRPr="006D5809">
        <w:rPr>
          <w:rFonts w:eastAsia="Times New Roman" w:cstheme="minorHAnsi"/>
          <w:sz w:val="28"/>
          <w:szCs w:val="28"/>
          <w:lang w:eastAsia="pl-PL"/>
        </w:rPr>
        <w:t>Biuletynie</w:t>
      </w:r>
      <w:r w:rsidR="00A80570" w:rsidRPr="006D5809">
        <w:rPr>
          <w:rFonts w:eastAsia="Times New Roman" w:cstheme="minorHAnsi"/>
          <w:sz w:val="28"/>
          <w:szCs w:val="28"/>
          <w:lang w:eastAsia="pl-PL"/>
        </w:rPr>
        <w:t> </w:t>
      </w:r>
      <w:r w:rsidR="0031777D" w:rsidRPr="006D5809">
        <w:rPr>
          <w:rFonts w:eastAsia="Times New Roman" w:cstheme="minorHAnsi"/>
          <w:sz w:val="28"/>
          <w:szCs w:val="28"/>
          <w:lang w:eastAsia="pl-PL"/>
        </w:rPr>
        <w:t>Informacji</w:t>
      </w:r>
      <w:r w:rsidR="00A80570" w:rsidRPr="006D5809">
        <w:rPr>
          <w:rFonts w:eastAsia="Times New Roman" w:cstheme="minorHAnsi"/>
          <w:sz w:val="28"/>
          <w:szCs w:val="28"/>
          <w:lang w:eastAsia="pl-PL"/>
        </w:rPr>
        <w:t> </w:t>
      </w:r>
      <w:r w:rsidR="0031777D" w:rsidRPr="006D5809">
        <w:rPr>
          <w:rFonts w:eastAsia="Times New Roman" w:cstheme="minorHAnsi"/>
          <w:sz w:val="28"/>
          <w:szCs w:val="28"/>
          <w:lang w:eastAsia="pl-PL"/>
        </w:rPr>
        <w:t>Publicznej Urzędu Miejskiego w Śremie (</w:t>
      </w:r>
      <w:r w:rsidR="006D5809" w:rsidRPr="006D5809">
        <w:rPr>
          <w:rFonts w:eastAsia="Times New Roman" w:cstheme="minorHAnsi"/>
          <w:sz w:val="28"/>
          <w:szCs w:val="28"/>
          <w:lang w:eastAsia="pl-PL"/>
        </w:rPr>
        <w:t>http://umsrem.bip.eur.pl/public/?id=217582</w:t>
      </w:r>
      <w:r w:rsidR="0031777D" w:rsidRPr="006D5809">
        <w:rPr>
          <w:rFonts w:eastAsia="Times New Roman" w:cstheme="minorHAnsi"/>
          <w:sz w:val="28"/>
          <w:szCs w:val="28"/>
          <w:lang w:eastAsia="pl-PL"/>
        </w:rPr>
        <w:t>).</w:t>
      </w:r>
    </w:p>
    <w:p w14:paraId="5E8E26B0" w14:textId="55D10D2A" w:rsidR="004922DB" w:rsidRPr="006D5809" w:rsidRDefault="004922DB" w:rsidP="004922DB">
      <w:pPr>
        <w:spacing w:after="120" w:line="240" w:lineRule="auto"/>
        <w:ind w:left="4395"/>
        <w:jc w:val="center"/>
        <w:rPr>
          <w:rFonts w:eastAsia="Times New Roman" w:cstheme="minorHAnsi"/>
          <w:sz w:val="28"/>
          <w:szCs w:val="28"/>
          <w:lang w:eastAsia="pl-PL"/>
        </w:rPr>
      </w:pPr>
      <w:r w:rsidRPr="006D5809">
        <w:rPr>
          <w:rFonts w:eastAsia="Times New Roman" w:cstheme="minorHAnsi"/>
          <w:sz w:val="28"/>
          <w:szCs w:val="28"/>
          <w:lang w:eastAsia="pl-PL"/>
        </w:rPr>
        <w:t>Adam Lewandowski</w:t>
      </w:r>
    </w:p>
    <w:p w14:paraId="0E6F27ED" w14:textId="77777777" w:rsidR="004922DB" w:rsidRPr="006D5809" w:rsidRDefault="004922DB" w:rsidP="004922DB">
      <w:pPr>
        <w:spacing w:after="120" w:line="240" w:lineRule="auto"/>
        <w:ind w:left="4395"/>
        <w:jc w:val="center"/>
        <w:rPr>
          <w:rFonts w:eastAsia="Times New Roman" w:cstheme="minorHAnsi"/>
          <w:i/>
          <w:sz w:val="28"/>
          <w:szCs w:val="28"/>
          <w:lang w:eastAsia="pl-PL"/>
        </w:rPr>
      </w:pPr>
      <w:r w:rsidRPr="006D5809">
        <w:rPr>
          <w:rFonts w:eastAsia="Times New Roman" w:cstheme="minorHAnsi"/>
          <w:sz w:val="28"/>
          <w:szCs w:val="28"/>
          <w:lang w:eastAsia="pl-PL"/>
        </w:rPr>
        <w:t>Burmistrz Śremu</w:t>
      </w:r>
    </w:p>
    <w:p w14:paraId="76350865" w14:textId="77777777" w:rsidR="005A07CF" w:rsidRPr="006D5809" w:rsidRDefault="005A07CF" w:rsidP="005A07CF">
      <w:pPr>
        <w:spacing w:after="120" w:line="240" w:lineRule="auto"/>
        <w:jc w:val="both"/>
        <w:rPr>
          <w:rFonts w:eastAsia="Times New Roman" w:cstheme="minorHAnsi"/>
          <w:sz w:val="28"/>
          <w:szCs w:val="28"/>
          <w:lang w:eastAsia="pl-PL"/>
        </w:rPr>
      </w:pPr>
    </w:p>
    <w:p w14:paraId="6B8FF1DE" w14:textId="0C5F0089" w:rsidR="005A07CF" w:rsidRPr="006D5809" w:rsidRDefault="005A07CF" w:rsidP="005A07CF">
      <w:pPr>
        <w:spacing w:after="120" w:line="240" w:lineRule="auto"/>
        <w:jc w:val="both"/>
        <w:rPr>
          <w:rFonts w:eastAsia="Times New Roman" w:cstheme="minorHAnsi"/>
          <w:sz w:val="28"/>
          <w:szCs w:val="28"/>
          <w:lang w:eastAsia="pl-PL"/>
        </w:rPr>
      </w:pPr>
      <w:r w:rsidRPr="006D5809">
        <w:rPr>
          <w:rFonts w:eastAsia="Times New Roman" w:cstheme="minorHAnsi"/>
          <w:sz w:val="28"/>
          <w:szCs w:val="28"/>
          <w:lang w:eastAsia="pl-PL"/>
        </w:rPr>
        <w:lastRenderedPageBreak/>
        <w:t xml:space="preserve">Wywieszono: </w:t>
      </w:r>
      <w:r w:rsidR="00056D8D" w:rsidRPr="006D5809">
        <w:rPr>
          <w:rFonts w:eastAsia="Times New Roman" w:cstheme="minorHAnsi"/>
          <w:sz w:val="28"/>
          <w:szCs w:val="28"/>
          <w:lang w:eastAsia="pl-PL"/>
        </w:rPr>
        <w:t>29.</w:t>
      </w:r>
      <w:r w:rsidR="00D96D0F" w:rsidRPr="006D5809">
        <w:rPr>
          <w:rFonts w:eastAsia="Times New Roman" w:cstheme="minorHAnsi"/>
          <w:sz w:val="28"/>
          <w:szCs w:val="28"/>
          <w:lang w:eastAsia="pl-PL"/>
        </w:rPr>
        <w:t>03</w:t>
      </w:r>
      <w:r w:rsidRPr="006D5809">
        <w:rPr>
          <w:rFonts w:eastAsia="Times New Roman" w:cstheme="minorHAnsi"/>
          <w:sz w:val="28"/>
          <w:szCs w:val="28"/>
          <w:lang w:eastAsia="pl-PL"/>
        </w:rPr>
        <w:t>.2022 r.</w:t>
      </w:r>
    </w:p>
    <w:p w14:paraId="0C3EB023" w14:textId="77777777" w:rsidR="005A07CF" w:rsidRPr="006D5809" w:rsidRDefault="005A07CF" w:rsidP="005A07CF">
      <w:pPr>
        <w:spacing w:after="120" w:line="240" w:lineRule="auto"/>
        <w:jc w:val="both"/>
        <w:rPr>
          <w:rFonts w:eastAsia="Calibri" w:cstheme="minorHAnsi"/>
          <w:sz w:val="28"/>
          <w:szCs w:val="28"/>
        </w:rPr>
      </w:pPr>
      <w:r w:rsidRPr="006D5809">
        <w:rPr>
          <w:rFonts w:eastAsia="Calibri" w:cstheme="minorHAnsi"/>
          <w:sz w:val="28"/>
          <w:szCs w:val="28"/>
        </w:rPr>
        <w:t>Zdjęto:</w:t>
      </w:r>
    </w:p>
    <w:p w14:paraId="5BF7E423" w14:textId="77777777" w:rsidR="005A07CF" w:rsidRPr="006D5809" w:rsidRDefault="005A07CF" w:rsidP="005A07CF">
      <w:pPr>
        <w:spacing w:after="120" w:line="240" w:lineRule="auto"/>
        <w:rPr>
          <w:rFonts w:cstheme="minorHAnsi"/>
          <w:sz w:val="28"/>
          <w:szCs w:val="28"/>
        </w:rPr>
      </w:pPr>
    </w:p>
    <w:p w14:paraId="4FF8001C" w14:textId="2E1C0AAF" w:rsidR="00A80570" w:rsidRPr="006D5809" w:rsidRDefault="00A80570">
      <w:pPr>
        <w:rPr>
          <w:rFonts w:cstheme="minorHAnsi"/>
          <w:sz w:val="28"/>
          <w:szCs w:val="28"/>
        </w:rPr>
      </w:pPr>
      <w:r w:rsidRPr="006D5809">
        <w:rPr>
          <w:rFonts w:cstheme="minorHAnsi"/>
          <w:sz w:val="28"/>
          <w:szCs w:val="28"/>
        </w:rPr>
        <w:br w:type="page"/>
      </w:r>
    </w:p>
    <w:p w14:paraId="4ECD0E77" w14:textId="77777777" w:rsidR="00AC2BD8" w:rsidRPr="00AC2BD8" w:rsidRDefault="00AC2BD8" w:rsidP="00AC2BD8">
      <w:pPr>
        <w:spacing w:after="0" w:line="240" w:lineRule="auto"/>
        <w:ind w:right="5668"/>
        <w:jc w:val="center"/>
        <w:rPr>
          <w:rFonts w:ascii="Calibri" w:eastAsia="Calibri" w:hAnsi="Calibri" w:cs="Calibri"/>
          <w:sz w:val="28"/>
          <w:szCs w:val="28"/>
        </w:rPr>
      </w:pPr>
      <w:r w:rsidRPr="00AC2BD8">
        <w:rPr>
          <w:rFonts w:ascii="Calibri" w:eastAsia="Calibri" w:hAnsi="Calibri" w:cs="Calibri"/>
          <w:sz w:val="28"/>
          <w:szCs w:val="28"/>
        </w:rPr>
        <w:lastRenderedPageBreak/>
        <w:t>Burmistrz Śremu</w:t>
      </w:r>
    </w:p>
    <w:p w14:paraId="2BB0CFC9" w14:textId="77777777" w:rsidR="00AC2BD8" w:rsidRPr="00AC2BD8" w:rsidRDefault="00AC2BD8" w:rsidP="00AC2BD8">
      <w:pPr>
        <w:spacing w:after="0" w:line="240" w:lineRule="auto"/>
        <w:ind w:right="5668"/>
        <w:jc w:val="center"/>
        <w:rPr>
          <w:rFonts w:ascii="Calibri" w:eastAsia="Calibri" w:hAnsi="Calibri" w:cs="Calibri"/>
          <w:sz w:val="28"/>
          <w:szCs w:val="28"/>
        </w:rPr>
      </w:pPr>
      <w:r w:rsidRPr="00AC2BD8">
        <w:rPr>
          <w:rFonts w:ascii="Calibri" w:eastAsia="Calibri" w:hAnsi="Calibri" w:cs="Calibri"/>
          <w:sz w:val="28"/>
          <w:szCs w:val="28"/>
        </w:rPr>
        <w:t>ul. Plac 20 Października 1</w:t>
      </w:r>
    </w:p>
    <w:p w14:paraId="392022B8" w14:textId="77777777" w:rsidR="00AC2BD8" w:rsidRPr="00AC2BD8" w:rsidRDefault="00AC2BD8" w:rsidP="00AC2BD8">
      <w:pPr>
        <w:spacing w:after="0" w:line="240" w:lineRule="auto"/>
        <w:ind w:right="5670"/>
        <w:jc w:val="center"/>
        <w:rPr>
          <w:rFonts w:ascii="Calibri" w:eastAsia="Calibri" w:hAnsi="Calibri" w:cs="Calibri"/>
          <w:sz w:val="28"/>
          <w:szCs w:val="28"/>
        </w:rPr>
      </w:pPr>
      <w:r w:rsidRPr="00AC2BD8">
        <w:rPr>
          <w:rFonts w:ascii="Calibri" w:eastAsia="Calibri" w:hAnsi="Calibri" w:cs="Calibri"/>
          <w:sz w:val="28"/>
          <w:szCs w:val="28"/>
        </w:rPr>
        <w:t>63-100 Śrem</w:t>
      </w:r>
    </w:p>
    <w:p w14:paraId="20E0B860" w14:textId="77777777" w:rsidR="00AC2BD8" w:rsidRPr="00AC2BD8" w:rsidRDefault="00AC2BD8" w:rsidP="00AC2BD8">
      <w:pPr>
        <w:spacing w:after="0" w:line="240" w:lineRule="auto"/>
        <w:jc w:val="right"/>
        <w:rPr>
          <w:rFonts w:ascii="Calibri" w:eastAsia="Calibri" w:hAnsi="Calibri" w:cs="Calibri"/>
          <w:sz w:val="28"/>
          <w:szCs w:val="28"/>
        </w:rPr>
      </w:pPr>
      <w:r w:rsidRPr="00AC2BD8">
        <w:rPr>
          <w:rFonts w:ascii="Calibri" w:eastAsia="Calibri" w:hAnsi="Calibri" w:cs="Calibri"/>
          <w:sz w:val="28"/>
          <w:szCs w:val="28"/>
        </w:rPr>
        <w:t>Śrem, 28 marca 2022 roku</w:t>
      </w:r>
    </w:p>
    <w:p w14:paraId="680DF1F2" w14:textId="77777777" w:rsidR="00AC2BD8" w:rsidRPr="00AC2BD8" w:rsidRDefault="00AC2BD8" w:rsidP="00AC2BD8">
      <w:pPr>
        <w:spacing w:after="0" w:line="240" w:lineRule="auto"/>
        <w:jc w:val="both"/>
        <w:rPr>
          <w:rFonts w:ascii="Calibri" w:eastAsia="Calibri" w:hAnsi="Calibri" w:cs="Calibri"/>
          <w:sz w:val="28"/>
          <w:szCs w:val="28"/>
        </w:rPr>
      </w:pPr>
      <w:r w:rsidRPr="00AC2BD8">
        <w:rPr>
          <w:rFonts w:ascii="Calibri" w:eastAsia="Calibri" w:hAnsi="Calibri" w:cs="Calibri"/>
          <w:sz w:val="28"/>
          <w:szCs w:val="28"/>
        </w:rPr>
        <w:t>PPSOŚ.6220.1.2021.BM</w:t>
      </w:r>
    </w:p>
    <w:p w14:paraId="7A07BE28" w14:textId="77777777" w:rsidR="00AC2BD8" w:rsidRPr="00AC2BD8" w:rsidRDefault="00AC2BD8" w:rsidP="00AC2BD8">
      <w:pPr>
        <w:spacing w:after="120" w:line="240" w:lineRule="auto"/>
        <w:jc w:val="center"/>
        <w:rPr>
          <w:rFonts w:ascii="Calibri" w:eastAsia="Calibri" w:hAnsi="Calibri" w:cs="Calibri"/>
          <w:sz w:val="28"/>
          <w:szCs w:val="28"/>
        </w:rPr>
      </w:pPr>
      <w:r w:rsidRPr="00AC2BD8">
        <w:rPr>
          <w:rFonts w:ascii="Calibri" w:eastAsia="Calibri" w:hAnsi="Calibri" w:cs="Calibri"/>
          <w:sz w:val="28"/>
          <w:szCs w:val="28"/>
        </w:rPr>
        <w:t>Decyzja</w:t>
      </w:r>
    </w:p>
    <w:p w14:paraId="1616FE4B" w14:textId="77777777" w:rsidR="00AC2BD8" w:rsidRPr="00AC2BD8" w:rsidRDefault="00AC2BD8" w:rsidP="00AC2BD8">
      <w:pPr>
        <w:spacing w:after="120" w:line="240" w:lineRule="auto"/>
        <w:jc w:val="both"/>
        <w:rPr>
          <w:rFonts w:ascii="Calibri" w:eastAsia="Calibri" w:hAnsi="Calibri" w:cs="Calibri"/>
          <w:sz w:val="28"/>
          <w:szCs w:val="28"/>
        </w:rPr>
      </w:pPr>
      <w:r w:rsidRPr="00AC2BD8">
        <w:rPr>
          <w:rFonts w:ascii="Calibri" w:eastAsia="Calibri" w:hAnsi="Calibri" w:cs="Calibri"/>
          <w:sz w:val="28"/>
          <w:szCs w:val="28"/>
        </w:rPr>
        <w:tab/>
        <w:t>Na podstawie art. 71 ust. 2 pkt 2, art. 75 ust. 1 pkt 4, art. 80 ust. 1 pkt 1 ustawy z dnia 3 października 2008 r. o udostępnianiu informacji o środowisku i jego ochronie, udziale społeczeństwa w ochronie środowiska oraz o ocenach oddziaływania na środowisko (Dz. U. z 2021 r. poz. 2373 i 2389), zwanej dalej ustawą, § 3 ust. 1 pkt 54 lit. b rozporządzenia Rady Ministrów z dnia 10 września 2019 r. w sprawie przedsięwzięć mogących znacząco oddziaływać na środowisko (Dz. U. z poz. 1839) oraz art. 104 ustawy z dnia 14 czerwca 1960 r. Kodeks postępowania administracyjnego (Dz. U. z 2021 r. poz. 735, z późn. zm.), zwanej dalej K.p.a.,</w:t>
      </w:r>
    </w:p>
    <w:p w14:paraId="0B263D2B" w14:textId="77777777" w:rsidR="00AC2BD8" w:rsidRPr="00AC2BD8" w:rsidRDefault="00AC2BD8" w:rsidP="00AC2BD8">
      <w:pPr>
        <w:spacing w:after="120" w:line="240" w:lineRule="auto"/>
        <w:jc w:val="center"/>
        <w:rPr>
          <w:rFonts w:ascii="Calibri" w:eastAsia="Calibri" w:hAnsi="Calibri" w:cs="Calibri"/>
          <w:sz w:val="28"/>
          <w:szCs w:val="28"/>
        </w:rPr>
      </w:pPr>
      <w:r w:rsidRPr="00AC2BD8">
        <w:rPr>
          <w:rFonts w:ascii="Calibri" w:eastAsia="Calibri" w:hAnsi="Calibri" w:cs="Calibri"/>
          <w:sz w:val="28"/>
          <w:szCs w:val="28"/>
        </w:rPr>
        <w:t>po rozpatrzeniu</w:t>
      </w:r>
    </w:p>
    <w:p w14:paraId="55055DC2" w14:textId="77777777" w:rsidR="00AC2BD8" w:rsidRPr="00AC2BD8" w:rsidRDefault="00AC2BD8" w:rsidP="00AC2BD8">
      <w:pPr>
        <w:spacing w:after="0" w:line="240" w:lineRule="auto"/>
        <w:jc w:val="both"/>
        <w:rPr>
          <w:rFonts w:ascii="Calibri" w:eastAsia="Calibri" w:hAnsi="Calibri" w:cs="Calibri"/>
          <w:sz w:val="28"/>
          <w:szCs w:val="28"/>
        </w:rPr>
      </w:pPr>
      <w:r w:rsidRPr="00AC2BD8">
        <w:rPr>
          <w:rFonts w:ascii="Calibri" w:eastAsia="Calibri" w:hAnsi="Calibri" w:cs="Calibri"/>
          <w:sz w:val="28"/>
          <w:szCs w:val="28"/>
        </w:rPr>
        <w:t>wniosku MW Solar Invest Spółki z ograniczoną odpowiedzialnością z siedzibą w Klonówcu, Klonówiec 3f, 64-111 Lipno, o wydanie decyzji o środowiskowych uwarunkowaniach dla przedsięwzięcia polegającego na budowie elektrowni słonecznej „Bystrzek” o mocy do 80 MW wraz z infrastrukturą towarzyszącą na działkach o numerach ewidencyjnych: 40/5; 40/6; 40/7; 40/8; 43, obręb Bystrzek,</w:t>
      </w:r>
    </w:p>
    <w:p w14:paraId="49EAABB9" w14:textId="77777777" w:rsidR="00AC2BD8" w:rsidRPr="00AC2BD8" w:rsidRDefault="00AC2BD8" w:rsidP="00AC2BD8">
      <w:pPr>
        <w:spacing w:after="120" w:line="240" w:lineRule="auto"/>
        <w:jc w:val="center"/>
        <w:rPr>
          <w:rFonts w:ascii="Calibri" w:eastAsia="Calibri" w:hAnsi="Calibri" w:cs="Calibri"/>
          <w:sz w:val="28"/>
          <w:szCs w:val="28"/>
        </w:rPr>
      </w:pPr>
      <w:r w:rsidRPr="00AC2BD8">
        <w:rPr>
          <w:rFonts w:ascii="Calibri" w:eastAsia="Calibri" w:hAnsi="Calibri" w:cs="Calibri"/>
          <w:sz w:val="28"/>
          <w:szCs w:val="28"/>
        </w:rPr>
        <w:t>orzekam</w:t>
      </w:r>
    </w:p>
    <w:p w14:paraId="4ACAC6A7" w14:textId="77777777" w:rsidR="00AC2BD8" w:rsidRPr="00AC2BD8" w:rsidRDefault="00AC2BD8" w:rsidP="00AC2BD8">
      <w:pPr>
        <w:spacing w:after="120" w:line="240" w:lineRule="auto"/>
        <w:jc w:val="both"/>
        <w:rPr>
          <w:rFonts w:ascii="Calibri" w:eastAsia="Calibri" w:hAnsi="Calibri" w:cs="Calibri"/>
          <w:sz w:val="28"/>
          <w:szCs w:val="28"/>
        </w:rPr>
      </w:pPr>
      <w:r w:rsidRPr="00AC2BD8">
        <w:rPr>
          <w:rFonts w:ascii="Calibri" w:eastAsia="Calibri" w:hAnsi="Calibri" w:cs="Calibri"/>
          <w:b/>
          <w:bCs/>
          <w:sz w:val="28"/>
          <w:szCs w:val="28"/>
        </w:rPr>
        <w:t>odmówić</w:t>
      </w:r>
      <w:r w:rsidRPr="00AC2BD8">
        <w:rPr>
          <w:rFonts w:ascii="Calibri" w:eastAsia="Calibri" w:hAnsi="Calibri" w:cs="Calibri"/>
          <w:sz w:val="28"/>
          <w:szCs w:val="28"/>
        </w:rPr>
        <w:t xml:space="preserve"> określenia środowiskowych uwarunkowań dla przedsięwzięcia polegającego na budowie elektrowni słonecznej „Bystrzek” o mocy do 80 MW wraz z infrastrukturą towarzyszącą na działkach o numerach ewidencyjnych: 40/5; 40/6; 40/7; 40/8; 43, obręb Bystrzek.</w:t>
      </w:r>
    </w:p>
    <w:p w14:paraId="6033C477" w14:textId="77777777" w:rsidR="00AC2BD8" w:rsidRPr="00AC2BD8" w:rsidRDefault="00AC2BD8" w:rsidP="00AC2BD8">
      <w:pPr>
        <w:spacing w:after="120" w:line="240" w:lineRule="auto"/>
        <w:jc w:val="center"/>
        <w:rPr>
          <w:rFonts w:ascii="Calibri" w:eastAsia="Calibri" w:hAnsi="Calibri" w:cs="Calibri"/>
          <w:sz w:val="28"/>
          <w:szCs w:val="28"/>
        </w:rPr>
      </w:pPr>
      <w:r w:rsidRPr="00AC2BD8">
        <w:rPr>
          <w:rFonts w:ascii="Calibri" w:eastAsia="Calibri" w:hAnsi="Calibri" w:cs="Calibri"/>
          <w:sz w:val="28"/>
          <w:szCs w:val="28"/>
        </w:rPr>
        <w:t>Uzasadnienie</w:t>
      </w:r>
    </w:p>
    <w:p w14:paraId="3D04F43B" w14:textId="77777777" w:rsidR="00AC2BD8" w:rsidRPr="00AC2BD8" w:rsidRDefault="00AC2BD8" w:rsidP="00AC2BD8">
      <w:pPr>
        <w:spacing w:after="120" w:line="240" w:lineRule="auto"/>
        <w:ind w:firstLine="708"/>
        <w:jc w:val="both"/>
        <w:rPr>
          <w:rFonts w:ascii="Calibri" w:eastAsia="Calibri" w:hAnsi="Calibri" w:cs="Calibri"/>
          <w:sz w:val="28"/>
          <w:szCs w:val="28"/>
        </w:rPr>
      </w:pPr>
      <w:r w:rsidRPr="00AC2BD8">
        <w:rPr>
          <w:rFonts w:ascii="Calibri" w:eastAsia="Calibri" w:hAnsi="Calibri" w:cs="Calibri"/>
          <w:sz w:val="28"/>
          <w:szCs w:val="28"/>
        </w:rPr>
        <w:t xml:space="preserve">04.01.2021 r. do Burmistrza Śremu wpłynął wniosek MW Solar Invest Spółki z ograniczoną odpowiedzialnością z siedzibą w Klonówcu (KRS 0000856149), Klonówiec 3f, 64-111 Lipno, działającej przez pełnomocnika Pana Marcina Szlapsa, uzupełniony 20.01.2021 r., o wydanie decyzji o środowiskowych uwarunkowaniach dla planowanego przedsięwzięcia polegającego na budowie elektrowni słonecznej „Bystrzek” o mocy do 80 MW wraz z infrastrukturą towarzyszącą na działkach o numerach ewidencyjnych.: 40/5; 40/6; 40/7; 40/8; 43, obręb Bystrzek. Do wniosku załączona została karta informacyjna przedsięwzięcia wraz z wymaganymi załącznikami oraz pełnomocnictwo. </w:t>
      </w:r>
    </w:p>
    <w:p w14:paraId="021A3D99" w14:textId="77777777" w:rsidR="00AC2BD8" w:rsidRPr="00AC2BD8" w:rsidRDefault="00AC2BD8" w:rsidP="00AC2BD8">
      <w:pPr>
        <w:spacing w:after="120" w:line="240" w:lineRule="auto"/>
        <w:ind w:firstLine="708"/>
        <w:jc w:val="both"/>
        <w:rPr>
          <w:rFonts w:ascii="Calibri" w:eastAsia="Calibri" w:hAnsi="Calibri" w:cs="Calibri"/>
          <w:sz w:val="28"/>
          <w:szCs w:val="28"/>
        </w:rPr>
      </w:pPr>
      <w:r w:rsidRPr="00AC2BD8">
        <w:rPr>
          <w:rFonts w:ascii="Calibri" w:eastAsia="Calibri" w:hAnsi="Calibri" w:cs="Calibri"/>
          <w:sz w:val="28"/>
          <w:szCs w:val="28"/>
        </w:rPr>
        <w:lastRenderedPageBreak/>
        <w:t>Zgodnie z art. 73 ust. 1 ustawy postępowanie w sprawie wydania decyzji o środowiskowych uwarunkowaniach wszczyna się na wniosek podmiotu planującego podjęcie realizacji przedsięwzięcia.</w:t>
      </w:r>
    </w:p>
    <w:p w14:paraId="43B9D8F8" w14:textId="77777777" w:rsidR="00AC2BD8" w:rsidRPr="00AC2BD8" w:rsidRDefault="00AC2BD8" w:rsidP="00AC2BD8">
      <w:pPr>
        <w:spacing w:after="120" w:line="240" w:lineRule="auto"/>
        <w:ind w:firstLine="708"/>
        <w:jc w:val="both"/>
        <w:rPr>
          <w:rFonts w:ascii="Calibri" w:eastAsia="Calibri" w:hAnsi="Calibri" w:cs="Calibri"/>
          <w:sz w:val="28"/>
          <w:szCs w:val="28"/>
        </w:rPr>
      </w:pPr>
      <w:r w:rsidRPr="00AC2BD8">
        <w:rPr>
          <w:rFonts w:ascii="Calibri" w:eastAsia="Calibri" w:hAnsi="Calibri" w:cs="Calibri"/>
          <w:sz w:val="28"/>
          <w:szCs w:val="28"/>
        </w:rPr>
        <w:t xml:space="preserve">Na podstawie art. 75 ust. 1 pkt 4 ustawy, w przypadku przedmiotowego przedsięwzięcia, właściwym organem do wydania decyzji o środowiskowych uwarunkowaniach jest Burmistrz Śremu. </w:t>
      </w:r>
    </w:p>
    <w:p w14:paraId="4BC57963" w14:textId="77777777" w:rsidR="00AC2BD8" w:rsidRPr="00AC2BD8" w:rsidRDefault="00AC2BD8" w:rsidP="00AC2BD8">
      <w:pPr>
        <w:spacing w:after="0" w:line="240" w:lineRule="auto"/>
        <w:ind w:firstLine="708"/>
        <w:jc w:val="both"/>
        <w:rPr>
          <w:rFonts w:ascii="Calibri" w:eastAsia="Calibri" w:hAnsi="Calibri" w:cs="Calibri"/>
          <w:sz w:val="28"/>
          <w:szCs w:val="28"/>
        </w:rPr>
      </w:pPr>
      <w:r w:rsidRPr="00AC2BD8">
        <w:rPr>
          <w:rFonts w:ascii="Calibri" w:eastAsia="Calibri" w:hAnsi="Calibri" w:cs="Calibri"/>
          <w:sz w:val="28"/>
          <w:szCs w:val="28"/>
        </w:rPr>
        <w:t>Przedmiotowe przedsięwzięcie planowane jest do realizacji na terenie o łącznej powierzchni do 60,6277 ha i będzie obejmować w szczególności:</w:t>
      </w:r>
    </w:p>
    <w:p w14:paraId="71CEACE5" w14:textId="77777777" w:rsidR="00AC2BD8" w:rsidRPr="00AC2BD8" w:rsidRDefault="00AC2BD8" w:rsidP="00AC2BD8">
      <w:pPr>
        <w:numPr>
          <w:ilvl w:val="0"/>
          <w:numId w:val="15"/>
        </w:numPr>
        <w:spacing w:after="0" w:line="240" w:lineRule="auto"/>
        <w:ind w:left="284" w:hanging="284"/>
        <w:jc w:val="both"/>
        <w:rPr>
          <w:rFonts w:ascii="Calibri" w:eastAsia="Calibri" w:hAnsi="Calibri" w:cs="Calibri"/>
          <w:sz w:val="28"/>
          <w:szCs w:val="28"/>
        </w:rPr>
      </w:pPr>
      <w:r w:rsidRPr="00AC2BD8">
        <w:rPr>
          <w:rFonts w:ascii="Calibri" w:eastAsia="Calibri" w:hAnsi="Calibri" w:cs="Calibri"/>
          <w:sz w:val="28"/>
          <w:szCs w:val="28"/>
        </w:rPr>
        <w:t>przygotowanie i uporządkowanie terenu,</w:t>
      </w:r>
    </w:p>
    <w:p w14:paraId="20CBB68B" w14:textId="77777777" w:rsidR="00AC2BD8" w:rsidRPr="00AC2BD8" w:rsidRDefault="00AC2BD8" w:rsidP="00AC2BD8">
      <w:pPr>
        <w:numPr>
          <w:ilvl w:val="0"/>
          <w:numId w:val="15"/>
        </w:numPr>
        <w:spacing w:after="0" w:line="240" w:lineRule="auto"/>
        <w:ind w:left="284" w:hanging="284"/>
        <w:jc w:val="both"/>
        <w:rPr>
          <w:rFonts w:ascii="Calibri" w:eastAsia="Calibri" w:hAnsi="Calibri" w:cs="Calibri"/>
          <w:sz w:val="28"/>
          <w:szCs w:val="28"/>
        </w:rPr>
      </w:pPr>
      <w:r w:rsidRPr="00AC2BD8">
        <w:rPr>
          <w:rFonts w:ascii="Calibri" w:eastAsia="Calibri" w:hAnsi="Calibri" w:cs="Calibri"/>
          <w:sz w:val="28"/>
          <w:szCs w:val="28"/>
        </w:rPr>
        <w:t>montaż paneli fotowoltaicznych na konstrukcjach wolnostojących, opartych na stalowych słupkach wbijanych lub wkręcanych w ziemię albo montowanych na jedno lub dwuosiowych trakerach (systemy nadążne),</w:t>
      </w:r>
    </w:p>
    <w:p w14:paraId="4226B4F5" w14:textId="77777777" w:rsidR="00AC2BD8" w:rsidRPr="00AC2BD8" w:rsidRDefault="00AC2BD8" w:rsidP="00AC2BD8">
      <w:pPr>
        <w:numPr>
          <w:ilvl w:val="0"/>
          <w:numId w:val="15"/>
        </w:numPr>
        <w:spacing w:after="0" w:line="240" w:lineRule="auto"/>
        <w:ind w:left="284" w:hanging="284"/>
        <w:jc w:val="both"/>
        <w:rPr>
          <w:rFonts w:ascii="Calibri" w:eastAsia="Calibri" w:hAnsi="Calibri" w:cs="Calibri"/>
          <w:sz w:val="28"/>
          <w:szCs w:val="28"/>
        </w:rPr>
      </w:pPr>
      <w:r w:rsidRPr="00AC2BD8">
        <w:rPr>
          <w:rFonts w:ascii="Calibri" w:eastAsia="Calibri" w:hAnsi="Calibri" w:cs="Calibri"/>
          <w:sz w:val="28"/>
          <w:szCs w:val="28"/>
        </w:rPr>
        <w:t>montaż string-box’ów (złączy kablowych),</w:t>
      </w:r>
    </w:p>
    <w:p w14:paraId="61F8F943" w14:textId="77777777" w:rsidR="00AC2BD8" w:rsidRPr="00AC2BD8" w:rsidRDefault="00AC2BD8" w:rsidP="00AC2BD8">
      <w:pPr>
        <w:numPr>
          <w:ilvl w:val="0"/>
          <w:numId w:val="15"/>
        </w:numPr>
        <w:spacing w:after="0" w:line="240" w:lineRule="auto"/>
        <w:ind w:left="284" w:hanging="284"/>
        <w:jc w:val="both"/>
        <w:rPr>
          <w:rFonts w:ascii="Calibri" w:eastAsia="Calibri" w:hAnsi="Calibri" w:cs="Calibri"/>
          <w:sz w:val="28"/>
          <w:szCs w:val="28"/>
        </w:rPr>
      </w:pPr>
      <w:r w:rsidRPr="00AC2BD8">
        <w:rPr>
          <w:rFonts w:ascii="Calibri" w:eastAsia="Calibri" w:hAnsi="Calibri" w:cs="Calibri"/>
          <w:sz w:val="28"/>
          <w:szCs w:val="28"/>
        </w:rPr>
        <w:t xml:space="preserve">montaż inwerterów w systemie rozproszonym, </w:t>
      </w:r>
    </w:p>
    <w:p w14:paraId="277F6C83" w14:textId="77777777" w:rsidR="00AC2BD8" w:rsidRPr="00AC2BD8" w:rsidRDefault="00AC2BD8" w:rsidP="00AC2BD8">
      <w:pPr>
        <w:numPr>
          <w:ilvl w:val="0"/>
          <w:numId w:val="15"/>
        </w:numPr>
        <w:spacing w:after="0" w:line="240" w:lineRule="auto"/>
        <w:ind w:left="284" w:hanging="284"/>
        <w:jc w:val="both"/>
        <w:rPr>
          <w:rFonts w:ascii="Calibri" w:eastAsia="Calibri" w:hAnsi="Calibri" w:cs="Calibri"/>
          <w:sz w:val="28"/>
          <w:szCs w:val="28"/>
        </w:rPr>
      </w:pPr>
      <w:r w:rsidRPr="00AC2BD8">
        <w:rPr>
          <w:rFonts w:ascii="Calibri" w:eastAsia="Calibri" w:hAnsi="Calibri" w:cs="Calibri"/>
          <w:sz w:val="28"/>
          <w:szCs w:val="28"/>
        </w:rPr>
        <w:t>posadowienie kontenerowych stacji transformatorowych,</w:t>
      </w:r>
    </w:p>
    <w:p w14:paraId="5E72AA04" w14:textId="77777777" w:rsidR="00AC2BD8" w:rsidRPr="00AC2BD8" w:rsidRDefault="00AC2BD8" w:rsidP="00AC2BD8">
      <w:pPr>
        <w:numPr>
          <w:ilvl w:val="0"/>
          <w:numId w:val="15"/>
        </w:numPr>
        <w:spacing w:after="0" w:line="240" w:lineRule="auto"/>
        <w:ind w:left="284" w:hanging="284"/>
        <w:jc w:val="both"/>
        <w:rPr>
          <w:rFonts w:ascii="Calibri" w:eastAsia="Calibri" w:hAnsi="Calibri" w:cs="Calibri"/>
          <w:sz w:val="28"/>
          <w:szCs w:val="28"/>
        </w:rPr>
      </w:pPr>
      <w:r w:rsidRPr="00AC2BD8">
        <w:rPr>
          <w:rFonts w:ascii="Calibri" w:eastAsia="Calibri" w:hAnsi="Calibri" w:cs="Calibri"/>
          <w:sz w:val="28"/>
          <w:szCs w:val="28"/>
        </w:rPr>
        <w:t>posadowienie magazynów energii w zabudowie kontenerowej,</w:t>
      </w:r>
    </w:p>
    <w:p w14:paraId="6FF13FC8" w14:textId="77777777" w:rsidR="00AC2BD8" w:rsidRPr="00AC2BD8" w:rsidRDefault="00AC2BD8" w:rsidP="00AC2BD8">
      <w:pPr>
        <w:numPr>
          <w:ilvl w:val="0"/>
          <w:numId w:val="15"/>
        </w:numPr>
        <w:spacing w:after="0" w:line="240" w:lineRule="auto"/>
        <w:ind w:left="284" w:hanging="284"/>
        <w:jc w:val="both"/>
        <w:rPr>
          <w:rFonts w:ascii="Calibri" w:eastAsia="Calibri" w:hAnsi="Calibri" w:cs="Calibri"/>
          <w:sz w:val="28"/>
          <w:szCs w:val="28"/>
        </w:rPr>
      </w:pPr>
      <w:r w:rsidRPr="00AC2BD8">
        <w:rPr>
          <w:rFonts w:ascii="Calibri" w:eastAsia="Calibri" w:hAnsi="Calibri" w:cs="Calibri"/>
          <w:sz w:val="28"/>
          <w:szCs w:val="28"/>
        </w:rPr>
        <w:t>opcjonalnie, posadowienie jednopolowej stacji transformatorowej wysokich napięć 110 kV/SN,</w:t>
      </w:r>
    </w:p>
    <w:p w14:paraId="1528BDD1" w14:textId="77777777" w:rsidR="00AC2BD8" w:rsidRPr="00AC2BD8" w:rsidRDefault="00AC2BD8" w:rsidP="00AC2BD8">
      <w:pPr>
        <w:numPr>
          <w:ilvl w:val="0"/>
          <w:numId w:val="15"/>
        </w:numPr>
        <w:spacing w:after="0" w:line="240" w:lineRule="auto"/>
        <w:ind w:left="284" w:hanging="284"/>
        <w:jc w:val="both"/>
        <w:rPr>
          <w:rFonts w:ascii="Calibri" w:eastAsia="Calibri" w:hAnsi="Calibri" w:cs="Calibri"/>
          <w:sz w:val="28"/>
          <w:szCs w:val="28"/>
        </w:rPr>
      </w:pPr>
      <w:r w:rsidRPr="00AC2BD8">
        <w:rPr>
          <w:rFonts w:ascii="Calibri" w:eastAsia="Calibri" w:hAnsi="Calibri" w:cs="Calibri"/>
          <w:sz w:val="28"/>
          <w:szCs w:val="28"/>
        </w:rPr>
        <w:t xml:space="preserve">wykonanie przyłączy elektroenergetycznych, </w:t>
      </w:r>
    </w:p>
    <w:p w14:paraId="5706AC9A" w14:textId="77777777" w:rsidR="00AC2BD8" w:rsidRPr="00AC2BD8" w:rsidRDefault="00AC2BD8" w:rsidP="00AC2BD8">
      <w:pPr>
        <w:numPr>
          <w:ilvl w:val="0"/>
          <w:numId w:val="15"/>
        </w:numPr>
        <w:spacing w:after="0" w:line="240" w:lineRule="auto"/>
        <w:ind w:left="284" w:hanging="284"/>
        <w:jc w:val="both"/>
        <w:rPr>
          <w:rFonts w:ascii="Calibri" w:eastAsia="Calibri" w:hAnsi="Calibri" w:cs="Calibri"/>
          <w:sz w:val="28"/>
          <w:szCs w:val="28"/>
        </w:rPr>
      </w:pPr>
      <w:r w:rsidRPr="00AC2BD8">
        <w:rPr>
          <w:rFonts w:ascii="Calibri" w:eastAsia="Calibri" w:hAnsi="Calibri" w:cs="Calibri"/>
          <w:sz w:val="28"/>
          <w:szCs w:val="28"/>
        </w:rPr>
        <w:t>wykonanie podziemnych linii energetycznych,</w:t>
      </w:r>
    </w:p>
    <w:p w14:paraId="36187A32" w14:textId="77777777" w:rsidR="00AC2BD8" w:rsidRPr="00AC2BD8" w:rsidRDefault="00AC2BD8" w:rsidP="00AC2BD8">
      <w:pPr>
        <w:numPr>
          <w:ilvl w:val="0"/>
          <w:numId w:val="15"/>
        </w:numPr>
        <w:spacing w:after="0" w:line="240" w:lineRule="auto"/>
        <w:ind w:left="284" w:hanging="284"/>
        <w:jc w:val="both"/>
        <w:rPr>
          <w:rFonts w:ascii="Calibri" w:eastAsia="Calibri" w:hAnsi="Calibri" w:cs="Calibri"/>
          <w:sz w:val="28"/>
          <w:szCs w:val="28"/>
        </w:rPr>
      </w:pPr>
      <w:r w:rsidRPr="00AC2BD8">
        <w:rPr>
          <w:rFonts w:ascii="Calibri" w:eastAsia="Calibri" w:hAnsi="Calibri" w:cs="Calibri"/>
          <w:sz w:val="28"/>
          <w:szCs w:val="28"/>
        </w:rPr>
        <w:t>wykonanie dróg wewnętrznych,</w:t>
      </w:r>
    </w:p>
    <w:p w14:paraId="6414995E" w14:textId="77777777" w:rsidR="00AC2BD8" w:rsidRPr="00AC2BD8" w:rsidRDefault="00AC2BD8" w:rsidP="00AC2BD8">
      <w:pPr>
        <w:numPr>
          <w:ilvl w:val="0"/>
          <w:numId w:val="15"/>
        </w:numPr>
        <w:spacing w:after="0" w:line="240" w:lineRule="auto"/>
        <w:ind w:left="284" w:hanging="284"/>
        <w:jc w:val="both"/>
        <w:rPr>
          <w:rFonts w:ascii="Calibri" w:eastAsia="Calibri" w:hAnsi="Calibri" w:cs="Calibri"/>
          <w:sz w:val="28"/>
          <w:szCs w:val="28"/>
        </w:rPr>
      </w:pPr>
      <w:r w:rsidRPr="00AC2BD8">
        <w:rPr>
          <w:rFonts w:ascii="Calibri" w:eastAsia="Calibri" w:hAnsi="Calibri" w:cs="Calibri"/>
          <w:sz w:val="28"/>
          <w:szCs w:val="28"/>
        </w:rPr>
        <w:t>wykonanie parkingów z wyznaczonymi dwoma miejscami postojowymi każdy,</w:t>
      </w:r>
    </w:p>
    <w:p w14:paraId="054C96C0" w14:textId="77777777" w:rsidR="00AC2BD8" w:rsidRPr="00AC2BD8" w:rsidRDefault="00AC2BD8" w:rsidP="00AC2BD8">
      <w:pPr>
        <w:numPr>
          <w:ilvl w:val="0"/>
          <w:numId w:val="15"/>
        </w:numPr>
        <w:spacing w:after="0" w:line="240" w:lineRule="auto"/>
        <w:ind w:left="284" w:hanging="284"/>
        <w:jc w:val="both"/>
        <w:rPr>
          <w:rFonts w:ascii="Calibri" w:eastAsia="Calibri" w:hAnsi="Calibri" w:cs="Calibri"/>
          <w:sz w:val="28"/>
          <w:szCs w:val="28"/>
        </w:rPr>
      </w:pPr>
      <w:r w:rsidRPr="00AC2BD8">
        <w:rPr>
          <w:rFonts w:ascii="Calibri" w:eastAsia="Calibri" w:hAnsi="Calibri" w:cs="Calibri"/>
          <w:sz w:val="28"/>
          <w:szCs w:val="28"/>
        </w:rPr>
        <w:t>wykonanie placów manewrowych,</w:t>
      </w:r>
    </w:p>
    <w:p w14:paraId="663FF0EE" w14:textId="77777777" w:rsidR="00AC2BD8" w:rsidRPr="00AC2BD8" w:rsidRDefault="00AC2BD8" w:rsidP="00AC2BD8">
      <w:pPr>
        <w:numPr>
          <w:ilvl w:val="0"/>
          <w:numId w:val="15"/>
        </w:numPr>
        <w:spacing w:after="0" w:line="240" w:lineRule="auto"/>
        <w:ind w:left="284" w:hanging="284"/>
        <w:jc w:val="both"/>
        <w:rPr>
          <w:rFonts w:ascii="Calibri" w:eastAsia="Calibri" w:hAnsi="Calibri" w:cs="Calibri"/>
          <w:sz w:val="28"/>
          <w:szCs w:val="28"/>
        </w:rPr>
      </w:pPr>
      <w:r w:rsidRPr="00AC2BD8">
        <w:rPr>
          <w:rFonts w:ascii="Calibri" w:eastAsia="Calibri" w:hAnsi="Calibri" w:cs="Calibri"/>
          <w:sz w:val="28"/>
          <w:szCs w:val="28"/>
        </w:rPr>
        <w:t>wykonanie ogrodzenia,</w:t>
      </w:r>
    </w:p>
    <w:p w14:paraId="3E0AC89B" w14:textId="77777777" w:rsidR="00AC2BD8" w:rsidRPr="00AC2BD8" w:rsidRDefault="00AC2BD8" w:rsidP="00AC2BD8">
      <w:pPr>
        <w:numPr>
          <w:ilvl w:val="0"/>
          <w:numId w:val="15"/>
        </w:numPr>
        <w:spacing w:after="120" w:line="240" w:lineRule="auto"/>
        <w:ind w:left="284" w:hanging="284"/>
        <w:jc w:val="both"/>
        <w:rPr>
          <w:rFonts w:ascii="Calibri" w:eastAsia="Calibri" w:hAnsi="Calibri" w:cs="Calibri"/>
          <w:sz w:val="28"/>
          <w:szCs w:val="28"/>
        </w:rPr>
      </w:pPr>
      <w:r w:rsidRPr="00AC2BD8">
        <w:rPr>
          <w:rFonts w:ascii="Calibri" w:eastAsia="Calibri" w:hAnsi="Calibri" w:cs="Calibri"/>
          <w:sz w:val="28"/>
          <w:szCs w:val="28"/>
        </w:rPr>
        <w:t>montaż innych urządzeń infrastruktury, w tym: urządzenia monitoringu elektrowni fotowoltaicznej, kamery monitoringu wizyjnego, systemy alarmowe oraz kontroli dostępu.</w:t>
      </w:r>
    </w:p>
    <w:p w14:paraId="3EBEBC99" w14:textId="77777777" w:rsidR="00AC2BD8" w:rsidRPr="00AC2BD8" w:rsidRDefault="00AC2BD8" w:rsidP="00AC2BD8">
      <w:pPr>
        <w:spacing w:after="120" w:line="240" w:lineRule="auto"/>
        <w:ind w:firstLine="708"/>
        <w:jc w:val="both"/>
        <w:rPr>
          <w:rFonts w:ascii="Calibri" w:eastAsia="Calibri" w:hAnsi="Calibri" w:cs="Calibri"/>
          <w:sz w:val="28"/>
          <w:szCs w:val="28"/>
        </w:rPr>
      </w:pPr>
      <w:r w:rsidRPr="00AC2BD8">
        <w:rPr>
          <w:rFonts w:ascii="Calibri" w:eastAsia="Calibri" w:hAnsi="Calibri" w:cs="Calibri"/>
          <w:sz w:val="28"/>
          <w:szCs w:val="28"/>
        </w:rPr>
        <w:t xml:space="preserve">Planowane przedsięwzięcie realizowane będzie w pobliżu rzeki Warty (w odległości około 100 m) na terenach gruntów rolnych. W centralnej części obszaru planowanego przedsięwzięcia znajdują się nieużytki i fragmenty łąk, w obrębie których położone są pozostałości starorzeczy Warty. Tereny te zostały objęte ochroną w formie użytku ekologicznego pod nazwą „Starorzecza w Łęgu”, ustanowionym na mocy uchwały Nr </w:t>
      </w:r>
      <w:r w:rsidRPr="00AC2BD8">
        <w:rPr>
          <w:rFonts w:ascii="Calibri" w:eastAsia="Times New Roman" w:hAnsi="Calibri" w:cs="Calibri"/>
          <w:sz w:val="28"/>
          <w:szCs w:val="28"/>
          <w:lang w:eastAsia="pl-PL"/>
        </w:rPr>
        <w:t>220/XXV/08 Rady Miejskiej w Śremie z dnia 26 czerwca 2008 r. w sprawie ustanowienia użytku ekologicznego w Łęgu (Dz. Urz. Woj. Wielk. Nr 136, poz. 2495).</w:t>
      </w:r>
      <w:r w:rsidRPr="00AC2BD8">
        <w:rPr>
          <w:rFonts w:ascii="Calibri" w:eastAsia="Calibri" w:hAnsi="Calibri" w:cs="Calibri"/>
          <w:sz w:val="28"/>
          <w:szCs w:val="28"/>
        </w:rPr>
        <w:t xml:space="preserve"> </w:t>
      </w:r>
    </w:p>
    <w:p w14:paraId="36560EB4" w14:textId="77777777" w:rsidR="00AC2BD8" w:rsidRPr="00AC2BD8" w:rsidRDefault="00AC2BD8" w:rsidP="00AC2BD8">
      <w:pPr>
        <w:spacing w:after="0" w:line="240" w:lineRule="auto"/>
        <w:jc w:val="both"/>
        <w:rPr>
          <w:rFonts w:ascii="Calibri" w:eastAsia="Calibri" w:hAnsi="Calibri" w:cs="Calibri"/>
          <w:sz w:val="28"/>
          <w:szCs w:val="28"/>
        </w:rPr>
      </w:pPr>
      <w:r w:rsidRPr="00AC2BD8">
        <w:rPr>
          <w:rFonts w:ascii="Calibri" w:eastAsia="Calibri" w:hAnsi="Calibri" w:cs="Calibri"/>
          <w:sz w:val="28"/>
          <w:szCs w:val="28"/>
        </w:rPr>
        <w:br w:type="page"/>
      </w:r>
    </w:p>
    <w:p w14:paraId="1E7ED00E" w14:textId="77777777" w:rsidR="00AC2BD8" w:rsidRPr="00AC2BD8" w:rsidRDefault="00AC2BD8" w:rsidP="00AC2BD8">
      <w:pPr>
        <w:spacing w:after="120" w:line="240" w:lineRule="auto"/>
        <w:ind w:firstLine="709"/>
        <w:jc w:val="both"/>
        <w:rPr>
          <w:rFonts w:ascii="Calibri" w:eastAsia="Calibri" w:hAnsi="Calibri" w:cs="Calibri"/>
          <w:sz w:val="28"/>
          <w:szCs w:val="28"/>
        </w:rPr>
      </w:pPr>
      <w:r w:rsidRPr="00AC2BD8">
        <w:rPr>
          <w:rFonts w:ascii="Calibri" w:eastAsia="Calibri" w:hAnsi="Calibri" w:cs="Calibri"/>
          <w:sz w:val="28"/>
          <w:szCs w:val="28"/>
        </w:rPr>
        <w:lastRenderedPageBreak/>
        <w:t xml:space="preserve">Od strony północnej miejsce realizacji przedsięwzięcia bezpośrednio graniczy z obszarami Natura 2000: specjalnym obszarem ochrony siedlisk Rogalińska Dolina Warty PLH300012 i obszarem specjalnej ochrony ptaków Ostoja Rogalińska PLB300017 oraz obszarem ważnym dla ptaków „Ostoja Rogalińska”, wyznaczonym na podstawie opracowania Wylegała P.; Kuźniak S.; Dolatę P. T.: Obszary ważne dla ptaków w okresie gniazdowania oraz migracji na terenie województwa wielkopolskiego. WBPP, Poznań, 2008. Ponadto przedsięwzięcie znajduje się w ponadregionalnym korytarzu ekologicznym KPnC-22A „Dolina Warty”. </w:t>
      </w:r>
      <w:r w:rsidRPr="00AC2BD8">
        <w:rPr>
          <w:rFonts w:ascii="Calibri" w:eastAsia="Times New Roman" w:hAnsi="Calibri" w:cs="Calibri"/>
          <w:sz w:val="28"/>
          <w:szCs w:val="28"/>
          <w:lang w:eastAsia="pl-PL"/>
        </w:rPr>
        <w:t>Najbliższe tereny chronione akustycznie to znajdujące się na północ, w odległości około 10 m od przedmiotowego przedsięwzięcia, tereny zabudowy mieszkaniowej jednorodzinnej (działki o nr ewid.: 17/5; 17/6; 17/7; 17/8; 17/9, obręb Bystrzek).</w:t>
      </w:r>
    </w:p>
    <w:p w14:paraId="02007990" w14:textId="77777777" w:rsidR="00AC2BD8" w:rsidRPr="00AC2BD8" w:rsidRDefault="00AC2BD8" w:rsidP="00AC2BD8">
      <w:pPr>
        <w:spacing w:after="120" w:line="240" w:lineRule="auto"/>
        <w:ind w:firstLine="708"/>
        <w:jc w:val="both"/>
        <w:rPr>
          <w:rFonts w:ascii="Calibri" w:eastAsia="Calibri" w:hAnsi="Calibri" w:cs="Calibri"/>
          <w:sz w:val="28"/>
          <w:szCs w:val="28"/>
        </w:rPr>
      </w:pPr>
      <w:r w:rsidRPr="00AC2BD8">
        <w:rPr>
          <w:rFonts w:ascii="Calibri" w:eastAsia="Calibri" w:hAnsi="Calibri" w:cs="Calibri"/>
          <w:sz w:val="28"/>
          <w:szCs w:val="28"/>
        </w:rPr>
        <w:t>Przedmiotowe przedsięwzięcie zakwalifikowano do przedsięwzięć mogących potencjalnie znacząco oddziaływać na środowisko, dla których obowiązek przeprowadzenia oceny oddziaływania na środowisko może być stwierdzony, wymienionych w rozporządzeniu Rady Ministrów z dnia 10 września 2019 r. w sprawie przedsięwzięć mogących znacząco oddziaływać na środowisko w § 3 ust. 1 pkt 54 lit. b: „zabudowa przemysłowa, w tym zabudowa systemami fotowoltaicznymi, lub magazynowa, wraz z towarzyszącą jej infrastrukturą, o powierzchni zabudowy nie mniejszej niż 1 ha na obszarach innych niż wymienione w lit. a.”. Obszar, na którym planowane jest przedsięwzięcie, nie jest objęty obowiązującym miejscowym planem zagospodarowania przestrzennego.</w:t>
      </w:r>
    </w:p>
    <w:p w14:paraId="67443FEF" w14:textId="77777777" w:rsidR="00AC2BD8" w:rsidRPr="00AC2BD8" w:rsidRDefault="00AC2BD8" w:rsidP="00AC2BD8">
      <w:pPr>
        <w:spacing w:after="120" w:line="240" w:lineRule="auto"/>
        <w:ind w:firstLine="708"/>
        <w:jc w:val="both"/>
        <w:rPr>
          <w:rFonts w:ascii="Calibri" w:eastAsia="Calibri" w:hAnsi="Calibri" w:cs="Calibri"/>
          <w:sz w:val="28"/>
          <w:szCs w:val="28"/>
        </w:rPr>
      </w:pPr>
      <w:r w:rsidRPr="00AC2BD8">
        <w:rPr>
          <w:rFonts w:ascii="Calibri" w:eastAsia="Calibri" w:hAnsi="Calibri" w:cs="Calibri"/>
          <w:sz w:val="28"/>
          <w:szCs w:val="28"/>
        </w:rPr>
        <w:t>Stosownie do art. 74 ust. 3a ustawy Burmistrz Śremu ustalił krąg podmiotów, którym przysługuje przymiot strony. Przymiot strony postępowania otrzymali: wnioskodawca, właściciel terenu, na którym realizowane będzie przedsięwzięcie (działki o numerach ewidencyjnych: 40/5; 40/6; 40/7; 40/8; 43, obręb Bystrzek) oraz podmioty, którym przysługuje prawo rzeczowe do nieruchomości znajdujących się w obszarze wyznaczonym w odległości 100 m od granic terenu przedsięwzięcia. Obszar ten objął więc działki o numerach ewidencyjnych: 437, obręb Mechlin, 2; 11; 5/2; 6; 4/11; 4/12; 1; 3; 18/2; 8; 19; 4/4, obręb Pysząca i 4; 5; 14; 17/4; 17/10; 18; 20/2; 20/3; 44; 56; 48; 15; 34; 41; 42; 60; 3; 35; 47; 52; 62; 64/5; 20/1; 16; 45; 51; 53; 32; 17/7; 17/6; 17/9; 17/8; 17/2; 17/3; 17/5; 61; 40/1; 19/1; 19/2; 17/1; 49/2; 40/2; 30/2; 33, obręb Bystrzek.</w:t>
      </w:r>
    </w:p>
    <w:p w14:paraId="40559DA0" w14:textId="77777777" w:rsidR="00AC2BD8" w:rsidRPr="00AC2BD8" w:rsidRDefault="00AC2BD8" w:rsidP="00AC2BD8">
      <w:pPr>
        <w:spacing w:after="0" w:line="240" w:lineRule="auto"/>
        <w:jc w:val="both"/>
        <w:rPr>
          <w:rFonts w:ascii="Calibri" w:eastAsia="Calibri" w:hAnsi="Calibri" w:cs="Calibri"/>
          <w:sz w:val="28"/>
          <w:szCs w:val="28"/>
        </w:rPr>
      </w:pPr>
      <w:r w:rsidRPr="00AC2BD8">
        <w:rPr>
          <w:rFonts w:ascii="Calibri" w:eastAsia="Calibri" w:hAnsi="Calibri" w:cs="Calibri"/>
          <w:sz w:val="28"/>
          <w:szCs w:val="28"/>
        </w:rPr>
        <w:br w:type="page"/>
      </w:r>
    </w:p>
    <w:p w14:paraId="2F8CDFE3" w14:textId="77777777" w:rsidR="00AC2BD8" w:rsidRPr="00AC2BD8" w:rsidRDefault="00AC2BD8" w:rsidP="00AC2BD8">
      <w:pPr>
        <w:spacing w:after="120" w:line="240" w:lineRule="auto"/>
        <w:ind w:firstLine="708"/>
        <w:jc w:val="both"/>
        <w:rPr>
          <w:rFonts w:ascii="Calibri" w:eastAsia="Calibri" w:hAnsi="Calibri" w:cs="Calibri"/>
          <w:sz w:val="28"/>
          <w:szCs w:val="28"/>
        </w:rPr>
      </w:pPr>
      <w:r w:rsidRPr="00AC2BD8">
        <w:rPr>
          <w:rFonts w:ascii="Calibri" w:eastAsia="Calibri" w:hAnsi="Calibri" w:cs="Calibri"/>
          <w:sz w:val="28"/>
          <w:szCs w:val="28"/>
        </w:rPr>
        <w:lastRenderedPageBreak/>
        <w:t>Zgodnie z art. 61 § 4 K.p.a. i art. 74 ust. 3 ustawy strony postępowania zostały powiadomione o wszczęciu postępowania w formie obwieszczenia z 22.01.2021 r. Obwieszczenie zamieszczono w Biuletynie Informacji Publicznej Urzędu Miejskiego w Śremie (http://umsrem.bip.eur.pl/public/?id=210896), w gablotach informacyjnych Urzędu oraz na tablicy ogłoszeniowej w Bystrzku.</w:t>
      </w:r>
    </w:p>
    <w:p w14:paraId="4A75DC5C" w14:textId="77777777" w:rsidR="00AC2BD8" w:rsidRPr="00AC2BD8" w:rsidRDefault="00AC2BD8" w:rsidP="00AC2BD8">
      <w:pPr>
        <w:spacing w:after="120" w:line="240" w:lineRule="auto"/>
        <w:ind w:firstLine="708"/>
        <w:jc w:val="both"/>
        <w:rPr>
          <w:rFonts w:ascii="Calibri" w:eastAsia="Calibri" w:hAnsi="Calibri" w:cs="Calibri"/>
          <w:sz w:val="28"/>
          <w:szCs w:val="28"/>
        </w:rPr>
      </w:pPr>
      <w:r w:rsidRPr="00AC2BD8">
        <w:rPr>
          <w:rFonts w:ascii="Calibri" w:eastAsia="Calibri" w:hAnsi="Calibri" w:cs="Calibri"/>
          <w:sz w:val="28"/>
          <w:szCs w:val="28"/>
        </w:rPr>
        <w:t xml:space="preserve">Zgodnie z art. 64 ust. 1 ustawy Burmistrz Śremu, pismami z 22.01.2021 r., wystąpił do Państwowego Powiatowego Inspektora Sanitarnego w Śremie, Regionalnego Dyrektora Ochrony Środowiska w Poznaniu oraz Dyrektora Zarządu Zlewni Państwowego Gospodarstwa Wodnego Wody Polskie w Poznaniu, o opinię w sprawie obowiązku przeprowadzenia oceny oddziaływania przedmiotowego przedsięwzięcia na środowisko i określenia zakresu ewentualnego raportu. </w:t>
      </w:r>
    </w:p>
    <w:p w14:paraId="2693878C" w14:textId="77777777" w:rsidR="00AC2BD8" w:rsidRPr="00AC2BD8" w:rsidRDefault="00AC2BD8" w:rsidP="00AC2BD8">
      <w:pPr>
        <w:spacing w:after="120" w:line="240" w:lineRule="auto"/>
        <w:ind w:firstLine="708"/>
        <w:jc w:val="both"/>
        <w:rPr>
          <w:rFonts w:ascii="Calibri" w:eastAsia="Calibri" w:hAnsi="Calibri" w:cs="Calibri"/>
          <w:sz w:val="28"/>
          <w:szCs w:val="28"/>
        </w:rPr>
      </w:pPr>
      <w:r w:rsidRPr="00AC2BD8">
        <w:rPr>
          <w:rFonts w:ascii="Calibri" w:eastAsia="Calibri" w:hAnsi="Calibri" w:cs="Calibri"/>
          <w:sz w:val="28"/>
          <w:szCs w:val="28"/>
        </w:rPr>
        <w:t>Dyrektor Zarządu Zlewni Państwowego Gospodarstwa Wodnego Wody Polskie w Poznaniu, w piśmie z 27.01.2021 r. znak PO.ZZŚ.4.435.57.1.2021.MDB, nie stwierdził potrzeby przeprowadzenia oceny oddziaływania planowanego przedsięwzięcia na środowisko.</w:t>
      </w:r>
    </w:p>
    <w:p w14:paraId="04C3BC56" w14:textId="77777777" w:rsidR="00AC2BD8" w:rsidRPr="00AC2BD8" w:rsidRDefault="00AC2BD8" w:rsidP="00AC2BD8">
      <w:pPr>
        <w:spacing w:after="120" w:line="240" w:lineRule="auto"/>
        <w:ind w:firstLine="708"/>
        <w:jc w:val="both"/>
        <w:rPr>
          <w:rFonts w:ascii="Calibri" w:eastAsia="Calibri" w:hAnsi="Calibri" w:cs="Calibri"/>
          <w:sz w:val="28"/>
          <w:szCs w:val="28"/>
        </w:rPr>
      </w:pPr>
      <w:r w:rsidRPr="00AC2BD8">
        <w:rPr>
          <w:rFonts w:ascii="Calibri" w:eastAsia="Calibri" w:hAnsi="Calibri" w:cs="Calibri"/>
          <w:sz w:val="28"/>
          <w:szCs w:val="28"/>
        </w:rPr>
        <w:t>Państwowy Powiatowy Inspektor Sanitarny w Śremie, w piśmie z 04.02.2021 r. znak ON.NS.9011.18.1.2021, wyraził opinię, że przeprowadzenie oceny oddziaływania na środowisko nie jest wymagane.</w:t>
      </w:r>
    </w:p>
    <w:p w14:paraId="641CE4BD" w14:textId="77777777" w:rsidR="00AC2BD8" w:rsidRPr="00AC2BD8" w:rsidRDefault="00AC2BD8" w:rsidP="00AC2BD8">
      <w:pPr>
        <w:spacing w:after="120" w:line="240" w:lineRule="auto"/>
        <w:ind w:firstLine="708"/>
        <w:jc w:val="both"/>
        <w:rPr>
          <w:rFonts w:ascii="Calibri" w:eastAsia="Calibri" w:hAnsi="Calibri" w:cs="Calibri"/>
          <w:sz w:val="28"/>
          <w:szCs w:val="28"/>
        </w:rPr>
      </w:pPr>
      <w:bookmarkStart w:id="0" w:name="_Hlk98487546"/>
      <w:r w:rsidRPr="00AC2BD8">
        <w:rPr>
          <w:rFonts w:ascii="Calibri" w:eastAsia="Calibri" w:hAnsi="Calibri" w:cs="Calibri"/>
          <w:sz w:val="28"/>
          <w:szCs w:val="28"/>
        </w:rPr>
        <w:t>01.03.2021 r. do Burmistrza Śremu wpłynęło pismo wnioskodawcy z wyjaśnieniami, o które wezwał wnioskodawcę Regionalny Dyrektor Ochrony Środowiska w Poznaniu w toku postępowania wyjaśniającego.</w:t>
      </w:r>
    </w:p>
    <w:bookmarkEnd w:id="0"/>
    <w:p w14:paraId="43801B06" w14:textId="77777777" w:rsidR="00AC2BD8" w:rsidRPr="00AC2BD8" w:rsidRDefault="00AC2BD8" w:rsidP="00AC2BD8">
      <w:pPr>
        <w:spacing w:after="120" w:line="240" w:lineRule="auto"/>
        <w:ind w:firstLine="708"/>
        <w:jc w:val="both"/>
        <w:rPr>
          <w:rFonts w:ascii="Calibri" w:eastAsia="Calibri" w:hAnsi="Calibri" w:cs="Calibri"/>
          <w:sz w:val="28"/>
          <w:szCs w:val="28"/>
        </w:rPr>
      </w:pPr>
      <w:r w:rsidRPr="00AC2BD8">
        <w:rPr>
          <w:rFonts w:ascii="Calibri" w:eastAsia="Calibri" w:hAnsi="Calibri" w:cs="Calibri"/>
          <w:sz w:val="28"/>
          <w:szCs w:val="28"/>
        </w:rPr>
        <w:t xml:space="preserve">Regionalny Dyrektor Ochrony Środowiska w Poznaniu, w piśmie z 26.03.2021 r. znak WOO-IV.4220.79.2021.JM.4, wyraził opinię, że dla planowanego przedsięwzięcia </w:t>
      </w:r>
      <w:r w:rsidRPr="00AC2BD8">
        <w:rPr>
          <w:rFonts w:ascii="Calibri" w:eastAsia="Calibri" w:hAnsi="Calibri" w:cs="Calibri"/>
          <w:b/>
          <w:bCs/>
          <w:sz w:val="28"/>
          <w:szCs w:val="28"/>
        </w:rPr>
        <w:t>istnieje potrzeba przeprowadzenia oceny oddziaływania na środowisko i ustalił zakres raportu</w:t>
      </w:r>
      <w:r w:rsidRPr="00AC2BD8">
        <w:rPr>
          <w:rFonts w:ascii="Calibri" w:eastAsia="Calibri" w:hAnsi="Calibri" w:cs="Calibri"/>
          <w:sz w:val="28"/>
          <w:szCs w:val="28"/>
        </w:rPr>
        <w:t xml:space="preserve"> o oddziaływaniu przedsięwzięcia na środowisko. </w:t>
      </w:r>
    </w:p>
    <w:p w14:paraId="24999264" w14:textId="77777777" w:rsidR="00AC2BD8" w:rsidRPr="00AC2BD8" w:rsidRDefault="00AC2BD8" w:rsidP="00AC2BD8">
      <w:pPr>
        <w:spacing w:after="120" w:line="240" w:lineRule="auto"/>
        <w:ind w:firstLine="708"/>
        <w:jc w:val="both"/>
        <w:rPr>
          <w:rFonts w:ascii="Calibri" w:eastAsia="Calibri" w:hAnsi="Calibri" w:cs="Calibri"/>
          <w:sz w:val="28"/>
          <w:szCs w:val="28"/>
        </w:rPr>
      </w:pPr>
      <w:r w:rsidRPr="00AC2BD8">
        <w:rPr>
          <w:rFonts w:ascii="Calibri" w:eastAsia="Calibri" w:hAnsi="Calibri" w:cs="Calibri"/>
          <w:sz w:val="28"/>
          <w:szCs w:val="28"/>
        </w:rPr>
        <w:t>Po przeanalizowaniu stanowisk organów opiniujących i informacji zawartych w karcie informacyjnej przedsięwzięcia oraz uwzględniając łącznie uwarunkowania zawarte w art. 63 ust. 1 ustawy, Burmistrz Śremu, na mocy postanowienia z 01.04.2021 r., nałożył obowiązek przeprowadzenia oceny oddziaływania przedsięwzięcia na środowisko i ustalił zakres raportu.</w:t>
      </w:r>
    </w:p>
    <w:p w14:paraId="3291DEAB" w14:textId="77777777" w:rsidR="00AC2BD8" w:rsidRPr="00AC2BD8" w:rsidRDefault="00AC2BD8" w:rsidP="00AC2BD8">
      <w:pPr>
        <w:spacing w:after="0" w:line="240" w:lineRule="auto"/>
        <w:jc w:val="both"/>
        <w:rPr>
          <w:rFonts w:ascii="Calibri" w:eastAsia="Calibri" w:hAnsi="Calibri" w:cs="Calibri"/>
          <w:sz w:val="28"/>
          <w:szCs w:val="28"/>
        </w:rPr>
      </w:pPr>
      <w:r w:rsidRPr="00AC2BD8">
        <w:rPr>
          <w:rFonts w:ascii="Calibri" w:eastAsia="Calibri" w:hAnsi="Calibri" w:cs="Calibri"/>
          <w:sz w:val="28"/>
          <w:szCs w:val="28"/>
        </w:rPr>
        <w:br w:type="page"/>
      </w:r>
    </w:p>
    <w:p w14:paraId="211825E2" w14:textId="77777777" w:rsidR="00AC2BD8" w:rsidRPr="00AC2BD8" w:rsidRDefault="00AC2BD8" w:rsidP="00AC2BD8">
      <w:pPr>
        <w:spacing w:after="120" w:line="240" w:lineRule="auto"/>
        <w:ind w:firstLine="708"/>
        <w:jc w:val="both"/>
        <w:rPr>
          <w:rFonts w:ascii="Calibri" w:eastAsia="Calibri" w:hAnsi="Calibri" w:cs="Calibri"/>
          <w:sz w:val="28"/>
          <w:szCs w:val="28"/>
        </w:rPr>
      </w:pPr>
      <w:r w:rsidRPr="00AC2BD8">
        <w:rPr>
          <w:rFonts w:ascii="Calibri" w:eastAsia="Calibri" w:hAnsi="Calibri" w:cs="Calibri"/>
          <w:sz w:val="28"/>
          <w:szCs w:val="28"/>
        </w:rPr>
        <w:lastRenderedPageBreak/>
        <w:t xml:space="preserve">26.04.2021 r. do Burmistrza Śremu wpłynął raport o oddziaływaniu przedsięwzięcia na środowisko, zwany dalej raportem, sporządzony w kwietniu 2021 r. przez zespół pod kierunkiem Pana Łukasza Cieślika z Biura Projektów Środowiskowych Eko-Konsult, uzupełniony 27.05.2021 r, 21.07.2021 r., 04.08.2021 r. i 17.08.2021 r. </w:t>
      </w:r>
    </w:p>
    <w:p w14:paraId="367207D3" w14:textId="77777777" w:rsidR="00AC2BD8" w:rsidRPr="00AC2BD8" w:rsidRDefault="00AC2BD8" w:rsidP="00AC2BD8">
      <w:pPr>
        <w:spacing w:after="120" w:line="240" w:lineRule="auto"/>
        <w:ind w:firstLine="709"/>
        <w:jc w:val="both"/>
        <w:rPr>
          <w:rFonts w:ascii="Calibri" w:eastAsia="Times New Roman" w:hAnsi="Calibri" w:cs="Calibri"/>
          <w:sz w:val="28"/>
          <w:szCs w:val="28"/>
          <w:lang w:eastAsia="pl-PL"/>
        </w:rPr>
      </w:pPr>
      <w:r w:rsidRPr="00AC2BD8">
        <w:rPr>
          <w:rFonts w:ascii="Calibri" w:eastAsia="Calibri" w:hAnsi="Calibri" w:cs="Calibri"/>
          <w:sz w:val="28"/>
          <w:szCs w:val="28"/>
        </w:rPr>
        <w:t xml:space="preserve">Na podstawie art. 77 ust. 1 pkt 1 ustawy Burmistrz Śremu, pismem z 19.08.2021 r., zwrócił się do Regionalnego Dyrektora Ochrony Środowiska w Poznaniu, o uzgodnienie środowiskowych uwarunkowań dla planowanego przedsięwzięcia. Jednocześnie na podstawie art. 77 ust. 1 pkt 2, w związku z art. 78 ust. 1 pkt 1 lit. b ustawy, Burmistrz Śremu, pismem z 19.08.2021 r., wystąpił do Wielkopolskiego Państwowego Wojewódzkiego Inspektora Sanitarnego w Poznaniu, o wyrażenie opinii w sprawie warunków realizacji planowanego przedsięwzięcia. </w:t>
      </w:r>
      <w:r w:rsidRPr="00AC2BD8">
        <w:rPr>
          <w:rFonts w:ascii="Calibri" w:eastAsia="Times New Roman" w:hAnsi="Calibri" w:cs="Calibri"/>
          <w:sz w:val="28"/>
          <w:szCs w:val="28"/>
          <w:lang w:eastAsia="pl-PL"/>
        </w:rPr>
        <w:t xml:space="preserve">Przepisy art. 77 ust. 1 pkt 1a, 1b, 2, 3 i 4 ustawy stosuje się odpowiednio. </w:t>
      </w:r>
      <w:bookmarkStart w:id="1" w:name="mip45490946"/>
      <w:bookmarkEnd w:id="1"/>
    </w:p>
    <w:p w14:paraId="4FA2F062" w14:textId="77777777" w:rsidR="00AC2BD8" w:rsidRPr="00AC2BD8" w:rsidRDefault="00AC2BD8" w:rsidP="00AC2BD8">
      <w:pPr>
        <w:spacing w:after="120" w:line="240" w:lineRule="auto"/>
        <w:ind w:firstLine="708"/>
        <w:jc w:val="both"/>
        <w:rPr>
          <w:rFonts w:ascii="Calibri" w:eastAsia="Calibri" w:hAnsi="Calibri" w:cs="Calibri"/>
          <w:sz w:val="28"/>
          <w:szCs w:val="28"/>
        </w:rPr>
      </w:pPr>
      <w:r w:rsidRPr="00AC2BD8">
        <w:rPr>
          <w:rFonts w:ascii="Calibri" w:eastAsia="Calibri" w:hAnsi="Calibri" w:cs="Calibri"/>
          <w:sz w:val="28"/>
          <w:szCs w:val="28"/>
        </w:rPr>
        <w:t>Zgodnie z art. 33 ust. 1 i art. 79 ust. 1 ustawy, w celu zapewnienia udziału społeczeństwa w postępowaniu, w Biuletynie Informacji Publicznej Urzędu Miejskiego w Śremie pod adresem http://umsrem.bip.eur.pl/public/?id=210896, w gablotach informacyjnych Urzędu, na tablicy ogłoszeniowej w Bystrzku oraz w prasie lokalnej (Tydzień Ziemi Śremskiej z 26.08.2021 r., Nr 34) zamieszczono informacje o: złożeniu wniosku w sprawie wydania decyzji o środowiskowych uwarunkowaniach na realizację przedmiotowego przedsięwzięcia; przystąpieniu do przeprowadzenia oceny oddziaływania na środowisko dla przedmiotowego przedsięwzięcia; organie właściwym do wydania decyzji oraz organach właściwych do dokonania uzgodnienia i wyrażenia opinii; możliwości zapoznania się z dokumentacją sprawy oraz składania uwag i wniosków w terminie 30 dni, to jest od 26.08.2021 r. do 24.09.2021 r. We wskazanym terminie do Burmistrza Śremu nie wpłynęły żadne uwagi i wnioski.</w:t>
      </w:r>
    </w:p>
    <w:p w14:paraId="38ECCB6D" w14:textId="77777777" w:rsidR="00AC2BD8" w:rsidRPr="00AC2BD8" w:rsidRDefault="00AC2BD8" w:rsidP="00AC2BD8">
      <w:pPr>
        <w:spacing w:after="120" w:line="240" w:lineRule="auto"/>
        <w:ind w:firstLine="708"/>
        <w:jc w:val="both"/>
        <w:rPr>
          <w:rFonts w:ascii="Calibri" w:eastAsia="Calibri" w:hAnsi="Calibri" w:cs="Calibri"/>
          <w:sz w:val="28"/>
          <w:szCs w:val="28"/>
        </w:rPr>
      </w:pPr>
      <w:r w:rsidRPr="00AC2BD8">
        <w:rPr>
          <w:rFonts w:ascii="Calibri" w:eastAsia="Calibri" w:hAnsi="Calibri" w:cs="Calibri"/>
          <w:sz w:val="28"/>
          <w:szCs w:val="28"/>
        </w:rPr>
        <w:t xml:space="preserve">Wielkopolski Państwowy Wojewódzki Inspektor Sanitarny w Poznaniu, w piśmie z 13.09.2021 r. znak DN-NS.9011.1205.2021, zaopiniował pozytywnie warunki do decyzji o środowiskowych uwarunkowaniach, wskazując, że: „ (…) nie powinny zostać przekroczone dopuszczalne wartości natężenia pola elektromagnetycznego wynikające z rozporządzeniem Ministra Zdrowia z dnia 17 grudnia 2019 r. w sprawie dopuszczalnych poziomów pól elektromagnetycznych w środowisku (Dz. U. z 2019 r., poz. 2448).”. </w:t>
      </w:r>
    </w:p>
    <w:p w14:paraId="6F44D6AF" w14:textId="77777777" w:rsidR="00AC2BD8" w:rsidRPr="00AC2BD8" w:rsidRDefault="00AC2BD8" w:rsidP="00AC2BD8">
      <w:pPr>
        <w:spacing w:after="0" w:line="240" w:lineRule="auto"/>
        <w:jc w:val="both"/>
        <w:rPr>
          <w:rFonts w:ascii="Calibri" w:eastAsia="Times New Roman" w:hAnsi="Calibri" w:cs="Calibri"/>
          <w:sz w:val="28"/>
          <w:szCs w:val="28"/>
          <w:lang w:eastAsia="pl-PL"/>
        </w:rPr>
      </w:pPr>
      <w:r w:rsidRPr="00AC2BD8">
        <w:rPr>
          <w:rFonts w:ascii="Calibri" w:eastAsia="Times New Roman" w:hAnsi="Calibri" w:cs="Calibri"/>
          <w:sz w:val="28"/>
          <w:szCs w:val="28"/>
          <w:lang w:eastAsia="pl-PL"/>
        </w:rPr>
        <w:br w:type="page"/>
      </w:r>
    </w:p>
    <w:p w14:paraId="3EECD95B" w14:textId="77777777" w:rsidR="00AC2BD8" w:rsidRPr="00AC2BD8" w:rsidRDefault="00AC2BD8" w:rsidP="00AC2BD8">
      <w:pPr>
        <w:spacing w:after="120" w:line="240" w:lineRule="auto"/>
        <w:ind w:firstLine="709"/>
        <w:jc w:val="both"/>
        <w:rPr>
          <w:rFonts w:ascii="Calibri" w:eastAsia="Times New Roman" w:hAnsi="Calibri" w:cs="Calibri"/>
          <w:sz w:val="28"/>
          <w:szCs w:val="28"/>
          <w:lang w:eastAsia="pl-PL"/>
        </w:rPr>
      </w:pPr>
      <w:r w:rsidRPr="00AC2BD8">
        <w:rPr>
          <w:rFonts w:ascii="Calibri" w:eastAsia="Times New Roman" w:hAnsi="Calibri" w:cs="Calibri"/>
          <w:sz w:val="28"/>
          <w:szCs w:val="28"/>
          <w:lang w:eastAsia="pl-PL"/>
        </w:rPr>
        <w:lastRenderedPageBreak/>
        <w:t xml:space="preserve">Regionalny Dyrektor Ochrony Środowiska w Poznaniu, pismem z 20.09.2021 r., zwrócił się do Burmistrza Śremu, o wskazanie jaki jest sposób zagospodarowania i wykorzystywania terenów otaczających planowane przedsięwzięcie oraz o wyjaśnienie, do którego rodzaju terenów, o których mowa w tabeli 1 załącznika do rozporządzenia Ministra Środowiska z dnia 14 czerwca 2007 r. w sprawie dopuszczalnych poziomów hałasu w środowisku (Dz. U. z 2014 r. poz. 112) należą tereny sąsiadujące z przedsięwzięciem, a także o wskazanie gdzie i w jakiej odległości znajdują się najbliższe tereny wymienione w wyżej wymienionym rozporządzeniu i wymagające ochrony akustycznej. Burmistrz Śremu, w piśmie z 04.10.2021 r., uczynił zadość wezwaniu. </w:t>
      </w:r>
    </w:p>
    <w:p w14:paraId="1F5B538C" w14:textId="77777777" w:rsidR="00AC2BD8" w:rsidRPr="00AC2BD8" w:rsidRDefault="00AC2BD8" w:rsidP="00AC2BD8">
      <w:pPr>
        <w:spacing w:after="120" w:line="240" w:lineRule="auto"/>
        <w:ind w:firstLine="708"/>
        <w:jc w:val="both"/>
        <w:rPr>
          <w:rFonts w:ascii="Calibri" w:eastAsia="Calibri" w:hAnsi="Calibri" w:cs="Calibri"/>
          <w:sz w:val="28"/>
          <w:szCs w:val="28"/>
        </w:rPr>
      </w:pPr>
      <w:r w:rsidRPr="00AC2BD8">
        <w:rPr>
          <w:rFonts w:ascii="Calibri" w:eastAsia="Calibri" w:hAnsi="Calibri" w:cs="Calibri"/>
          <w:sz w:val="28"/>
          <w:szCs w:val="28"/>
        </w:rPr>
        <w:t>14.12.2021 r. do Burmistrza Śremu wpłynęło uzupełnienie raportu, o które wezwał wnioskodawcę Regionalny Dyrektor Ochrony Środowiska w Poznaniu w toku postępowania wyjaśniającego.</w:t>
      </w:r>
    </w:p>
    <w:p w14:paraId="0DA0F362" w14:textId="77777777" w:rsidR="00AC2BD8" w:rsidRPr="00AC2BD8" w:rsidRDefault="00AC2BD8" w:rsidP="00AC2BD8">
      <w:pPr>
        <w:spacing w:after="120" w:line="240" w:lineRule="auto"/>
        <w:ind w:firstLine="708"/>
        <w:jc w:val="both"/>
        <w:rPr>
          <w:rFonts w:ascii="Calibri" w:eastAsia="Calibri" w:hAnsi="Calibri" w:cs="Calibri"/>
          <w:sz w:val="28"/>
          <w:szCs w:val="28"/>
        </w:rPr>
      </w:pPr>
      <w:r w:rsidRPr="00AC2BD8">
        <w:rPr>
          <w:rFonts w:ascii="Calibri" w:eastAsia="Calibri" w:hAnsi="Calibri" w:cs="Calibri"/>
          <w:sz w:val="28"/>
          <w:szCs w:val="28"/>
        </w:rPr>
        <w:t xml:space="preserve">Postanowieniem z 14.02.2022 r. znak WOO-I.4221.184.2021.WB.5 Regionalny Dyrektor Ochrony Środowiska w Poznaniu </w:t>
      </w:r>
      <w:r w:rsidRPr="00AC2BD8">
        <w:rPr>
          <w:rFonts w:ascii="Calibri" w:eastAsia="Calibri" w:hAnsi="Calibri" w:cs="Calibri"/>
          <w:b/>
          <w:bCs/>
          <w:sz w:val="28"/>
          <w:szCs w:val="28"/>
        </w:rPr>
        <w:t>odmówił uzgodnienia warunków realizacji planowanego przedsięwzięcia</w:t>
      </w:r>
      <w:r w:rsidRPr="00AC2BD8">
        <w:rPr>
          <w:rFonts w:ascii="Calibri" w:eastAsia="Calibri" w:hAnsi="Calibri" w:cs="Calibri"/>
          <w:sz w:val="28"/>
          <w:szCs w:val="28"/>
        </w:rPr>
        <w:t xml:space="preserve">, wskazując, że: „W oparciu o przedstawione w raporcie i uzupełnieniach materiały, nie można ocenić wpływu przedsięwzięcia na klimat akustyczny. (…) nie można dokonać pełnej oceny walorów przyrodniczych miejsca realizacji przedsięwzięcia oraz ocenić wpływu przedsięwzięcia na właściwy stan ochrony populacji gatunków występujących w zasięgu oddziaływania, w szczególności ptaków lęgowych i migrujących.”. </w:t>
      </w:r>
    </w:p>
    <w:p w14:paraId="72A5C20D" w14:textId="77777777" w:rsidR="00AC2BD8" w:rsidRPr="00AC2BD8" w:rsidRDefault="00AC2BD8" w:rsidP="00AC2BD8">
      <w:pPr>
        <w:spacing w:after="120" w:line="240" w:lineRule="auto"/>
        <w:ind w:firstLine="708"/>
        <w:jc w:val="both"/>
        <w:rPr>
          <w:rFonts w:ascii="Calibri" w:eastAsia="Calibri" w:hAnsi="Calibri" w:cs="Calibri"/>
          <w:sz w:val="28"/>
          <w:szCs w:val="28"/>
        </w:rPr>
      </w:pPr>
      <w:r w:rsidRPr="00AC2BD8">
        <w:rPr>
          <w:rFonts w:ascii="Calibri" w:eastAsia="Calibri" w:hAnsi="Calibri" w:cs="Calibri"/>
          <w:sz w:val="28"/>
          <w:szCs w:val="28"/>
        </w:rPr>
        <w:t xml:space="preserve">Regionalny Dyrektor wyjaśnił, że raport oraz dołączone do niego uzupełnienia posiadały rozbieżne i niespójne informacje. Do uzupełnienia raportu z lipca 2021 r. wnioskodawca dołączył analizę akustyczną, która zakładała, że głównymi źródłami hałasu na terenie planowanego przedsięwzięcia będzie 40 sztuk transformatorów o poziomie mocy akustycznej 34 dB każdy, 32 sztuk inwerterów o poziomie mocy akustycznej 70 dB każdy, 368 sztuk inwerterów o poziomie mocy akustycznej 75 dB każdy i 100 sztuk silników systemów nadążnych o poziomie mocy akustycznej 40 dB każdy. </w:t>
      </w:r>
    </w:p>
    <w:p w14:paraId="5C12698D" w14:textId="77777777" w:rsidR="00AC2BD8" w:rsidRPr="00AC2BD8" w:rsidRDefault="00AC2BD8" w:rsidP="00AC2BD8">
      <w:pPr>
        <w:spacing w:after="0" w:line="240" w:lineRule="auto"/>
        <w:jc w:val="both"/>
        <w:rPr>
          <w:rFonts w:ascii="Calibri" w:eastAsia="Calibri" w:hAnsi="Calibri" w:cs="Calibri"/>
          <w:sz w:val="28"/>
          <w:szCs w:val="28"/>
        </w:rPr>
      </w:pPr>
      <w:r w:rsidRPr="00AC2BD8">
        <w:rPr>
          <w:rFonts w:ascii="Calibri" w:eastAsia="Calibri" w:hAnsi="Calibri" w:cs="Calibri"/>
          <w:sz w:val="28"/>
          <w:szCs w:val="28"/>
        </w:rPr>
        <w:br w:type="page"/>
      </w:r>
    </w:p>
    <w:p w14:paraId="496837BD" w14:textId="77777777" w:rsidR="00AC2BD8" w:rsidRPr="00AC2BD8" w:rsidRDefault="00AC2BD8" w:rsidP="00AC2BD8">
      <w:pPr>
        <w:spacing w:after="120" w:line="240" w:lineRule="auto"/>
        <w:ind w:firstLine="708"/>
        <w:jc w:val="both"/>
        <w:rPr>
          <w:rFonts w:ascii="Calibri" w:eastAsia="Calibri" w:hAnsi="Calibri" w:cs="Calibri"/>
          <w:sz w:val="28"/>
          <w:szCs w:val="28"/>
        </w:rPr>
      </w:pPr>
      <w:r w:rsidRPr="00AC2BD8">
        <w:rPr>
          <w:rFonts w:ascii="Calibri" w:eastAsia="Calibri" w:hAnsi="Calibri" w:cs="Calibri"/>
          <w:sz w:val="28"/>
          <w:szCs w:val="28"/>
        </w:rPr>
        <w:lastRenderedPageBreak/>
        <w:t>Regionalny Dyrektor, pismem z 04.10.2021 r., wezwał wnioskodawcę do zinwentaryzowania wszystkich maszyn i urządzeń będących źródłem hałasu na terenie planowanej elektrowni fotowoltaicznej [to jest trackery, stacje transformatorowe, inwertery, string-box’y, stację transformatorową wysokich napięć, magazyny energii, stację GPO (Główny Punkt Odbioru energii elektrycznej WN/SN), budynek rozdzielni], określenia ich liczby, mocy akustycznej, lokalizacji, czasu pracy (z uwzględnieniem pory dnia i nocy), a także określenia natężenia ruchu pojazdów na terenie przedmiotowego przedsięwzięcia (z uwzględnieniem podziału na pojazdy ciężkie i lekkie w ciągu ośmiu najmniej korzystnych godzin pory dnia i jednej najmniej korzystnej godziny pory nocy) po realizacji planowanego przedsięwzięcia oraz wykazania, że planowane przedsięwzięcie nie będzie powodować przekroczenia dopuszczalnych poziomów hałasu na najbliższych terenach podlegających ochronie akustycznej, określonych w rozporządzeniu Ministra Środowiska z dnia 14 czerwca 2007 r. w sprawie dopuszczalnych poziomów hałasu w środowisku.</w:t>
      </w:r>
    </w:p>
    <w:p w14:paraId="3E2F2E9E" w14:textId="77777777" w:rsidR="00AC2BD8" w:rsidRPr="00AC2BD8" w:rsidRDefault="00AC2BD8" w:rsidP="00AC2BD8">
      <w:pPr>
        <w:spacing w:after="120" w:line="240" w:lineRule="auto"/>
        <w:ind w:firstLine="708"/>
        <w:jc w:val="both"/>
        <w:rPr>
          <w:rFonts w:ascii="Calibri" w:eastAsia="Calibri" w:hAnsi="Calibri" w:cs="Calibri"/>
          <w:sz w:val="28"/>
          <w:szCs w:val="28"/>
        </w:rPr>
      </w:pPr>
      <w:r w:rsidRPr="00AC2BD8">
        <w:rPr>
          <w:rFonts w:ascii="Calibri" w:eastAsia="Calibri" w:hAnsi="Calibri" w:cs="Calibri"/>
          <w:sz w:val="28"/>
          <w:szCs w:val="28"/>
        </w:rPr>
        <w:t xml:space="preserve">W uzupełnieniu raportu z grudnia 2021 r. wnioskodawca przedstawił analizę akustyczną, która zakładała, że źródłami hałasu na terenie planowanego przedsięwzięcia będzie 41 sztuk stacji transformatorowych o poziomie mocy akustycznej 55 dB każda, 400 sztuk inwerterów rozproszonych o poziomie mocy akustycznej 75 dB każdy i jedna stacja GPO o poziomie mocy akustycznej 65 dB. Regionalny Dyrektor zauważył, że wnioskodawca nie wskazał dlaczego w analizie akustycznej nie wzięto pod uwagę trackerów, string-box’ów, stacji transformatorowych wysokich napięć, magazynów energii i budynku rozdzielni. Ponadto, w analizie akustycznej nie wskazano jednoznacznie natężenia ruchu pojazdów na terenie przedmiotowego przedsięwzięcia z uwzględnieniem podziału na pojazdy ciężkie i lekkie w ciągu ośmiu najmniej korzystnych godzin pory dnia i jednej najmniej korzystnej godziny pory nocy. Dalej, Organ zwrócił uwagę na to, że w uzupełnieniu raportu z grudnia 2021 r. wnioskodawca wskazał, że załączył mapę, na której przedstawiono trasy, po których będą poruszać się wszystkie pojazdy (osobowe i ciężkie), jednak faktycznie mapa ta nie została załączona. </w:t>
      </w:r>
    </w:p>
    <w:p w14:paraId="331C3EE3" w14:textId="77777777" w:rsidR="00AC2BD8" w:rsidRPr="00AC2BD8" w:rsidRDefault="00AC2BD8" w:rsidP="00AC2BD8">
      <w:pPr>
        <w:spacing w:after="120" w:line="240" w:lineRule="auto"/>
        <w:jc w:val="both"/>
        <w:rPr>
          <w:rFonts w:ascii="Calibri" w:eastAsia="Calibri" w:hAnsi="Calibri" w:cs="Calibri"/>
          <w:sz w:val="28"/>
          <w:szCs w:val="28"/>
        </w:rPr>
      </w:pPr>
      <w:r w:rsidRPr="00AC2BD8">
        <w:rPr>
          <w:rFonts w:ascii="Calibri" w:eastAsia="Calibri" w:hAnsi="Calibri" w:cs="Calibri"/>
          <w:sz w:val="28"/>
          <w:szCs w:val="28"/>
        </w:rPr>
        <w:tab/>
      </w:r>
    </w:p>
    <w:p w14:paraId="5DA55BFC" w14:textId="77777777" w:rsidR="00AC2BD8" w:rsidRPr="00AC2BD8" w:rsidRDefault="00AC2BD8" w:rsidP="00AC2BD8">
      <w:pPr>
        <w:spacing w:after="0" w:line="240" w:lineRule="auto"/>
        <w:jc w:val="both"/>
        <w:rPr>
          <w:rFonts w:ascii="Calibri" w:eastAsia="Calibri" w:hAnsi="Calibri" w:cs="Calibri"/>
          <w:sz w:val="28"/>
          <w:szCs w:val="28"/>
        </w:rPr>
      </w:pPr>
      <w:r w:rsidRPr="00AC2BD8">
        <w:rPr>
          <w:rFonts w:ascii="Calibri" w:eastAsia="Calibri" w:hAnsi="Calibri" w:cs="Calibri"/>
          <w:sz w:val="28"/>
          <w:szCs w:val="28"/>
        </w:rPr>
        <w:br w:type="page"/>
      </w:r>
    </w:p>
    <w:p w14:paraId="2BC6C45D" w14:textId="77777777" w:rsidR="00AC2BD8" w:rsidRPr="00AC2BD8" w:rsidRDefault="00AC2BD8" w:rsidP="00AC2BD8">
      <w:pPr>
        <w:spacing w:after="120" w:line="240" w:lineRule="auto"/>
        <w:ind w:firstLine="708"/>
        <w:jc w:val="both"/>
        <w:rPr>
          <w:rFonts w:ascii="Calibri" w:eastAsia="Calibri" w:hAnsi="Calibri" w:cs="Calibri"/>
          <w:sz w:val="28"/>
          <w:szCs w:val="28"/>
        </w:rPr>
      </w:pPr>
      <w:r w:rsidRPr="00AC2BD8">
        <w:rPr>
          <w:rFonts w:ascii="Calibri" w:eastAsia="Calibri" w:hAnsi="Calibri" w:cs="Calibri"/>
          <w:sz w:val="28"/>
          <w:szCs w:val="28"/>
        </w:rPr>
        <w:lastRenderedPageBreak/>
        <w:t xml:space="preserve">Następnie, Regionalny Dyrektor wskazał, że ocena oddziaływania przedsięwzięcia na faunę dokonana została w oparciu o wyniki inwentaryzacji przyrodniczej, załączonej do raportu: Cieślik Ł. i in.: Wyniki inwentaryzacji przyrodniczej terenu przewidzianego pod Budowę Elektrowni Słonecznej „Bystrzek” wraz z infrastrukturą towarzyszącą na działkach nr 40/5, 40/6, 40/7, 40/8 oraz 43 o mocy do 80MW obręb Bystrzek, gmina Śrem i terenu przyległego wraz z opisem zastosowanej metodyki badawczej. Gudzisz, kwiecień 2021. Organ zauważył, że w opracowaniu tym wskazano, że inwentaryzację przyrodniczą w zakresie awifauny przeprowadzono w okresie luty - grudzień 2020 r. Natomiast, w zakresie herpetofauny, teriofauny i bezkręgowców nie przedstawiono dat kontroli, wskazując jedynie, że wykonano sześć kontroli w 2020 r, a dla nietoperzy trzy kontrole. Regionalny Dyrektor stwierdził, że powyższe sugeruje, że badania przeprowadzone w okresie luty-grudzień obejmowały okres migracji wiosennych i jesiennych, okres rozrodu oraz część okresu zimowego. W związku z powyższym, Regionalny Dyrektor, pismem z 04.10.2021 r., wezwał do uzupełnienia przedstawionej dokumentacji, między innymi o przedstawienie dat kontroli terenowych wykonywanych w ramach inwentaryzacji przyrodniczej wraz ze wskazaniem szczegółów metodycznych każdej z kontroli. </w:t>
      </w:r>
    </w:p>
    <w:p w14:paraId="0367FA42" w14:textId="77777777" w:rsidR="00AC2BD8" w:rsidRPr="00AC2BD8" w:rsidRDefault="00AC2BD8" w:rsidP="00AC2BD8">
      <w:pPr>
        <w:spacing w:after="120" w:line="240" w:lineRule="auto"/>
        <w:ind w:firstLine="708"/>
        <w:jc w:val="both"/>
        <w:rPr>
          <w:rFonts w:ascii="Calibri" w:eastAsia="Calibri" w:hAnsi="Calibri" w:cs="Calibri"/>
          <w:sz w:val="28"/>
          <w:szCs w:val="28"/>
        </w:rPr>
      </w:pPr>
      <w:r w:rsidRPr="00AC2BD8">
        <w:rPr>
          <w:rFonts w:ascii="Calibri" w:eastAsia="Calibri" w:hAnsi="Calibri" w:cs="Calibri"/>
          <w:sz w:val="28"/>
          <w:szCs w:val="28"/>
        </w:rPr>
        <w:t xml:space="preserve">W uzupełnieniu raportu z 06.12.2021 r. wnioskodawca przedstawił daty wykonania kontroli, z których wynika, że badania fauny prowadzono w okresie od 08.07.2020 r. do 30.09.2020 r., czyli, jak zauważył Regionalny Dyrektor, w okresie znacznie zawężonym czasowo w stosunku do informacji przedstawionych w raporcie, przede wszystkim w okresie przypadającym na koniec okresu rozrodczego ptaków i płazów, zasadniczo w okresie dyspersji polęgowej. Na podstawie tak wykonanych badań, wykrycie większości gatunków, dla których obszar w zasięgu oddziaływania jest miejscem rozrodu, nie było możliwe. Autorzy opracowania wskazali, że badania odnośnie ptaków wykonano w oparciu o kombinowaną metoda kartograficzną (Tomiałojć 1979) oraz zgodnie ze wskazówkami zawartymi w Monitoringu Pospolitych Ptaków Lęgowych (Chylarecki i in. 2009), a lęgowość określono na podstawie kryteriów lęgowości zaczerpniętych z Atlasu rozmieszczenia ptaków lęgowych Polski 1985-2000 (Sikora i in. 2007). Regionalny Dyrektor stwierdził, że ze względu na terminy prowadzonych badań nie można uznać by były one zgodne z wyżej wymienionymi metodykami. </w:t>
      </w:r>
    </w:p>
    <w:p w14:paraId="46F85A9E" w14:textId="77777777" w:rsidR="00AC2BD8" w:rsidRPr="00AC2BD8" w:rsidRDefault="00AC2BD8" w:rsidP="00AC2BD8">
      <w:pPr>
        <w:spacing w:after="120" w:line="240" w:lineRule="auto"/>
        <w:jc w:val="both"/>
        <w:rPr>
          <w:rFonts w:ascii="Calibri" w:eastAsia="Calibri" w:hAnsi="Calibri" w:cs="Calibri"/>
          <w:sz w:val="28"/>
          <w:szCs w:val="28"/>
        </w:rPr>
      </w:pPr>
    </w:p>
    <w:p w14:paraId="40B9326B" w14:textId="77777777" w:rsidR="00AC2BD8" w:rsidRPr="00AC2BD8" w:rsidRDefault="00AC2BD8" w:rsidP="00AC2BD8">
      <w:pPr>
        <w:spacing w:after="120" w:line="240" w:lineRule="auto"/>
        <w:jc w:val="both"/>
        <w:rPr>
          <w:rFonts w:ascii="Calibri" w:eastAsia="Calibri" w:hAnsi="Calibri" w:cs="Calibri"/>
          <w:sz w:val="28"/>
          <w:szCs w:val="28"/>
        </w:rPr>
      </w:pPr>
    </w:p>
    <w:p w14:paraId="1BD0169A" w14:textId="77777777" w:rsidR="00AC2BD8" w:rsidRPr="00AC2BD8" w:rsidRDefault="00AC2BD8" w:rsidP="00AC2BD8">
      <w:pPr>
        <w:spacing w:after="120" w:line="240" w:lineRule="auto"/>
        <w:jc w:val="both"/>
        <w:rPr>
          <w:rFonts w:ascii="Calibri" w:eastAsia="Calibri" w:hAnsi="Calibri" w:cs="Calibri"/>
          <w:sz w:val="28"/>
          <w:szCs w:val="28"/>
        </w:rPr>
      </w:pPr>
      <w:r w:rsidRPr="00AC2BD8">
        <w:rPr>
          <w:rFonts w:ascii="Calibri" w:eastAsia="Calibri" w:hAnsi="Calibri" w:cs="Calibri"/>
          <w:sz w:val="28"/>
          <w:szCs w:val="28"/>
        </w:rPr>
        <w:lastRenderedPageBreak/>
        <w:t xml:space="preserve">Ponadto, przeprowadzenie nasłuchów nocnych w tym okresie w celu wykrycia gatunków o aktywności nocnej jest również mało skuteczne, ze względu na szczyt aktywności tej grupy ptaków w okresie wiosennym. Pominięcie okresu rozrodczego w badaniach ma istotne znaczenie w szczególności dla ptaków. </w:t>
      </w:r>
    </w:p>
    <w:p w14:paraId="18FFE2B9" w14:textId="77777777" w:rsidR="00AC2BD8" w:rsidRPr="00AC2BD8" w:rsidRDefault="00AC2BD8" w:rsidP="00AC2BD8">
      <w:pPr>
        <w:spacing w:after="120" w:line="240" w:lineRule="auto"/>
        <w:ind w:firstLine="708"/>
        <w:jc w:val="both"/>
        <w:rPr>
          <w:rFonts w:ascii="Calibri" w:eastAsia="Calibri" w:hAnsi="Calibri" w:cs="Calibri"/>
          <w:sz w:val="28"/>
          <w:szCs w:val="28"/>
        </w:rPr>
      </w:pPr>
      <w:r w:rsidRPr="00AC2BD8">
        <w:rPr>
          <w:rFonts w:ascii="Calibri" w:eastAsia="Calibri" w:hAnsi="Calibri" w:cs="Calibri"/>
          <w:sz w:val="28"/>
          <w:szCs w:val="28"/>
        </w:rPr>
        <w:t xml:space="preserve">Dalej, Regionalny Dyrektor wskazał, że mając na uwadze charakter siedlisk występujących w miejscu realizacji przedsięwzięcia oraz w najbliższym sąsiedztwie możliwe jest występowanie gatunków rzadkich o niekorzystnym statusie ochronnym, takich jak na przykład błotniak łąkowy Circus pygargus, derkacz Crex crex, łabędź krzykliwy Cygnus cygnus, które po zrealizowaniu przedsięwzięcia mogą opuścić te stanowiska wskutek ich bezpośredniej zabudowy lub pośredniego obniżenia ich jakości. Organ zwrócił uwagę, że wykonana inwentaryzacja przyrodnicza nie pozwala również na określenie jakie funkcje analizowany teren pełni dla populacji migrujących ptaków, w tym gatunków stanowiących przedmioty ochrony obszaru Ostoja Rogalińska PLB300017: gęsi zbożowej Anser fabalis i gęsi białoczelnej Anser albifrons. Jak zauważył Regionalny Dyrektor, autorzy opracowania wskazują na możliwość żerowania gęsi na tym terenie, jednak ze względu na dużą dostępność podobnych siedlisk w sąsiedztwie, wykluczają możliwość negatywnego wpływu. W żaden sposób nie uzasadniono twierdzenia o dużej dostępności odpowiednich żerowisk w sąsiedztwie, a przede wszystkim nie uwzględniono skumulowanego oddziaływania z innymi elektrowniami fotowoltaicznymi planowanymi na terenach sąsiednich. Regionalny Dyrektor zwrócił uwagę, że w promieniu kilku kilometrów od przedsięwzięcia, planowanych jest co najmniej 10 innych elektrowni fotowoltaicznych, które wskutek oddziaływania skumulowanego (bezpośredniego i pośredniego) mogą wykluczyć dalszą możliwość wykorzystywania tych terenów przez wybrane gatunki ptaków migrujących, w tym gęsi stanowiące przedmioty ochrony pobliskiego obszaru Natura 2000. Organ uznał, że brak danych z okresu jesiennej i wiosennej migracji nie pozwala wykluczyć innych walorów awifaunistycznych tego terenu, na przykład że teren starorzeczy w obrębie badanej powierzchni stanowi ważne w regionie noclegowiska żurawi Grus grus. </w:t>
      </w:r>
    </w:p>
    <w:p w14:paraId="2BA97F57" w14:textId="77777777" w:rsidR="00AC2BD8" w:rsidRPr="00AC2BD8" w:rsidRDefault="00AC2BD8" w:rsidP="00AC2BD8">
      <w:pPr>
        <w:spacing w:after="120" w:line="240" w:lineRule="auto"/>
        <w:ind w:firstLine="708"/>
        <w:jc w:val="both"/>
        <w:rPr>
          <w:rFonts w:ascii="Calibri" w:eastAsia="Calibri" w:hAnsi="Calibri" w:cs="Calibri"/>
          <w:sz w:val="28"/>
          <w:szCs w:val="28"/>
        </w:rPr>
      </w:pPr>
    </w:p>
    <w:p w14:paraId="208705EC" w14:textId="77777777" w:rsidR="00AC2BD8" w:rsidRPr="00AC2BD8" w:rsidRDefault="00AC2BD8" w:rsidP="00AC2BD8">
      <w:pPr>
        <w:spacing w:after="120" w:line="240" w:lineRule="auto"/>
        <w:ind w:firstLine="708"/>
        <w:jc w:val="both"/>
        <w:rPr>
          <w:rFonts w:ascii="Calibri" w:eastAsia="Calibri" w:hAnsi="Calibri" w:cs="Calibri"/>
          <w:sz w:val="28"/>
          <w:szCs w:val="28"/>
        </w:rPr>
      </w:pPr>
    </w:p>
    <w:p w14:paraId="76FAF5FD" w14:textId="77777777" w:rsidR="00AC2BD8" w:rsidRPr="00AC2BD8" w:rsidRDefault="00AC2BD8" w:rsidP="00AC2BD8">
      <w:pPr>
        <w:spacing w:after="120" w:line="240" w:lineRule="auto"/>
        <w:ind w:firstLine="708"/>
        <w:jc w:val="both"/>
        <w:rPr>
          <w:rFonts w:ascii="Calibri" w:eastAsia="Calibri" w:hAnsi="Calibri" w:cs="Calibri"/>
          <w:sz w:val="28"/>
          <w:szCs w:val="28"/>
        </w:rPr>
      </w:pPr>
    </w:p>
    <w:p w14:paraId="14BBE126" w14:textId="77777777" w:rsidR="00AC2BD8" w:rsidRPr="00AC2BD8" w:rsidRDefault="00AC2BD8" w:rsidP="00AC2BD8">
      <w:pPr>
        <w:spacing w:after="120" w:line="240" w:lineRule="auto"/>
        <w:ind w:firstLine="708"/>
        <w:jc w:val="both"/>
        <w:rPr>
          <w:rFonts w:ascii="Calibri" w:eastAsia="Calibri" w:hAnsi="Calibri" w:cs="Calibri"/>
          <w:sz w:val="28"/>
          <w:szCs w:val="28"/>
        </w:rPr>
      </w:pPr>
    </w:p>
    <w:p w14:paraId="06B93A90" w14:textId="77777777" w:rsidR="00AC2BD8" w:rsidRPr="00AC2BD8" w:rsidRDefault="00AC2BD8" w:rsidP="00AC2BD8">
      <w:pPr>
        <w:spacing w:after="120" w:line="240" w:lineRule="auto"/>
        <w:ind w:firstLine="708"/>
        <w:jc w:val="both"/>
        <w:rPr>
          <w:rFonts w:ascii="Calibri" w:eastAsia="Calibri" w:hAnsi="Calibri" w:cs="Calibri"/>
          <w:sz w:val="28"/>
          <w:szCs w:val="28"/>
        </w:rPr>
      </w:pPr>
    </w:p>
    <w:p w14:paraId="0B084BEE" w14:textId="77777777" w:rsidR="00AC2BD8" w:rsidRPr="00AC2BD8" w:rsidRDefault="00AC2BD8" w:rsidP="00AC2BD8">
      <w:pPr>
        <w:spacing w:after="120" w:line="240" w:lineRule="auto"/>
        <w:ind w:firstLine="708"/>
        <w:jc w:val="both"/>
        <w:rPr>
          <w:rFonts w:ascii="Calibri" w:eastAsia="Calibri" w:hAnsi="Calibri" w:cs="Calibri"/>
          <w:sz w:val="28"/>
          <w:szCs w:val="28"/>
        </w:rPr>
      </w:pPr>
      <w:r w:rsidRPr="00AC2BD8">
        <w:rPr>
          <w:rFonts w:ascii="Calibri" w:eastAsia="Calibri" w:hAnsi="Calibri" w:cs="Calibri"/>
          <w:sz w:val="28"/>
          <w:szCs w:val="28"/>
        </w:rPr>
        <w:lastRenderedPageBreak/>
        <w:t xml:space="preserve">W raporcie wskazano, że uzyskane w ramach monitoringu przedrealizacyjnego dane dostarczają podstawowej wiedzy o awifaunie na terenie elektrowni fotowoltaicznej i obszarów bezpośrednio przyległych, w szczególności na temat: składu gatunkowego i liczebności awifauny w cyklu rocznym, liczebności gatunków kluczowych, zagęszczenia wszystkich gatunków ptaków w głównych okresach roku, natężenia i sposobu wykorzystania przestrzeni powietrznej przez ptaki, w szczególności drapieżniki i inne gatunki o dużych rozmiarach ciała, migranty dalekodystansowe, ptaki tworzące lokalne koncentracje żerowiskowe i noclegowiskowe. Jednak jak wskazał Regionalny Dyrektor, zebrane w oparciu o zastosowane metody dane, wbrew temu co twierdzą autorzy raportu, nie pozwalają na uzyskanie informacji wymienionych powyżej, co znalazło odzwierciedlenie w wynikach, w których takich informacji nie zaprezentowano. </w:t>
      </w:r>
    </w:p>
    <w:p w14:paraId="5855A3FB" w14:textId="77777777" w:rsidR="00AC2BD8" w:rsidRPr="00AC2BD8" w:rsidRDefault="00AC2BD8" w:rsidP="00AC2BD8">
      <w:pPr>
        <w:spacing w:after="120" w:line="240" w:lineRule="auto"/>
        <w:ind w:firstLine="708"/>
        <w:jc w:val="both"/>
        <w:rPr>
          <w:rFonts w:ascii="Calibri" w:eastAsia="Calibri" w:hAnsi="Calibri" w:cs="Calibri"/>
          <w:sz w:val="28"/>
          <w:szCs w:val="28"/>
        </w:rPr>
      </w:pPr>
      <w:r w:rsidRPr="00AC2BD8">
        <w:rPr>
          <w:rFonts w:ascii="Calibri" w:eastAsia="Calibri" w:hAnsi="Calibri" w:cs="Calibri"/>
          <w:sz w:val="28"/>
          <w:szCs w:val="28"/>
        </w:rPr>
        <w:t xml:space="preserve">Burmistrz Śremu, w postanowieniu z 01.04.2021 r. określającym zakres raportu, wskazał konieczność przedstawienia informacji na temat występowania chronionych, rzadkich lub zagrożonych gatunków zwierząt uwzględniających sezonowe zmiany aktywności i migracji. Jak zauważył Regionalny Dyrektor, przedstawione w raporcie dane nie uwzględniają sezonowych zmian, dotyczą jedynie okresu dyspersji polęgowej i nie mogą być podstawą oceny oddziaływania przedsięwzięcia na elementy przyrodnicze w cyklu całorocznym. </w:t>
      </w:r>
    </w:p>
    <w:p w14:paraId="6880A8B3" w14:textId="77777777" w:rsidR="00AC2BD8" w:rsidRPr="00AC2BD8" w:rsidRDefault="00AC2BD8" w:rsidP="00AC2BD8">
      <w:pPr>
        <w:spacing w:after="120" w:line="240" w:lineRule="auto"/>
        <w:ind w:firstLine="708"/>
        <w:jc w:val="both"/>
        <w:rPr>
          <w:rFonts w:ascii="Calibri" w:eastAsia="Calibri" w:hAnsi="Calibri" w:cs="Calibri"/>
          <w:sz w:val="28"/>
          <w:szCs w:val="28"/>
        </w:rPr>
      </w:pPr>
      <w:r w:rsidRPr="00AC2BD8">
        <w:rPr>
          <w:rFonts w:ascii="Calibri" w:eastAsia="Calibri" w:hAnsi="Calibri" w:cs="Calibri"/>
          <w:sz w:val="28"/>
          <w:szCs w:val="28"/>
        </w:rPr>
        <w:t xml:space="preserve">Dalej, Regionalny Dyrektor wskazał, że na podstawie przedstawionych w raporcie danych z końca okresu lęgowego i okresu dyspersji nie można również jednoznacznie zinterpretować uzyskanych wyników ze względu na sposób ich prezentacji. Zarówno w raporcie, jak i w jego uzupełnieniu, wyniki odnoszące się do fauny, w szczególności ptaków, które są grupą szczególnie zagrożoną negatywnymi oddziaływaniami, zaprezentowano w sposób syntetyczny, bez podania parametrów lokalnych populacji takich jak na przykład liczebność i rozmieszczenie. W wynikach przedstawionych w raporcie wymieniono jedynie 18 gatunków, których występowanie udało się stwierdzić, nie przedstawiając żadnych szczegółowych informacji. W uzupełnieniu raportu wyniki przedstawiono w formie tabelarycznej, przedstawiając wykaz tych samych gatunków rozszerzony o informacje na temat statusu na badanym terenie oraz liczebności. Jak zauważył Regionalny Dyrektor, trudno jednak uznać, by wyniki te odzwierciedlały stan faktyczny. </w:t>
      </w:r>
    </w:p>
    <w:p w14:paraId="2AD4D709" w14:textId="77777777" w:rsidR="00AC2BD8" w:rsidRPr="00AC2BD8" w:rsidRDefault="00AC2BD8" w:rsidP="00AC2BD8">
      <w:pPr>
        <w:spacing w:after="120" w:line="240" w:lineRule="auto"/>
        <w:jc w:val="both"/>
        <w:rPr>
          <w:rFonts w:ascii="Calibri" w:eastAsia="Calibri" w:hAnsi="Calibri" w:cs="Calibri"/>
          <w:sz w:val="28"/>
          <w:szCs w:val="28"/>
        </w:rPr>
      </w:pPr>
    </w:p>
    <w:p w14:paraId="424A3F59" w14:textId="77777777" w:rsidR="00AC2BD8" w:rsidRPr="00AC2BD8" w:rsidRDefault="00AC2BD8" w:rsidP="00AC2BD8">
      <w:pPr>
        <w:spacing w:after="120" w:line="240" w:lineRule="auto"/>
        <w:jc w:val="both"/>
        <w:rPr>
          <w:rFonts w:ascii="Calibri" w:eastAsia="Calibri" w:hAnsi="Calibri" w:cs="Calibri"/>
          <w:sz w:val="28"/>
          <w:szCs w:val="28"/>
        </w:rPr>
      </w:pPr>
    </w:p>
    <w:p w14:paraId="356D1352" w14:textId="77777777" w:rsidR="00AC2BD8" w:rsidRPr="00AC2BD8" w:rsidRDefault="00AC2BD8" w:rsidP="00AC2BD8">
      <w:pPr>
        <w:spacing w:after="120" w:line="240" w:lineRule="auto"/>
        <w:jc w:val="both"/>
        <w:rPr>
          <w:rFonts w:ascii="Calibri" w:eastAsia="Calibri" w:hAnsi="Calibri" w:cs="Calibri"/>
          <w:sz w:val="28"/>
          <w:szCs w:val="28"/>
        </w:rPr>
      </w:pPr>
      <w:r w:rsidRPr="00AC2BD8">
        <w:rPr>
          <w:rFonts w:ascii="Calibri" w:eastAsia="Calibri" w:hAnsi="Calibri" w:cs="Calibri"/>
          <w:sz w:val="28"/>
          <w:szCs w:val="28"/>
        </w:rPr>
        <w:lastRenderedPageBreak/>
        <w:t xml:space="preserve">Odnotowanie jedynie 18 gatunków ptaków, w liczebnościach wskazanych w uzupełnieniu (na przykład kos - jedna para, zięba - jedna para, piecuszek – dwie pary), przy uwzględnieniu dużej powierzchni objętej badaniami i jej zróżnicowania siedliskowego pozwala wnioskować, że wyniki te dotyczą jedynie wstępnego rozpoznania, a nie inwentaryzacji ornitologicznej. Nie wykazano szeregu gatunków, których występowanie jest bliskie pewności, a liczebności gatunków pospolitych są zdecydowanie zaniżone, nawet mając na względzie nieodpowiedni termin badań. </w:t>
      </w:r>
    </w:p>
    <w:p w14:paraId="348B1066" w14:textId="77777777" w:rsidR="00AC2BD8" w:rsidRPr="00AC2BD8" w:rsidRDefault="00AC2BD8" w:rsidP="00AC2BD8">
      <w:pPr>
        <w:spacing w:after="120" w:line="240" w:lineRule="auto"/>
        <w:ind w:firstLine="851"/>
        <w:jc w:val="both"/>
        <w:rPr>
          <w:rFonts w:ascii="Calibri" w:eastAsia="Calibri" w:hAnsi="Calibri" w:cs="Calibri"/>
          <w:sz w:val="28"/>
          <w:szCs w:val="28"/>
        </w:rPr>
      </w:pPr>
      <w:r w:rsidRPr="00AC2BD8">
        <w:rPr>
          <w:rFonts w:ascii="Calibri" w:eastAsia="Calibri" w:hAnsi="Calibri" w:cs="Calibri"/>
          <w:sz w:val="28"/>
          <w:szCs w:val="28"/>
        </w:rPr>
        <w:t xml:space="preserve">W uzupełnieniu raportu przedstawiono również rozmieszczenie stanowisk ptaków w formie kartograficznej. Jak wskazał Regionalny Dyrektor, nie wiadomo jednak jakiego typu informacje przedstawiono na mapie i co oznaczają poszczególne punkty. Nie wiadomo czy jest to zbiór wszystkich obserwacji wykonanych w trakcie badań (w tym ptaków przelatujących nad badaną powierzchnią), czy przedstawia jedynie ptaki stacjonarne. Niezależnie od tego, informacje przedstawione na mapie budzą wątpliwości co do ich rzetelności (na przykład stanowiska zaganiacza na polu uprawnym). </w:t>
      </w:r>
    </w:p>
    <w:p w14:paraId="5600EA33" w14:textId="77777777" w:rsidR="00AC2BD8" w:rsidRPr="00AC2BD8" w:rsidRDefault="00AC2BD8" w:rsidP="00AC2BD8">
      <w:pPr>
        <w:spacing w:after="120" w:line="240" w:lineRule="auto"/>
        <w:ind w:firstLine="708"/>
        <w:jc w:val="both"/>
        <w:rPr>
          <w:rFonts w:ascii="Calibri" w:eastAsia="Calibri" w:hAnsi="Calibri" w:cs="Calibri"/>
          <w:sz w:val="28"/>
          <w:szCs w:val="28"/>
        </w:rPr>
      </w:pPr>
      <w:r w:rsidRPr="00AC2BD8">
        <w:rPr>
          <w:rFonts w:ascii="Calibri" w:eastAsia="Calibri" w:hAnsi="Calibri" w:cs="Calibri"/>
          <w:sz w:val="28"/>
          <w:szCs w:val="28"/>
        </w:rPr>
        <w:t xml:space="preserve">Dalej, Regionalny Dyrektor zwrócił uwagę, że w raporcie i jego uzupełnieniu nie przestawiono lokalizacji poszczególnych elementów elektrowni fotowoltaicznej, takich jak drogi techniczne, place manewrowe, ogrodzenie. W raporcie wskazano jedynie obszary objęte przedsięwzięciem, które w różnych miejscach raportu i uzupełnień wyglądają inaczej, bez wskazania szczegółów dotyczących lokalizacji wyżej wymienionych obiektów. W kolejnym uzupełnieniu raportu wskazano jedynie lokalizację stacji transformatorowych, magazynów energii i GPO. Brak powyższych informacji uniemożliwia jednoznaczne potwierdzenie na ile planowane przedsięwzięcie będzie ingerowało w obszar użytku ekologicznego „Starorzecza w Łęgu”. Jak wskazał Regionalny Dyrektor, autorzy raportu deklarują brak ingerencji w te obszary, jednak pomimo wezwania do uzupełnienia, nie przedstawiono jednoznacznych informacji potwierdzających tą deklarację, pozwalających wykluczyć możliwość sprzeczności z zakazami określonymi w uchwale Nr 220/XXV/08 Rady Miejskiej w Śremie z dnia 26 czerwca 2008 r. w sprawie ustanowienia użytku ekologicznego w Łęgu. Ponadto, w raporcie i jego uzupełnieniu nie oceniono również wpływu przedsięwzięcia na cel ochrony użytku ekologicznego „Starorzecza w Łęgu”. Przedmiotowy użytek wyznaczono w celu zachowania różnorodności biologicznej, w szczególności dla ochrony miejsc bytowania i rozrodu płazów i ptaków oraz zachowania zróżnicowanej roślinności wodnej i błotnej. </w:t>
      </w:r>
    </w:p>
    <w:p w14:paraId="7C259BDD" w14:textId="77777777" w:rsidR="00AC2BD8" w:rsidRPr="00AC2BD8" w:rsidRDefault="00AC2BD8" w:rsidP="00AC2BD8">
      <w:pPr>
        <w:spacing w:after="120" w:line="240" w:lineRule="auto"/>
        <w:jc w:val="both"/>
        <w:rPr>
          <w:rFonts w:ascii="Calibri" w:eastAsia="Calibri" w:hAnsi="Calibri" w:cs="Calibri"/>
          <w:sz w:val="28"/>
          <w:szCs w:val="28"/>
        </w:rPr>
      </w:pPr>
    </w:p>
    <w:p w14:paraId="49D9585B" w14:textId="77777777" w:rsidR="00AC2BD8" w:rsidRPr="00AC2BD8" w:rsidRDefault="00AC2BD8" w:rsidP="00AC2BD8">
      <w:pPr>
        <w:spacing w:after="120" w:line="240" w:lineRule="auto"/>
        <w:jc w:val="both"/>
        <w:rPr>
          <w:rFonts w:ascii="Calibri" w:eastAsia="Calibri" w:hAnsi="Calibri" w:cs="Calibri"/>
          <w:sz w:val="28"/>
          <w:szCs w:val="28"/>
        </w:rPr>
      </w:pPr>
      <w:r w:rsidRPr="00AC2BD8">
        <w:rPr>
          <w:rFonts w:ascii="Calibri" w:eastAsia="Calibri" w:hAnsi="Calibri" w:cs="Calibri"/>
          <w:sz w:val="28"/>
          <w:szCs w:val="28"/>
        </w:rPr>
        <w:lastRenderedPageBreak/>
        <w:t xml:space="preserve">W opinii Regionalnego Dyrektora, wskutek zabudowy dużych obszarów wokół użytku panelami fotowoltaicznymi dojdzie do pośredniego oddziaływania polegającego na obniżeniu jakości siedlisk wybranych gatunków ptaków występujących na terenie użytku ekologicznego i możliwości opuszczenia tych stanowisk. Obowiązek odniesienia się do celów, dla których ustanowiono użytek ekologiczny określił Burmistrz Śremu w postanowieniu z 01.04.2021 r. oraz Regionalny Dyrektor w wezwaniu z 04.10.2021 r. do uzupełnienia raportu, czego w dokumentacji nie przedstawiono. </w:t>
      </w:r>
    </w:p>
    <w:p w14:paraId="321F8AA1" w14:textId="77777777" w:rsidR="00AC2BD8" w:rsidRPr="00AC2BD8" w:rsidRDefault="00AC2BD8" w:rsidP="00AC2BD8">
      <w:pPr>
        <w:spacing w:after="120" w:line="240" w:lineRule="auto"/>
        <w:ind w:firstLine="709"/>
        <w:jc w:val="both"/>
        <w:rPr>
          <w:rFonts w:ascii="Calibri" w:eastAsia="Calibri" w:hAnsi="Calibri" w:cs="Calibri"/>
          <w:sz w:val="28"/>
          <w:szCs w:val="28"/>
        </w:rPr>
      </w:pPr>
      <w:r w:rsidRPr="00AC2BD8">
        <w:rPr>
          <w:rFonts w:ascii="Calibri" w:eastAsia="Calibri" w:hAnsi="Calibri" w:cs="Calibri"/>
          <w:sz w:val="28"/>
          <w:szCs w:val="28"/>
        </w:rPr>
        <w:t xml:space="preserve">Przedsięwzięcie realizowane będzie w korytarzu ekologicznym Dolina Warty KPnC-22A, wyznaczonym w opracowaniu: Jędrzejewski W.; Nowak S.; Stachura K.; Skierczyński M.; Mysłajek R. W.; Niedziałkowski K.; Jędrzejewska B.; Wójcik J. M.; Zalewska H.; Pilot M.; Górny M.; Kurek R.T.; Ślusarczyk R. Projekt korytarzy ekologicznych łączących Europejską Sieć Natura 2000 w Polsce. Zakład Badania Ssaków PAN, Białowieża 2011. Jak wskazał Regionalny Dyrektor, ocena wpływu na drożność tego korytarza, przedstawiona w raporcie, nie uwzględnia faktu powstania bariery poprzez wygrodzenie dużego fragmentu obszaru, a oddziaływanie to będzie miało charakter skumulowany z innymi elektrowniami fotowoltaicznymi planowanymi w sąsiedztwie. W uzupełnieniu raportu wskazano, że: między gruntem a ogrodzeniem zostanie zachowana wolna przestrzeń; elektrownia nie zawiera żadnych ruchomych elementów, które mogłyby powodować śmiertelność zwierząt; w pobliżu występują miejsca o podobnych uwarunkowaniach środowiskowych, które mogą być wykorzystywane do migracji; panele będą pokryte powłoką antyrefleksyjną; po zrealizowaniu przedsięwzięcia ptaki gniazdujące na ziemi w dalszym ciągu będą mogły wykorzystywać powierzchnię działki; zmniejszy się śmiertelność płazów, gadów i drobnych ssaków; powstaną siedliska o charakterze łąki świeżej ekstensywnie użytkowanej. Jak zauważył Regionalny Dyrektor, niezależnie od poprawności wyżej wymienionych stwierdzeń, nie są one argumentami wykluczającymi wpływ przedsięwzięcia na drożność korytarza dla dużych ssaków wskutek powstania wielkoobszarowej bariery. </w:t>
      </w:r>
    </w:p>
    <w:p w14:paraId="7F1607B8" w14:textId="77777777" w:rsidR="00AC2BD8" w:rsidRPr="00AC2BD8" w:rsidRDefault="00AC2BD8" w:rsidP="00AC2BD8">
      <w:pPr>
        <w:spacing w:after="120" w:line="240" w:lineRule="auto"/>
        <w:ind w:firstLine="708"/>
        <w:jc w:val="both"/>
        <w:rPr>
          <w:rFonts w:ascii="Calibri" w:eastAsia="Calibri" w:hAnsi="Calibri" w:cs="Calibri"/>
          <w:sz w:val="28"/>
          <w:szCs w:val="28"/>
        </w:rPr>
      </w:pPr>
      <w:r w:rsidRPr="00AC2BD8">
        <w:rPr>
          <w:rFonts w:ascii="Calibri" w:eastAsia="Calibri" w:hAnsi="Calibri" w:cs="Calibri"/>
          <w:sz w:val="28"/>
          <w:szCs w:val="28"/>
        </w:rPr>
        <w:t xml:space="preserve">Zgodnie z art. 10 K.p.a. i z art. 74 ust. 3 ustawy, strony postępowania zostały powiadomione, w formie obwieszczenia z 28.02.2022 r., o możliwości zapoznania się i wypowiedzenia co do materiałów zgromadzonych w sprawie, w terminie pięciu dni od dnia dokonania zawiadomienia. Obwieszczenie zamieszczono w Biuletynie Informacji Publicznej Urzędu Miejskiego w Śremie (http://umsrem.bip.eur.pl/public/?id=217582), w gablotach informacyjnych Urzędu oraz na tablicy ogłoszeniowej w Bystrzku. </w:t>
      </w:r>
    </w:p>
    <w:p w14:paraId="0B3317C1" w14:textId="77777777" w:rsidR="00AC2BD8" w:rsidRPr="00AC2BD8" w:rsidRDefault="00AC2BD8" w:rsidP="00AC2BD8">
      <w:pPr>
        <w:spacing w:after="120" w:line="240" w:lineRule="auto"/>
        <w:jc w:val="both"/>
        <w:rPr>
          <w:rFonts w:ascii="Calibri" w:eastAsia="Calibri" w:hAnsi="Calibri" w:cs="Calibri"/>
          <w:sz w:val="28"/>
          <w:szCs w:val="28"/>
        </w:rPr>
      </w:pPr>
      <w:r w:rsidRPr="00AC2BD8">
        <w:rPr>
          <w:rFonts w:ascii="Calibri" w:eastAsia="Calibri" w:hAnsi="Calibri" w:cs="Calibri"/>
          <w:sz w:val="28"/>
          <w:szCs w:val="28"/>
        </w:rPr>
        <w:lastRenderedPageBreak/>
        <w:t xml:space="preserve">Żadna ze stron postępowania nie skorzystała z możliwości zapoznania się i wypowiedzenia co do materiałów zgromadzonych w sprawie. </w:t>
      </w:r>
    </w:p>
    <w:p w14:paraId="42230EF8" w14:textId="77777777" w:rsidR="00AC2BD8" w:rsidRPr="00AC2BD8" w:rsidRDefault="00AC2BD8" w:rsidP="00AC2BD8">
      <w:pPr>
        <w:spacing w:after="120" w:line="240" w:lineRule="auto"/>
        <w:ind w:firstLine="709"/>
        <w:jc w:val="both"/>
        <w:rPr>
          <w:rFonts w:ascii="Calibri" w:eastAsia="Calibri" w:hAnsi="Calibri" w:cs="Calibri"/>
          <w:sz w:val="28"/>
          <w:szCs w:val="28"/>
        </w:rPr>
      </w:pPr>
      <w:r w:rsidRPr="00AC2BD8">
        <w:rPr>
          <w:rFonts w:ascii="Calibri" w:eastAsia="Calibri" w:hAnsi="Calibri" w:cs="Calibri"/>
          <w:sz w:val="28"/>
          <w:szCs w:val="28"/>
        </w:rPr>
        <w:t xml:space="preserve">Zgodnie z art. 80 ust. 1 ustawy, jeżeli była przeprowadzona ocena oddziaływania przedsięwzięcia na środowisko, właściwy organ wydaje decyzję o środowiskowych uwarunkowaniach biorąc pod uwagę: 1) wyniki uzgodnień i opinii, o których mowa w art. 77 ust. 1 ustawy; 2) ustalenia zawarte w raporcie o oddziaływaniu przedsięwzięcia na środowisko; 3) wyniki postępowania z udziałem społeczeństwa; 4) wyniki postępowania w sprawie transgranicznego oddziaływania na środowisko, jeżeli zostało przeprowadzone. </w:t>
      </w:r>
    </w:p>
    <w:p w14:paraId="5602215A" w14:textId="77777777" w:rsidR="00AC2BD8" w:rsidRPr="00AC2BD8" w:rsidRDefault="00AC2BD8" w:rsidP="00AC2BD8">
      <w:pPr>
        <w:spacing w:after="120" w:line="240" w:lineRule="auto"/>
        <w:ind w:firstLine="708"/>
        <w:jc w:val="both"/>
        <w:rPr>
          <w:rFonts w:ascii="Calibri" w:eastAsia="Calibri" w:hAnsi="Calibri" w:cs="Calibri"/>
          <w:sz w:val="28"/>
          <w:szCs w:val="28"/>
        </w:rPr>
      </w:pPr>
      <w:r w:rsidRPr="00AC2BD8">
        <w:rPr>
          <w:rFonts w:ascii="Calibri" w:eastAsia="Calibri" w:hAnsi="Calibri" w:cs="Calibri"/>
          <w:sz w:val="28"/>
          <w:szCs w:val="28"/>
        </w:rPr>
        <w:t xml:space="preserve">W niniejszej sprawie, </w:t>
      </w:r>
      <w:r w:rsidRPr="00AC2BD8">
        <w:rPr>
          <w:rFonts w:ascii="Calibri" w:eastAsia="Calibri" w:hAnsi="Calibri" w:cs="Calibri"/>
          <w:b/>
          <w:bCs/>
          <w:sz w:val="28"/>
          <w:szCs w:val="28"/>
        </w:rPr>
        <w:t>Regionalny Dyrektor Ochrony Środowiska w Poznaniu odmówił uzgodnienia warunków realizacji planowanego przedsięwzięcia</w:t>
      </w:r>
      <w:r w:rsidRPr="00AC2BD8">
        <w:rPr>
          <w:rFonts w:ascii="Calibri" w:eastAsia="Calibri" w:hAnsi="Calibri" w:cs="Calibri"/>
          <w:sz w:val="28"/>
          <w:szCs w:val="28"/>
        </w:rPr>
        <w:t xml:space="preserve">, natomiast Wielkopolski Państwowy Wojewódzki Inspektor Sanitarny zaopiniował pozytywnie warunki realizacji przedsięwzięcia. </w:t>
      </w:r>
    </w:p>
    <w:p w14:paraId="2AC64AB2" w14:textId="77777777" w:rsidR="00AC2BD8" w:rsidRPr="00AC2BD8" w:rsidRDefault="00AC2BD8" w:rsidP="00AC2BD8">
      <w:pPr>
        <w:spacing w:after="120" w:line="240" w:lineRule="auto"/>
        <w:ind w:firstLine="708"/>
        <w:jc w:val="both"/>
        <w:rPr>
          <w:rFonts w:ascii="Calibri" w:eastAsia="Calibri" w:hAnsi="Calibri" w:cs="Calibri"/>
          <w:sz w:val="28"/>
          <w:szCs w:val="28"/>
        </w:rPr>
      </w:pPr>
      <w:r w:rsidRPr="00AC2BD8">
        <w:rPr>
          <w:rFonts w:ascii="Calibri" w:eastAsia="Calibri" w:hAnsi="Calibri" w:cs="Calibri"/>
          <w:sz w:val="28"/>
          <w:szCs w:val="28"/>
        </w:rPr>
        <w:t>W piśmiennictwie i orzecznictwie wyrażany jest pogląd o związaniu organu głównego stanowiskiem organu uzgadniającego, w myśl tej zasady decyzja o środowiskowych uwarunkowaniach wydana w postępowaniu głównym nie może być sprzeczna ze stanowiskiem organu uzgadniającego. Ten dominujący pogląd został wyrażony w orzecznictwie sądowo-administracyjnym traktującym o szczególnym charakterze uzgodnień.</w:t>
      </w:r>
    </w:p>
    <w:p w14:paraId="142C4FB4" w14:textId="77777777" w:rsidR="00AC2BD8" w:rsidRPr="00AC2BD8" w:rsidRDefault="00AC2BD8" w:rsidP="00AC2BD8">
      <w:pPr>
        <w:spacing w:after="120" w:line="240" w:lineRule="auto"/>
        <w:ind w:firstLine="708"/>
        <w:jc w:val="both"/>
        <w:rPr>
          <w:rFonts w:ascii="Calibri" w:eastAsia="Calibri" w:hAnsi="Calibri" w:cs="Calibri"/>
          <w:sz w:val="28"/>
          <w:szCs w:val="28"/>
        </w:rPr>
      </w:pPr>
      <w:r w:rsidRPr="00AC2BD8">
        <w:rPr>
          <w:rFonts w:ascii="Calibri" w:eastAsia="Calibri" w:hAnsi="Calibri" w:cs="Calibri"/>
          <w:sz w:val="28"/>
          <w:szCs w:val="28"/>
        </w:rPr>
        <w:t>Wojewódzki Sąd Administracyjny w Warszawie w wyroku z 24.01.2008 r. stwierdził: „Zasadę związania organu głównego stanowiskiem organu uzgadniającego należy interpretować w ten sposób, iż decyzja wydana w postępowaniu głównym nie może być sprzeczna ze stanowiskiem organu uzgadniającego ( musi zatem respektować wszystkie zalecenia sformułowane przez organ uzgadniający), co nie oznacza, iż decyzja ta nie może uzupełniać stanowiska organu uzgadniającego (tj. zawierać zaleceń dodatkowych)” (wyrok WSA w Warszawie, sygn. IV SA/Wa 344/07). Również opinię tą podzielił Wojewódzki Sąd Administracyjny w Poznaniu uznając: „uzgodnienie – w przeciwieństwie do opinii - jest formą o znaczeniu stanowczym, bowiem wiąże organ administracyjny rozstrzygający w postępowaniu głównym. Należy podkreślić, że postępowanie uzgodnieniowe ma charakter akcesoryjny i jest częścią szerokorozumianego postępowania w sprawie głównej(…)” (wyrok WSA w Poznaniu z dnia 20.02.2014 r., sygn. IV SA/Po 1214/13).</w:t>
      </w:r>
    </w:p>
    <w:p w14:paraId="02FA7959" w14:textId="77777777" w:rsidR="00AC2BD8" w:rsidRPr="00AC2BD8" w:rsidRDefault="00AC2BD8" w:rsidP="00AC2BD8">
      <w:pPr>
        <w:spacing w:after="120" w:line="240" w:lineRule="auto"/>
        <w:ind w:firstLine="708"/>
        <w:jc w:val="both"/>
        <w:rPr>
          <w:rFonts w:ascii="Calibri" w:eastAsia="Calibri" w:hAnsi="Calibri" w:cs="Calibri"/>
          <w:sz w:val="28"/>
          <w:szCs w:val="28"/>
        </w:rPr>
      </w:pPr>
      <w:r w:rsidRPr="00AC2BD8">
        <w:rPr>
          <w:rFonts w:ascii="Calibri" w:eastAsia="Calibri" w:hAnsi="Calibri" w:cs="Calibri"/>
          <w:sz w:val="28"/>
          <w:szCs w:val="28"/>
        </w:rPr>
        <w:t>W związku z tym, że Burmistrz Śremu jest związany ze stanowiskiem organu uzgadniającego, należało orzec jak w sentencji decyzji.</w:t>
      </w:r>
    </w:p>
    <w:p w14:paraId="5E0DED59" w14:textId="77777777" w:rsidR="00AC2BD8" w:rsidRPr="00AC2BD8" w:rsidRDefault="00AC2BD8" w:rsidP="00AC2BD8">
      <w:pPr>
        <w:spacing w:after="120" w:line="240" w:lineRule="auto"/>
        <w:jc w:val="center"/>
        <w:rPr>
          <w:rFonts w:ascii="Calibri" w:eastAsia="Calibri" w:hAnsi="Calibri" w:cs="Calibri"/>
          <w:sz w:val="28"/>
          <w:szCs w:val="28"/>
        </w:rPr>
      </w:pPr>
    </w:p>
    <w:p w14:paraId="57575B01" w14:textId="77777777" w:rsidR="00AC2BD8" w:rsidRPr="00AC2BD8" w:rsidRDefault="00AC2BD8" w:rsidP="00AC2BD8">
      <w:pPr>
        <w:spacing w:after="120" w:line="240" w:lineRule="auto"/>
        <w:jc w:val="center"/>
        <w:rPr>
          <w:rFonts w:ascii="Calibri" w:eastAsia="Calibri" w:hAnsi="Calibri" w:cs="Calibri"/>
          <w:sz w:val="28"/>
          <w:szCs w:val="28"/>
        </w:rPr>
      </w:pPr>
      <w:r w:rsidRPr="00AC2BD8">
        <w:rPr>
          <w:rFonts w:ascii="Calibri" w:eastAsia="Calibri" w:hAnsi="Calibri" w:cs="Calibri"/>
          <w:sz w:val="28"/>
          <w:szCs w:val="28"/>
        </w:rPr>
        <w:lastRenderedPageBreak/>
        <w:t>Pouczenie</w:t>
      </w:r>
    </w:p>
    <w:p w14:paraId="4D4B26E1" w14:textId="77777777" w:rsidR="00AC2BD8" w:rsidRPr="00AC2BD8" w:rsidRDefault="00AC2BD8" w:rsidP="00AC2BD8">
      <w:pPr>
        <w:spacing w:after="120" w:line="240" w:lineRule="auto"/>
        <w:jc w:val="both"/>
        <w:rPr>
          <w:rFonts w:ascii="Calibri" w:eastAsia="Calibri" w:hAnsi="Calibri" w:cs="Calibri"/>
          <w:sz w:val="28"/>
          <w:szCs w:val="28"/>
        </w:rPr>
      </w:pPr>
      <w:r w:rsidRPr="00AC2BD8">
        <w:rPr>
          <w:rFonts w:ascii="Calibri" w:eastAsia="Calibri" w:hAnsi="Calibri" w:cs="Calibri"/>
          <w:sz w:val="28"/>
          <w:szCs w:val="28"/>
        </w:rPr>
        <w:tab/>
        <w:t xml:space="preserve">Od niniejszej decyzji służy stronie prawo wniesienia odwołania do Samorządowego Kolegium Odwoławczego w Poznaniu, za moim pośrednictwem, w terminie 14 dni od dnia doręczenia. </w:t>
      </w:r>
    </w:p>
    <w:p w14:paraId="571F66B2" w14:textId="77777777" w:rsidR="00AC2BD8" w:rsidRPr="00AC2BD8" w:rsidRDefault="00AC2BD8" w:rsidP="00AC2BD8">
      <w:pPr>
        <w:spacing w:after="120" w:line="240" w:lineRule="auto"/>
        <w:jc w:val="both"/>
        <w:rPr>
          <w:rFonts w:ascii="Calibri" w:eastAsia="Calibri" w:hAnsi="Calibri" w:cs="Calibri"/>
          <w:sz w:val="28"/>
          <w:szCs w:val="28"/>
        </w:rPr>
      </w:pPr>
      <w:r w:rsidRPr="00AC2BD8">
        <w:rPr>
          <w:rFonts w:ascii="Calibri" w:eastAsia="Calibri" w:hAnsi="Calibri" w:cs="Calibri"/>
          <w:sz w:val="28"/>
          <w:szCs w:val="28"/>
        </w:rPr>
        <w:tab/>
        <w:t>W trakcie biegu terminu do wniesienia odwołania strona może, na podstawie art. 127a § 1 K.p.a., zrzec się prawa do wniesienia odwołania wobec organu administracji publicznej, który wydał decyzję. Z dniem doręczenia organowi administracji publicznej oświadczenia o zrzeczeniu się prawa do wniesienia odwołania przez ostatnią ze stron postępowania, decyzja staje się ostateczna i prawomocna.</w:t>
      </w:r>
    </w:p>
    <w:p w14:paraId="6AB39626" w14:textId="72CF92C5" w:rsidR="00AC2BD8" w:rsidRPr="00AC2BD8" w:rsidRDefault="00AC2BD8" w:rsidP="00AC2BD8">
      <w:pPr>
        <w:spacing w:after="0" w:line="240" w:lineRule="auto"/>
        <w:ind w:left="3540"/>
        <w:jc w:val="center"/>
        <w:rPr>
          <w:rFonts w:ascii="Calibri" w:eastAsia="Calibri" w:hAnsi="Calibri" w:cs="Calibri"/>
          <w:sz w:val="28"/>
          <w:szCs w:val="28"/>
        </w:rPr>
      </w:pPr>
      <w:r w:rsidRPr="00AC2BD8">
        <w:rPr>
          <w:rFonts w:ascii="Calibri" w:eastAsia="Calibri" w:hAnsi="Calibri" w:cs="Calibri"/>
          <w:sz w:val="28"/>
          <w:szCs w:val="28"/>
        </w:rPr>
        <w:t>z up. BURMISTRZA</w:t>
      </w:r>
    </w:p>
    <w:p w14:paraId="069427B2" w14:textId="77777777" w:rsidR="00AC2BD8" w:rsidRPr="00AC2BD8" w:rsidRDefault="00AC2BD8" w:rsidP="00AC2BD8">
      <w:pPr>
        <w:spacing w:after="0" w:line="240" w:lineRule="auto"/>
        <w:ind w:left="3540"/>
        <w:jc w:val="center"/>
        <w:rPr>
          <w:rFonts w:ascii="Calibri" w:eastAsia="Calibri" w:hAnsi="Calibri" w:cs="Calibri"/>
          <w:sz w:val="28"/>
          <w:szCs w:val="28"/>
        </w:rPr>
      </w:pPr>
      <w:r w:rsidRPr="00AC2BD8">
        <w:rPr>
          <w:rFonts w:ascii="Calibri" w:eastAsia="Calibri" w:hAnsi="Calibri" w:cs="Calibri"/>
          <w:sz w:val="28"/>
          <w:szCs w:val="28"/>
        </w:rPr>
        <w:t>Katarzyna Bednarowicz</w:t>
      </w:r>
    </w:p>
    <w:p w14:paraId="7CC37CC0" w14:textId="77777777" w:rsidR="00AC2BD8" w:rsidRPr="00AC2BD8" w:rsidRDefault="00AC2BD8" w:rsidP="00AC2BD8">
      <w:pPr>
        <w:spacing w:after="0" w:line="240" w:lineRule="auto"/>
        <w:ind w:left="3540"/>
        <w:jc w:val="center"/>
        <w:rPr>
          <w:rFonts w:ascii="Calibri" w:eastAsia="Calibri" w:hAnsi="Calibri" w:cs="Calibri"/>
          <w:sz w:val="28"/>
          <w:szCs w:val="28"/>
        </w:rPr>
      </w:pPr>
      <w:r w:rsidRPr="00AC2BD8">
        <w:rPr>
          <w:rFonts w:ascii="Calibri" w:eastAsia="Calibri" w:hAnsi="Calibri" w:cs="Calibri"/>
          <w:sz w:val="28"/>
          <w:szCs w:val="28"/>
        </w:rPr>
        <w:t>naczelnik Pionu Gospodarowania</w:t>
      </w:r>
    </w:p>
    <w:p w14:paraId="7295CE94" w14:textId="77777777" w:rsidR="00AC2BD8" w:rsidRPr="00AC2BD8" w:rsidRDefault="00AC2BD8" w:rsidP="00AC2BD8">
      <w:pPr>
        <w:spacing w:after="0" w:line="240" w:lineRule="auto"/>
        <w:ind w:left="3540"/>
        <w:jc w:val="center"/>
        <w:rPr>
          <w:rFonts w:ascii="Calibri" w:eastAsia="Calibri" w:hAnsi="Calibri" w:cs="Calibri"/>
          <w:sz w:val="28"/>
          <w:szCs w:val="28"/>
        </w:rPr>
      </w:pPr>
      <w:r w:rsidRPr="00AC2BD8">
        <w:rPr>
          <w:rFonts w:ascii="Calibri" w:eastAsia="Calibri" w:hAnsi="Calibri" w:cs="Calibri"/>
          <w:sz w:val="28"/>
          <w:szCs w:val="28"/>
        </w:rPr>
        <w:t>Przestrzenią i Środowiskiem</w:t>
      </w:r>
    </w:p>
    <w:p w14:paraId="1697DE5C" w14:textId="77777777" w:rsidR="00F93F83" w:rsidRDefault="00F93F83" w:rsidP="00AC2BD8">
      <w:pPr>
        <w:spacing w:after="0" w:line="240" w:lineRule="auto"/>
        <w:jc w:val="both"/>
        <w:rPr>
          <w:rFonts w:ascii="Calibri" w:eastAsia="Calibri" w:hAnsi="Calibri" w:cs="Calibri"/>
          <w:sz w:val="28"/>
          <w:szCs w:val="28"/>
        </w:rPr>
      </w:pPr>
    </w:p>
    <w:p w14:paraId="7028AC30" w14:textId="203E7193" w:rsidR="00AC2BD8" w:rsidRPr="00AC2BD8" w:rsidRDefault="00AC2BD8" w:rsidP="00AC2BD8">
      <w:pPr>
        <w:spacing w:after="0" w:line="240" w:lineRule="auto"/>
        <w:jc w:val="both"/>
        <w:rPr>
          <w:rFonts w:ascii="Calibri" w:eastAsia="Calibri" w:hAnsi="Calibri" w:cs="Calibri"/>
          <w:sz w:val="28"/>
          <w:szCs w:val="28"/>
        </w:rPr>
      </w:pPr>
      <w:r w:rsidRPr="00AC2BD8">
        <w:rPr>
          <w:rFonts w:ascii="Calibri" w:eastAsia="Calibri" w:hAnsi="Calibri" w:cs="Calibri"/>
          <w:sz w:val="28"/>
          <w:szCs w:val="28"/>
        </w:rPr>
        <w:t>Sprawę prowadzi:</w:t>
      </w:r>
    </w:p>
    <w:p w14:paraId="63628FF7" w14:textId="77777777" w:rsidR="00AC2BD8" w:rsidRPr="00AC2BD8" w:rsidRDefault="00AC2BD8" w:rsidP="00AC2BD8">
      <w:pPr>
        <w:spacing w:after="0" w:line="240" w:lineRule="auto"/>
        <w:jc w:val="both"/>
        <w:rPr>
          <w:rFonts w:ascii="Calibri" w:eastAsia="Calibri" w:hAnsi="Calibri" w:cs="Calibri"/>
          <w:sz w:val="28"/>
          <w:szCs w:val="28"/>
        </w:rPr>
      </w:pPr>
      <w:r w:rsidRPr="00AC2BD8">
        <w:rPr>
          <w:rFonts w:ascii="Calibri" w:eastAsia="Calibri" w:hAnsi="Calibri" w:cs="Calibri"/>
          <w:sz w:val="28"/>
          <w:szCs w:val="28"/>
        </w:rPr>
        <w:t>Małgorzata Borowska</w:t>
      </w:r>
    </w:p>
    <w:p w14:paraId="5739F189" w14:textId="77777777" w:rsidR="00AC2BD8" w:rsidRPr="00AC2BD8" w:rsidRDefault="00AC2BD8" w:rsidP="00AC2BD8">
      <w:pPr>
        <w:spacing w:after="0" w:line="240" w:lineRule="auto"/>
        <w:jc w:val="both"/>
        <w:rPr>
          <w:rFonts w:ascii="Calibri" w:eastAsia="Calibri" w:hAnsi="Calibri" w:cs="Calibri"/>
          <w:sz w:val="28"/>
          <w:szCs w:val="28"/>
        </w:rPr>
      </w:pPr>
      <w:r w:rsidRPr="00AC2BD8">
        <w:rPr>
          <w:rFonts w:ascii="Calibri" w:eastAsia="Calibri" w:hAnsi="Calibri" w:cs="Calibri"/>
          <w:sz w:val="28"/>
          <w:szCs w:val="28"/>
        </w:rPr>
        <w:t>inspektor</w:t>
      </w:r>
    </w:p>
    <w:p w14:paraId="64F409CE" w14:textId="77777777" w:rsidR="00AC2BD8" w:rsidRPr="00AC2BD8" w:rsidRDefault="00AC2BD8" w:rsidP="00AC2BD8">
      <w:pPr>
        <w:spacing w:after="0" w:line="240" w:lineRule="auto"/>
        <w:jc w:val="both"/>
        <w:rPr>
          <w:rFonts w:ascii="Calibri" w:eastAsia="Calibri" w:hAnsi="Calibri" w:cs="Calibri"/>
          <w:sz w:val="28"/>
          <w:szCs w:val="28"/>
        </w:rPr>
      </w:pPr>
      <w:r w:rsidRPr="00AC2BD8">
        <w:rPr>
          <w:rFonts w:ascii="Calibri" w:eastAsia="Calibri" w:hAnsi="Calibri" w:cs="Calibri"/>
          <w:sz w:val="28"/>
          <w:szCs w:val="28"/>
        </w:rPr>
        <w:t>tel. 61 28 47 140</w:t>
      </w:r>
    </w:p>
    <w:p w14:paraId="01291967" w14:textId="77777777" w:rsidR="00AC2BD8" w:rsidRPr="00AC2BD8" w:rsidRDefault="00AC2BD8" w:rsidP="00AC2BD8">
      <w:pPr>
        <w:spacing w:after="120" w:line="240" w:lineRule="auto"/>
        <w:jc w:val="both"/>
        <w:rPr>
          <w:rFonts w:ascii="Calibri" w:eastAsia="Calibri" w:hAnsi="Calibri" w:cs="Calibri"/>
          <w:sz w:val="28"/>
          <w:szCs w:val="28"/>
        </w:rPr>
      </w:pPr>
    </w:p>
    <w:p w14:paraId="20C037AC" w14:textId="77777777" w:rsidR="00AC2BD8" w:rsidRPr="00AC2BD8" w:rsidRDefault="00AC2BD8" w:rsidP="00AC2BD8">
      <w:pPr>
        <w:spacing w:after="0" w:line="240" w:lineRule="auto"/>
        <w:jc w:val="both"/>
        <w:rPr>
          <w:rFonts w:ascii="Calibri" w:eastAsia="Calibri" w:hAnsi="Calibri" w:cs="Calibri"/>
          <w:sz w:val="28"/>
          <w:szCs w:val="28"/>
        </w:rPr>
      </w:pPr>
      <w:r w:rsidRPr="00AC2BD8">
        <w:rPr>
          <w:rFonts w:ascii="Calibri" w:eastAsia="Calibri" w:hAnsi="Calibri" w:cs="Calibri"/>
          <w:sz w:val="28"/>
          <w:szCs w:val="28"/>
        </w:rPr>
        <w:t>Otrzymują:</w:t>
      </w:r>
    </w:p>
    <w:p w14:paraId="09247E42" w14:textId="77777777" w:rsidR="00AC2BD8" w:rsidRPr="00AC2BD8" w:rsidRDefault="00AC2BD8" w:rsidP="00AC2BD8">
      <w:pPr>
        <w:spacing w:after="0" w:line="240" w:lineRule="auto"/>
        <w:jc w:val="both"/>
        <w:rPr>
          <w:rFonts w:ascii="Calibri" w:eastAsia="Calibri" w:hAnsi="Calibri" w:cs="Calibri"/>
          <w:sz w:val="28"/>
          <w:szCs w:val="28"/>
        </w:rPr>
      </w:pPr>
      <w:r w:rsidRPr="00AC2BD8">
        <w:rPr>
          <w:rFonts w:ascii="Calibri" w:eastAsia="Calibri" w:hAnsi="Calibri" w:cs="Calibri"/>
          <w:sz w:val="28"/>
          <w:szCs w:val="28"/>
        </w:rPr>
        <w:t>I. Strony postępowania:</w:t>
      </w:r>
    </w:p>
    <w:p w14:paraId="580C4E81" w14:textId="77777777" w:rsidR="00AC2BD8" w:rsidRPr="00AC2BD8" w:rsidRDefault="00AC2BD8" w:rsidP="00AC2BD8">
      <w:pPr>
        <w:numPr>
          <w:ilvl w:val="0"/>
          <w:numId w:val="16"/>
        </w:numPr>
        <w:spacing w:after="0" w:line="240" w:lineRule="auto"/>
        <w:ind w:left="284" w:hanging="284"/>
        <w:contextualSpacing/>
        <w:jc w:val="both"/>
        <w:rPr>
          <w:rFonts w:ascii="Calibri" w:eastAsia="Calibri" w:hAnsi="Calibri" w:cs="Calibri"/>
          <w:sz w:val="28"/>
          <w:szCs w:val="28"/>
        </w:rPr>
      </w:pPr>
      <w:r w:rsidRPr="00AC2BD8">
        <w:rPr>
          <w:rFonts w:ascii="Calibri" w:eastAsia="Calibri" w:hAnsi="Calibri" w:cs="Calibri"/>
          <w:sz w:val="28"/>
          <w:szCs w:val="28"/>
        </w:rPr>
        <w:t>MW Solar Invest Spółka z ograniczoną odpowiedzialnością z siedzibą w Klonówcu, Klonówiec 3f, 64-111 Lipno</w:t>
      </w:r>
    </w:p>
    <w:p w14:paraId="6B2C869C" w14:textId="77777777" w:rsidR="00AC2BD8" w:rsidRPr="00AC2BD8" w:rsidRDefault="00AC2BD8" w:rsidP="00AC2BD8">
      <w:pPr>
        <w:spacing w:after="0" w:line="240" w:lineRule="auto"/>
        <w:ind w:left="284"/>
        <w:jc w:val="both"/>
        <w:rPr>
          <w:rFonts w:ascii="Calibri" w:eastAsia="Calibri" w:hAnsi="Calibri" w:cs="Calibri"/>
          <w:sz w:val="28"/>
          <w:szCs w:val="28"/>
        </w:rPr>
      </w:pPr>
      <w:r w:rsidRPr="00AC2BD8">
        <w:rPr>
          <w:rFonts w:ascii="Calibri" w:eastAsia="Calibri" w:hAnsi="Calibri" w:cs="Calibri"/>
          <w:sz w:val="28"/>
          <w:szCs w:val="28"/>
        </w:rPr>
        <w:t>pełnomocnik: Pan Marcin Szlaps, Kokoszczyn, ul. Szeroka 8, 62-080 Tarnowo Podgórne</w:t>
      </w:r>
    </w:p>
    <w:p w14:paraId="26350BCE" w14:textId="77777777" w:rsidR="00AC2BD8" w:rsidRPr="00AC2BD8" w:rsidRDefault="00AC2BD8" w:rsidP="00AC2BD8">
      <w:pPr>
        <w:numPr>
          <w:ilvl w:val="0"/>
          <w:numId w:val="16"/>
        </w:numPr>
        <w:spacing w:after="0" w:line="240" w:lineRule="auto"/>
        <w:ind w:left="284" w:hanging="284"/>
        <w:contextualSpacing/>
        <w:jc w:val="both"/>
        <w:rPr>
          <w:rFonts w:ascii="Calibri" w:eastAsia="Calibri" w:hAnsi="Calibri" w:cs="Calibri"/>
          <w:sz w:val="28"/>
          <w:szCs w:val="28"/>
        </w:rPr>
      </w:pPr>
      <w:r w:rsidRPr="00AC2BD8">
        <w:rPr>
          <w:rFonts w:ascii="Calibri" w:eastAsia="Calibri" w:hAnsi="Calibri" w:cs="Calibri"/>
          <w:sz w:val="28"/>
          <w:szCs w:val="28"/>
        </w:rPr>
        <w:t xml:space="preserve">Pozostałe strony postępowania przez obwieszczenie, zgodnie z art. 74 ust. 3 ustawy </w:t>
      </w:r>
    </w:p>
    <w:p w14:paraId="5C129E7F" w14:textId="77777777" w:rsidR="00AC2BD8" w:rsidRPr="00AC2BD8" w:rsidRDefault="00AC2BD8" w:rsidP="00AC2BD8">
      <w:pPr>
        <w:spacing w:after="0" w:line="240" w:lineRule="auto"/>
        <w:jc w:val="both"/>
        <w:rPr>
          <w:rFonts w:ascii="Calibri" w:eastAsia="Calibri" w:hAnsi="Calibri" w:cs="Calibri"/>
          <w:sz w:val="28"/>
          <w:szCs w:val="28"/>
        </w:rPr>
      </w:pPr>
      <w:r w:rsidRPr="00AC2BD8">
        <w:rPr>
          <w:rFonts w:ascii="Calibri" w:eastAsia="Calibri" w:hAnsi="Calibri" w:cs="Calibri"/>
          <w:sz w:val="28"/>
          <w:szCs w:val="28"/>
        </w:rPr>
        <w:t>II. aa</w:t>
      </w:r>
    </w:p>
    <w:p w14:paraId="515764F9" w14:textId="77777777" w:rsidR="00AC2BD8" w:rsidRPr="00AC2BD8" w:rsidRDefault="00AC2BD8" w:rsidP="00AC2BD8">
      <w:pPr>
        <w:spacing w:after="120" w:line="240" w:lineRule="auto"/>
        <w:jc w:val="both"/>
        <w:rPr>
          <w:rFonts w:ascii="Calibri" w:eastAsia="Calibri" w:hAnsi="Calibri" w:cs="Calibri"/>
          <w:sz w:val="28"/>
          <w:szCs w:val="28"/>
        </w:rPr>
      </w:pPr>
    </w:p>
    <w:p w14:paraId="20C98172" w14:textId="77777777" w:rsidR="00AC2BD8" w:rsidRPr="00AC2BD8" w:rsidRDefault="00AC2BD8" w:rsidP="00AC2BD8">
      <w:pPr>
        <w:spacing w:after="0" w:line="240" w:lineRule="auto"/>
        <w:jc w:val="both"/>
        <w:rPr>
          <w:rFonts w:ascii="Calibri" w:eastAsia="Calibri" w:hAnsi="Calibri" w:cs="Calibri"/>
          <w:sz w:val="28"/>
          <w:szCs w:val="28"/>
        </w:rPr>
      </w:pPr>
      <w:r w:rsidRPr="00AC2BD8">
        <w:rPr>
          <w:rFonts w:ascii="Calibri" w:eastAsia="Calibri" w:hAnsi="Calibri" w:cs="Calibri"/>
          <w:sz w:val="28"/>
          <w:szCs w:val="28"/>
        </w:rPr>
        <w:t>Do wiadomości:</w:t>
      </w:r>
    </w:p>
    <w:p w14:paraId="6D77B5D9" w14:textId="77777777" w:rsidR="00AC2BD8" w:rsidRPr="00AC2BD8" w:rsidRDefault="00AC2BD8" w:rsidP="00AC2BD8">
      <w:pPr>
        <w:numPr>
          <w:ilvl w:val="0"/>
          <w:numId w:val="17"/>
        </w:numPr>
        <w:spacing w:after="0" w:line="240" w:lineRule="auto"/>
        <w:ind w:left="284" w:hanging="284"/>
        <w:contextualSpacing/>
        <w:jc w:val="both"/>
        <w:rPr>
          <w:rFonts w:ascii="Calibri" w:eastAsia="Calibri" w:hAnsi="Calibri" w:cs="Calibri"/>
          <w:sz w:val="28"/>
          <w:szCs w:val="28"/>
        </w:rPr>
      </w:pPr>
      <w:r w:rsidRPr="00AC2BD8">
        <w:rPr>
          <w:rFonts w:ascii="Calibri" w:eastAsia="Calibri" w:hAnsi="Calibri" w:cs="Calibri"/>
          <w:sz w:val="28"/>
          <w:szCs w:val="28"/>
        </w:rPr>
        <w:t>Regionalny Dyrektor Ochrony Środowiska w Poznaniu (ePUAP)</w:t>
      </w:r>
    </w:p>
    <w:p w14:paraId="248831F5" w14:textId="77777777" w:rsidR="00AC2BD8" w:rsidRPr="00AC2BD8" w:rsidRDefault="00AC2BD8" w:rsidP="00AC2BD8">
      <w:pPr>
        <w:numPr>
          <w:ilvl w:val="0"/>
          <w:numId w:val="17"/>
        </w:numPr>
        <w:spacing w:after="0" w:line="240" w:lineRule="auto"/>
        <w:ind w:left="284" w:hanging="284"/>
        <w:contextualSpacing/>
        <w:jc w:val="both"/>
        <w:rPr>
          <w:rFonts w:ascii="Calibri" w:eastAsia="Calibri" w:hAnsi="Calibri" w:cs="Calibri"/>
          <w:sz w:val="28"/>
          <w:szCs w:val="28"/>
        </w:rPr>
      </w:pPr>
      <w:r w:rsidRPr="00AC2BD8">
        <w:rPr>
          <w:rFonts w:ascii="Calibri" w:eastAsia="Calibri" w:hAnsi="Calibri" w:cs="Calibri"/>
          <w:sz w:val="28"/>
          <w:szCs w:val="28"/>
        </w:rPr>
        <w:t>Państwowy Powiatowy Inspektor Sanitarny w Śremie (ePUAP)</w:t>
      </w:r>
    </w:p>
    <w:p w14:paraId="17F13BAE" w14:textId="77777777" w:rsidR="00AC2BD8" w:rsidRPr="00AC2BD8" w:rsidRDefault="00AC2BD8" w:rsidP="00AC2BD8">
      <w:pPr>
        <w:numPr>
          <w:ilvl w:val="0"/>
          <w:numId w:val="17"/>
        </w:numPr>
        <w:spacing w:after="0" w:line="240" w:lineRule="auto"/>
        <w:ind w:left="284" w:hanging="284"/>
        <w:contextualSpacing/>
        <w:jc w:val="both"/>
        <w:rPr>
          <w:rFonts w:ascii="Calibri" w:eastAsia="Calibri" w:hAnsi="Calibri" w:cs="Calibri"/>
          <w:sz w:val="28"/>
          <w:szCs w:val="28"/>
        </w:rPr>
      </w:pPr>
      <w:r w:rsidRPr="00AC2BD8">
        <w:rPr>
          <w:rFonts w:ascii="Calibri" w:eastAsia="Calibri" w:hAnsi="Calibri" w:cs="Calibri"/>
          <w:sz w:val="28"/>
          <w:szCs w:val="28"/>
        </w:rPr>
        <w:t>Dyrektor Zarządu Zlewni Państwowego Gospodarstwa Wodnego Wody Polskie w Poznaniu (ePUAP)</w:t>
      </w:r>
    </w:p>
    <w:p w14:paraId="1C8B341E" w14:textId="77777777" w:rsidR="00AC2BD8" w:rsidRPr="00AC2BD8" w:rsidRDefault="00AC2BD8" w:rsidP="00AC2BD8">
      <w:pPr>
        <w:numPr>
          <w:ilvl w:val="0"/>
          <w:numId w:val="17"/>
        </w:numPr>
        <w:spacing w:after="0" w:line="240" w:lineRule="auto"/>
        <w:ind w:left="284" w:hanging="284"/>
        <w:contextualSpacing/>
        <w:jc w:val="both"/>
        <w:rPr>
          <w:rFonts w:ascii="Calibri" w:eastAsia="Calibri" w:hAnsi="Calibri" w:cs="Calibri"/>
          <w:sz w:val="28"/>
          <w:szCs w:val="28"/>
        </w:rPr>
      </w:pPr>
      <w:r w:rsidRPr="00AC2BD8">
        <w:rPr>
          <w:rFonts w:ascii="Calibri" w:eastAsia="Calibri" w:hAnsi="Calibri" w:cs="Calibri"/>
          <w:sz w:val="28"/>
          <w:szCs w:val="28"/>
        </w:rPr>
        <w:t>Wielkopolski Państwowy Wojewódzki Inspektor Sanitarny (ePUAP)</w:t>
      </w:r>
    </w:p>
    <w:p w14:paraId="4BD9058B" w14:textId="5F4147E5" w:rsidR="004922DB" w:rsidRPr="006D5809" w:rsidRDefault="004922DB" w:rsidP="00AC2BD8">
      <w:pPr>
        <w:spacing w:after="120" w:line="240" w:lineRule="auto"/>
        <w:jc w:val="right"/>
        <w:rPr>
          <w:rFonts w:eastAsia="Times New Roman" w:cstheme="minorHAnsi"/>
          <w:bCs/>
          <w:sz w:val="28"/>
          <w:szCs w:val="28"/>
          <w:lang w:eastAsia="pl-PL"/>
        </w:rPr>
      </w:pPr>
    </w:p>
    <w:sectPr w:rsidR="004922DB" w:rsidRPr="006D5809" w:rsidSect="00D066E1">
      <w:headerReference w:type="default" r:id="rId8"/>
      <w:footerReference w:type="even" r:id="rId9"/>
      <w:footerReference w:type="default" r:id="rId10"/>
      <w:headerReference w:type="first" r:id="rId11"/>
      <w:footerReference w:type="first" r:id="rId12"/>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563226" w14:textId="77777777" w:rsidR="00AB5964" w:rsidRDefault="00AB5964" w:rsidP="00053E5A">
      <w:pPr>
        <w:spacing w:after="0" w:line="240" w:lineRule="auto"/>
      </w:pPr>
      <w:r>
        <w:separator/>
      </w:r>
    </w:p>
  </w:endnote>
  <w:endnote w:type="continuationSeparator" w:id="0">
    <w:p w14:paraId="4EFC050E" w14:textId="77777777" w:rsidR="00AB5964" w:rsidRDefault="00AB5964"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84FF8" w14:textId="601021A9" w:rsidR="005A07CF" w:rsidRDefault="005A07CF">
    <w:pPr>
      <w:pStyle w:val="Stopka"/>
      <w:jc w:val="right"/>
    </w:pPr>
  </w:p>
  <w:p w14:paraId="02E428F9" w14:textId="073481FE" w:rsidR="005A07CF" w:rsidRDefault="00FA372D">
    <w:pPr>
      <w:pStyle w:val="Stopka"/>
    </w:pPr>
    <w:r>
      <w:t>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BDAF6" w14:textId="4CBF4462" w:rsidR="00FA372D" w:rsidRPr="00C636CE" w:rsidRDefault="00FA372D">
    <w:pPr>
      <w:pStyle w:val="Stopka"/>
      <w:jc w:val="center"/>
      <w:rPr>
        <w:sz w:val="28"/>
        <w:szCs w:val="28"/>
      </w:rPr>
    </w:pPr>
    <w:r w:rsidRPr="00C636CE">
      <w:rPr>
        <w:sz w:val="28"/>
        <w:szCs w:val="28"/>
      </w:rPr>
      <w:fldChar w:fldCharType="begin"/>
    </w:r>
    <w:r w:rsidRPr="00C636CE">
      <w:rPr>
        <w:sz w:val="28"/>
        <w:szCs w:val="28"/>
      </w:rPr>
      <w:instrText>PAGE  \* Arabic  \* MERGEFORMAT</w:instrText>
    </w:r>
    <w:r w:rsidRPr="00C636CE">
      <w:rPr>
        <w:sz w:val="28"/>
        <w:szCs w:val="28"/>
      </w:rPr>
      <w:fldChar w:fldCharType="separate"/>
    </w:r>
    <w:r w:rsidRPr="00C636CE">
      <w:rPr>
        <w:sz w:val="28"/>
        <w:szCs w:val="28"/>
      </w:rPr>
      <w:t>1</w:t>
    </w:r>
    <w:r w:rsidRPr="00C636CE">
      <w:rPr>
        <w:sz w:val="28"/>
        <w:szCs w:val="28"/>
      </w:rPr>
      <w:fldChar w:fldCharType="end"/>
    </w:r>
    <w:r w:rsidRPr="00C636CE">
      <w:rPr>
        <w:sz w:val="28"/>
        <w:szCs w:val="28"/>
      </w:rPr>
      <w:t xml:space="preserve"> z </w:t>
    </w:r>
    <w:r w:rsidRPr="00C636CE">
      <w:rPr>
        <w:sz w:val="28"/>
        <w:szCs w:val="28"/>
      </w:rPr>
      <w:fldChar w:fldCharType="begin"/>
    </w:r>
    <w:r w:rsidRPr="00C636CE">
      <w:rPr>
        <w:sz w:val="28"/>
        <w:szCs w:val="28"/>
      </w:rPr>
      <w:instrText>NUMPAGES  \* Arabic  \* MERGEFORMAT</w:instrText>
    </w:r>
    <w:r w:rsidRPr="00C636CE">
      <w:rPr>
        <w:sz w:val="28"/>
        <w:szCs w:val="28"/>
      </w:rPr>
      <w:fldChar w:fldCharType="separate"/>
    </w:r>
    <w:r w:rsidRPr="00C636CE">
      <w:rPr>
        <w:sz w:val="28"/>
        <w:szCs w:val="28"/>
      </w:rPr>
      <w:t>2</w:t>
    </w:r>
    <w:r w:rsidRPr="00C636CE">
      <w:rPr>
        <w:sz w:val="28"/>
        <w:szCs w:val="28"/>
      </w:rPr>
      <w:fldChar w:fldCharType="end"/>
    </w:r>
  </w:p>
  <w:p w14:paraId="0ADC6BAF" w14:textId="77777777" w:rsidR="00FA372D" w:rsidRDefault="00FA372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1ADCD" w14:textId="273302F6" w:rsidR="003625F3" w:rsidRDefault="00722E64" w:rsidP="00722E64">
    <w:pPr>
      <w:pStyle w:val="Stopka"/>
      <w:tabs>
        <w:tab w:val="clear" w:pos="4536"/>
        <w:tab w:val="clear" w:pos="9072"/>
        <w:tab w:val="left" w:pos="7770"/>
      </w:tabs>
    </w:pPr>
    <w:r>
      <w:tab/>
    </w:r>
  </w:p>
  <w:p w14:paraId="0650E78C" w14:textId="4F7C49B4" w:rsidR="00722E64" w:rsidRDefault="00722E64" w:rsidP="00722E64">
    <w:pPr>
      <w:pStyle w:val="Stopka"/>
      <w:jc w:val="center"/>
    </w:pPr>
  </w:p>
  <w:p w14:paraId="6B055ABA" w14:textId="477676B9" w:rsidR="00722E64" w:rsidRDefault="00722E64" w:rsidP="00722E64">
    <w:pPr>
      <w:pStyle w:val="Stopka"/>
      <w:tabs>
        <w:tab w:val="clear" w:pos="4536"/>
        <w:tab w:val="clear" w:pos="9072"/>
        <w:tab w:val="left" w:pos="7770"/>
      </w:tabs>
    </w:pPr>
  </w:p>
  <w:p w14:paraId="26B57971" w14:textId="77777777" w:rsidR="00722E64" w:rsidRDefault="00722E64" w:rsidP="00722E64">
    <w:pPr>
      <w:pStyle w:val="Stopka"/>
      <w:tabs>
        <w:tab w:val="clear" w:pos="4536"/>
        <w:tab w:val="clear" w:pos="9072"/>
        <w:tab w:val="left" w:pos="777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AAE561" w14:textId="77777777" w:rsidR="00AB5964" w:rsidRDefault="00AB5964" w:rsidP="00053E5A">
      <w:pPr>
        <w:spacing w:after="0" w:line="240" w:lineRule="auto"/>
      </w:pPr>
      <w:r>
        <w:separator/>
      </w:r>
    </w:p>
  </w:footnote>
  <w:footnote w:type="continuationSeparator" w:id="0">
    <w:p w14:paraId="0C86DC63" w14:textId="77777777" w:rsidR="00AB5964" w:rsidRDefault="00AB5964" w:rsidP="00053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BF253" w14:textId="1F6E0E00" w:rsidR="00053E5A" w:rsidRDefault="00053E5A" w:rsidP="009614DC">
    <w:pPr>
      <w:pStyle w:val="Nagwek"/>
      <w:tabs>
        <w:tab w:val="clear" w:pos="4536"/>
        <w:tab w:val="clear" w:pos="9072"/>
        <w:tab w:val="left" w:pos="600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76755" w14:textId="5C1BD683" w:rsidR="003625F3" w:rsidRDefault="00722E64">
    <w:pPr>
      <w:pStyle w:val="Nagwek"/>
    </w:pPr>
    <w:r>
      <w:rPr>
        <w:noProof/>
        <w:lang w:eastAsia="pl-PL"/>
      </w:rPr>
      <w:drawing>
        <wp:anchor distT="0" distB="0" distL="114300" distR="114300" simplePos="0" relativeHeight="251658752" behindDoc="1" locked="0" layoutInCell="1" allowOverlap="1" wp14:anchorId="28F2F9C0" wp14:editId="349B699D">
          <wp:simplePos x="0" y="0"/>
          <wp:positionH relativeFrom="column">
            <wp:posOffset>-1438910</wp:posOffset>
          </wp:positionH>
          <wp:positionV relativeFrom="paragraph">
            <wp:posOffset>-725805</wp:posOffset>
          </wp:positionV>
          <wp:extent cx="7915275" cy="11187131"/>
          <wp:effectExtent l="0" t="0" r="0" b="0"/>
          <wp:wrapNone/>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915275" cy="1118713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063BC"/>
    <w:multiLevelType w:val="hybridMultilevel"/>
    <w:tmpl w:val="13C830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E19155C"/>
    <w:multiLevelType w:val="hybridMultilevel"/>
    <w:tmpl w:val="3D868D82"/>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2E877E0"/>
    <w:multiLevelType w:val="hybridMultilevel"/>
    <w:tmpl w:val="59EE53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3A84F1B"/>
    <w:multiLevelType w:val="hybridMultilevel"/>
    <w:tmpl w:val="1DF0D41C"/>
    <w:lvl w:ilvl="0" w:tplc="E6B8B576">
      <w:start w:val="1"/>
      <w:numFmt w:val="decimal"/>
      <w:lvlText w:val="%1)"/>
      <w:lvlJc w:val="left"/>
      <w:pPr>
        <w:ind w:left="1146" w:hanging="360"/>
      </w:pPr>
      <w:rPr>
        <w:rFonts w:hint="default"/>
        <w:b w:val="0"/>
        <w:sz w:val="28"/>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 w15:restartNumberingAfterBreak="0">
    <w:nsid w:val="20186599"/>
    <w:multiLevelType w:val="hybridMultilevel"/>
    <w:tmpl w:val="C6846C5A"/>
    <w:lvl w:ilvl="0" w:tplc="A27CDF86">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5" w15:restartNumberingAfterBreak="0">
    <w:nsid w:val="2307078A"/>
    <w:multiLevelType w:val="hybridMultilevel"/>
    <w:tmpl w:val="4CCC9AF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8AC6FC3"/>
    <w:multiLevelType w:val="hybridMultilevel"/>
    <w:tmpl w:val="AD8085E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 w15:restartNumberingAfterBreak="0">
    <w:nsid w:val="4BEE24F9"/>
    <w:multiLevelType w:val="hybridMultilevel"/>
    <w:tmpl w:val="A27C01E2"/>
    <w:lvl w:ilvl="0" w:tplc="8BC6B38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80866F1"/>
    <w:multiLevelType w:val="hybridMultilevel"/>
    <w:tmpl w:val="4CCC9A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99454D0"/>
    <w:multiLevelType w:val="hybridMultilevel"/>
    <w:tmpl w:val="866EBA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AFD780E"/>
    <w:multiLevelType w:val="multilevel"/>
    <w:tmpl w:val="D3D8BADA"/>
    <w:lvl w:ilvl="0">
      <w:start w:val="2"/>
      <w:numFmt w:val="decimal"/>
      <w:lvlText w:val="%1."/>
      <w:lvlJc w:val="left"/>
      <w:pPr>
        <w:ind w:left="720" w:hanging="360"/>
      </w:pPr>
      <w:rPr>
        <w:rFonts w:hint="default"/>
        <w:b w:val="0"/>
        <w:bCs/>
        <w:sz w:val="28"/>
      </w:rPr>
    </w:lvl>
    <w:lvl w:ilvl="1">
      <w:start w:val="1"/>
      <w:numFmt w:val="decimal"/>
      <w:lvlText w:val="%2)"/>
      <w:lvlJc w:val="left"/>
      <w:pPr>
        <w:ind w:left="1080" w:hanging="720"/>
      </w:pPr>
      <w:rPr>
        <w:rFonts w:hint="default"/>
        <w:b w:val="0"/>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5BC42A0E"/>
    <w:multiLevelType w:val="multilevel"/>
    <w:tmpl w:val="7F8C890E"/>
    <w:lvl w:ilvl="0">
      <w:start w:val="1"/>
      <w:numFmt w:val="decimal"/>
      <w:lvlText w:val="%1."/>
      <w:lvlJc w:val="left"/>
      <w:pPr>
        <w:ind w:left="720" w:hanging="360"/>
      </w:pPr>
      <w:rPr>
        <w:rFonts w:hint="default"/>
        <w:b w:val="0"/>
        <w:bCs/>
        <w:sz w:val="28"/>
      </w:rPr>
    </w:lvl>
    <w:lvl w:ilvl="1">
      <w:start w:val="1"/>
      <w:numFmt w:val="decimal"/>
      <w:lvlText w:val="%2)"/>
      <w:lvlJc w:val="left"/>
      <w:pPr>
        <w:ind w:left="1080" w:hanging="720"/>
      </w:pPr>
      <w:rPr>
        <w:rFonts w:hint="default"/>
        <w:b w:val="0"/>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6DDA066E"/>
    <w:multiLevelType w:val="hybridMultilevel"/>
    <w:tmpl w:val="B4A6E944"/>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748D266D"/>
    <w:multiLevelType w:val="hybridMultilevel"/>
    <w:tmpl w:val="985A2C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78361418"/>
    <w:multiLevelType w:val="hybridMultilevel"/>
    <w:tmpl w:val="FD681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7DC074B5"/>
    <w:multiLevelType w:val="hybridMultilevel"/>
    <w:tmpl w:val="1BE44F5C"/>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7DF748FB"/>
    <w:multiLevelType w:val="hybridMultilevel"/>
    <w:tmpl w:val="386AC68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num>
  <w:num w:numId="2">
    <w:abstractNumId w:val="14"/>
  </w:num>
  <w:num w:numId="3">
    <w:abstractNumId w:val="3"/>
  </w:num>
  <w:num w:numId="4">
    <w:abstractNumId w:val="7"/>
  </w:num>
  <w:num w:numId="5">
    <w:abstractNumId w:val="6"/>
  </w:num>
  <w:num w:numId="6">
    <w:abstractNumId w:val="9"/>
  </w:num>
  <w:num w:numId="7">
    <w:abstractNumId w:val="0"/>
  </w:num>
  <w:num w:numId="8">
    <w:abstractNumId w:val="10"/>
  </w:num>
  <w:num w:numId="9">
    <w:abstractNumId w:val="1"/>
  </w:num>
  <w:num w:numId="10">
    <w:abstractNumId w:val="12"/>
  </w:num>
  <w:num w:numId="11">
    <w:abstractNumId w:val="15"/>
  </w:num>
  <w:num w:numId="12">
    <w:abstractNumId w:val="16"/>
  </w:num>
  <w:num w:numId="13">
    <w:abstractNumId w:val="2"/>
  </w:num>
  <w:num w:numId="14">
    <w:abstractNumId w:val="13"/>
  </w:num>
  <w:num w:numId="15">
    <w:abstractNumId w:val="4"/>
  </w:num>
  <w:num w:numId="16">
    <w:abstractNumId w:val="8"/>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20EF4"/>
    <w:rsid w:val="00053E5A"/>
    <w:rsid w:val="00056D8D"/>
    <w:rsid w:val="000C0935"/>
    <w:rsid w:val="0010000E"/>
    <w:rsid w:val="001E45F7"/>
    <w:rsid w:val="00250690"/>
    <w:rsid w:val="00296D46"/>
    <w:rsid w:val="0031777D"/>
    <w:rsid w:val="003625F3"/>
    <w:rsid w:val="003650B3"/>
    <w:rsid w:val="004266A8"/>
    <w:rsid w:val="004519AC"/>
    <w:rsid w:val="0048459B"/>
    <w:rsid w:val="004922DB"/>
    <w:rsid w:val="0049760F"/>
    <w:rsid w:val="00525346"/>
    <w:rsid w:val="00547B25"/>
    <w:rsid w:val="00575C7A"/>
    <w:rsid w:val="00582CAF"/>
    <w:rsid w:val="005A07CF"/>
    <w:rsid w:val="005B4C37"/>
    <w:rsid w:val="005E5887"/>
    <w:rsid w:val="00677A8F"/>
    <w:rsid w:val="006A6F3E"/>
    <w:rsid w:val="006D1342"/>
    <w:rsid w:val="006D5809"/>
    <w:rsid w:val="00722E64"/>
    <w:rsid w:val="00775A53"/>
    <w:rsid w:val="00801B47"/>
    <w:rsid w:val="0081559F"/>
    <w:rsid w:val="00825443"/>
    <w:rsid w:val="00883567"/>
    <w:rsid w:val="008A4EA9"/>
    <w:rsid w:val="00917C21"/>
    <w:rsid w:val="009614DC"/>
    <w:rsid w:val="00977946"/>
    <w:rsid w:val="009937A8"/>
    <w:rsid w:val="009D7A66"/>
    <w:rsid w:val="00A80570"/>
    <w:rsid w:val="00AB5964"/>
    <w:rsid w:val="00AC2BD8"/>
    <w:rsid w:val="00C636CE"/>
    <w:rsid w:val="00C74A10"/>
    <w:rsid w:val="00D066E1"/>
    <w:rsid w:val="00D91D83"/>
    <w:rsid w:val="00D96D0F"/>
    <w:rsid w:val="00DE0591"/>
    <w:rsid w:val="00E43A7B"/>
    <w:rsid w:val="00E560F8"/>
    <w:rsid w:val="00E81680"/>
    <w:rsid w:val="00E94009"/>
    <w:rsid w:val="00F11BA4"/>
    <w:rsid w:val="00F93F83"/>
    <w:rsid w:val="00FA37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F7F81E95-4E91-437B-9593-B7552722F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character" w:styleId="Hipercze">
    <w:name w:val="Hyperlink"/>
    <w:basedOn w:val="Domylnaczcionkaakapitu"/>
    <w:uiPriority w:val="99"/>
    <w:unhideWhenUsed/>
    <w:rsid w:val="00E43A7B"/>
    <w:rPr>
      <w:color w:val="0000FF" w:themeColor="hyperlink"/>
      <w:u w:val="single"/>
    </w:rPr>
  </w:style>
  <w:style w:type="character" w:styleId="Nierozpoznanawzmianka">
    <w:name w:val="Unresolved Mention"/>
    <w:basedOn w:val="Domylnaczcionkaakapitu"/>
    <w:uiPriority w:val="99"/>
    <w:semiHidden/>
    <w:unhideWhenUsed/>
    <w:rsid w:val="00E43A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F53647-0138-42F3-BDC6-A08D4B22C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TotalTime>
  <Pages>16</Pages>
  <Words>4755</Words>
  <Characters>28535</Characters>
  <Application>Microsoft Office Word</Application>
  <DocSecurity>0</DocSecurity>
  <Lines>237</Lines>
  <Paragraphs>66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Marta Matuszewska</cp:lastModifiedBy>
  <cp:revision>13</cp:revision>
  <cp:lastPrinted>2020-02-11T13:09:00Z</cp:lastPrinted>
  <dcterms:created xsi:type="dcterms:W3CDTF">2022-01-20T09:45:00Z</dcterms:created>
  <dcterms:modified xsi:type="dcterms:W3CDTF">2022-03-28T12:15:00Z</dcterms:modified>
</cp:coreProperties>
</file>