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7ED67" w14:textId="25CF2415" w:rsidR="00003F6B" w:rsidRDefault="00063F29" w:rsidP="00003F6B">
      <w:pPr>
        <w:pStyle w:val="NormalnyWeb"/>
        <w:jc w:val="both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  <w:bookmarkStart w:id="0" w:name="_Hlk100684022"/>
      <w:bookmarkStart w:id="1" w:name="_Hlk100745123"/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O</w:t>
      </w:r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preferencyjnych instrumentach finansowych dla biznesu, zmianach w podatkach, czy marketingu w </w:t>
      </w:r>
      <w:proofErr w:type="spellStart"/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internecie</w:t>
      </w:r>
      <w:proofErr w:type="spellEnd"/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opowiedzą nasi eksperci podczas </w:t>
      </w:r>
      <w:r w:rsidRPr="00003F6B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bezpłatnego webinariu</w:t>
      </w:r>
      <w:r w:rsidR="00003F6B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m:</w:t>
      </w:r>
    </w:p>
    <w:p w14:paraId="48C636DA" w14:textId="77332847" w:rsidR="00003F6B" w:rsidRDefault="00003F6B" w:rsidP="00003F6B">
      <w:pPr>
        <w:pStyle w:val="NormalnyWeb"/>
        <w:jc w:val="center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  <w:r w:rsidRPr="00003F6B">
        <w:rPr>
          <w:rStyle w:val="Pogrubienie"/>
          <w:rFonts w:asciiTheme="minorHAnsi" w:hAnsiTheme="minorHAnsi" w:cstheme="minorHAnsi"/>
          <w:sz w:val="28"/>
          <w:szCs w:val="28"/>
        </w:rPr>
        <w:t>„Fundusze dla MŚP. Rozwój wielkopolskich przedsiębiorstw”</w:t>
      </w:r>
    </w:p>
    <w:p w14:paraId="3FEB8210" w14:textId="16A811F9" w:rsidR="00063F29" w:rsidRPr="00003F6B" w:rsidRDefault="00063F29" w:rsidP="00003F6B">
      <w:pPr>
        <w:pStyle w:val="NormalnyWeb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na które zapraszamy</w:t>
      </w:r>
      <w:r w:rsidR="00003F6B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</w:t>
      </w:r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w środę </w:t>
      </w:r>
      <w:r w:rsidRPr="00063F29">
        <w:rPr>
          <w:rStyle w:val="Pogrubienie"/>
          <w:rFonts w:asciiTheme="minorHAnsi" w:hAnsiTheme="minorHAnsi" w:cstheme="minorHAnsi"/>
          <w:sz w:val="28"/>
          <w:szCs w:val="28"/>
        </w:rPr>
        <w:t>27 kwietnia o godz. 10.00.</w:t>
      </w:r>
    </w:p>
    <w:p w14:paraId="48E98557" w14:textId="77551BF3" w:rsidR="00063F29" w:rsidRPr="00063F29" w:rsidRDefault="00063F29" w:rsidP="00063F29">
      <w:pPr>
        <w:pStyle w:val="NormalnyWeb"/>
        <w:jc w:val="both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Omówimy</w:t>
      </w:r>
      <w:r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</w:t>
      </w:r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wyzwania stojące przed przedsiębiorcami, a związane z modyfikacjami przepisów Polskiego Ładu, możliwości finansowania celów inwestycyjnych i obrotowych sektora MŚP. Dodatkowo zaprezentowany zostanie potencjał </w:t>
      </w:r>
      <w:proofErr w:type="spellStart"/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webwritingu</w:t>
      </w:r>
      <w:proofErr w:type="spellEnd"/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– praktyczne techniki tworzenia </w:t>
      </w:r>
      <w:r w:rsidRPr="00063F29">
        <w:rPr>
          <w:rFonts w:asciiTheme="minorHAnsi" w:hAnsiTheme="minorHAnsi" w:cstheme="minorHAnsi"/>
          <w:sz w:val="28"/>
          <w:szCs w:val="28"/>
        </w:rPr>
        <w:t xml:space="preserve">wartościowych merytorycznie i przyjaznych dla internautów treści, dzięki którym oferta sprzedażowa dotrze do znacznie większej liczby klientów. </w:t>
      </w:r>
      <w:bookmarkStart w:id="2" w:name="_Hlk100682094"/>
    </w:p>
    <w:bookmarkEnd w:id="0"/>
    <w:bookmarkEnd w:id="2"/>
    <w:p w14:paraId="41AD392A" w14:textId="77777777" w:rsidR="00063F29" w:rsidRPr="00063F29" w:rsidRDefault="00063F29" w:rsidP="00063F29">
      <w:pPr>
        <w:pStyle w:val="NormalnyWeb"/>
        <w:jc w:val="both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  <w:r w:rsidRPr="00063F29">
        <w:rPr>
          <w:rFonts w:asciiTheme="minorHAnsi" w:hAnsiTheme="minorHAnsi" w:cstheme="minorHAnsi"/>
          <w:sz w:val="28"/>
          <w:szCs w:val="28"/>
        </w:rPr>
        <w:t xml:space="preserve">W załączeniu program spotkania </w:t>
      </w:r>
      <w:r w:rsidRPr="00003F6B">
        <w:rPr>
          <w:rStyle w:val="Pogrubienie"/>
          <w:rFonts w:asciiTheme="minorHAnsi" w:hAnsiTheme="minorHAnsi" w:cstheme="minorHAnsi"/>
          <w:sz w:val="28"/>
          <w:szCs w:val="28"/>
        </w:rPr>
        <w:t>„Fundusze dla MŚP. Rozwój wielkopolskich przedsiębiorstw”</w:t>
      </w:r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.</w:t>
      </w:r>
      <w:r w:rsidRPr="00063F29">
        <w:rPr>
          <w:rFonts w:asciiTheme="minorHAnsi" w:hAnsiTheme="minorHAnsi" w:cstheme="minorHAnsi"/>
          <w:sz w:val="28"/>
          <w:szCs w:val="28"/>
        </w:rPr>
        <w:t xml:space="preserve"> Zachęcamy do rejestracji – chęć uczestnictwa wystarczy wysłać na adres </w:t>
      </w:r>
      <w:hyperlink r:id="rId5" w:history="1">
        <w:r w:rsidRPr="00063F29">
          <w:rPr>
            <w:rStyle w:val="Hipercze"/>
            <w:rFonts w:asciiTheme="minorHAnsi" w:hAnsiTheme="minorHAnsi" w:cstheme="minorHAnsi"/>
            <w:b/>
            <w:bCs/>
            <w:color w:val="auto"/>
            <w:sz w:val="28"/>
            <w:szCs w:val="28"/>
            <w:u w:val="none"/>
          </w:rPr>
          <w:t>promocja@wfr.org.pl</w:t>
        </w:r>
      </w:hyperlink>
      <w:r w:rsidRPr="00063F29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063F29">
        <w:rPr>
          <w:rFonts w:asciiTheme="minorHAnsi" w:hAnsiTheme="minorHAnsi" w:cstheme="minorHAnsi"/>
          <w:sz w:val="28"/>
          <w:szCs w:val="28"/>
        </w:rPr>
        <w:t xml:space="preserve">lub użyć </w:t>
      </w:r>
      <w:hyperlink r:id="rId6" w:history="1">
        <w:r w:rsidRPr="00063F29">
          <w:rPr>
            <w:rStyle w:val="Hipercze"/>
            <w:rFonts w:asciiTheme="minorHAnsi" w:hAnsiTheme="minorHAnsi" w:cstheme="minorHAnsi"/>
            <w:b/>
            <w:bCs/>
            <w:sz w:val="28"/>
            <w:szCs w:val="28"/>
          </w:rPr>
          <w:t>formularza zgłoszeniowego</w:t>
        </w:r>
      </w:hyperlink>
      <w:r w:rsidRPr="00063F29">
        <w:rPr>
          <w:rFonts w:asciiTheme="minorHAnsi" w:hAnsiTheme="minorHAnsi" w:cstheme="minorHAnsi"/>
          <w:b/>
          <w:bCs/>
          <w:sz w:val="28"/>
          <w:szCs w:val="28"/>
        </w:rPr>
        <w:t xml:space="preserve">. </w:t>
      </w:r>
      <w:r w:rsidRPr="00063F29">
        <w:rPr>
          <w:rFonts w:asciiTheme="minorHAnsi" w:hAnsiTheme="minorHAnsi" w:cstheme="minorHAnsi"/>
          <w:sz w:val="28"/>
          <w:szCs w:val="28"/>
        </w:rPr>
        <w:t xml:space="preserve">Każda zapisana osoba link logujący do webinarium na platformie YouTube otrzyma w dniu wydarzenia. Transmisja będzie dostępna również na </w:t>
      </w:r>
      <w:r w:rsidRPr="00063F29">
        <w:rPr>
          <w:rFonts w:asciiTheme="minorHAnsi" w:hAnsiTheme="minorHAnsi" w:cstheme="minorHAnsi"/>
          <w:b/>
          <w:bCs/>
          <w:sz w:val="28"/>
          <w:szCs w:val="28"/>
        </w:rPr>
        <w:t>Facebooku WFR.</w:t>
      </w:r>
    </w:p>
    <w:p w14:paraId="25D0A84A" w14:textId="77777777" w:rsidR="00003F6B" w:rsidRDefault="00003F6B" w:rsidP="00063F29">
      <w:pPr>
        <w:pStyle w:val="NormalnyWeb"/>
        <w:jc w:val="both"/>
        <w:rPr>
          <w:rStyle w:val="Pogrubienie"/>
          <w:rFonts w:asciiTheme="minorHAnsi" w:hAnsiTheme="minorHAnsi" w:cstheme="minorHAnsi"/>
          <w:sz w:val="28"/>
          <w:szCs w:val="28"/>
        </w:rPr>
      </w:pPr>
    </w:p>
    <w:p w14:paraId="2D76E2F1" w14:textId="009D18E5" w:rsidR="00063F29" w:rsidRPr="00063F29" w:rsidRDefault="00063F29" w:rsidP="00063F29">
      <w:pPr>
        <w:pStyle w:val="NormalnyWeb"/>
        <w:jc w:val="both"/>
        <w:rPr>
          <w:rStyle w:val="Pogrubienie"/>
          <w:rFonts w:asciiTheme="minorHAnsi" w:hAnsiTheme="minorHAnsi" w:cstheme="minorHAnsi"/>
          <w:sz w:val="28"/>
          <w:szCs w:val="28"/>
        </w:rPr>
      </w:pPr>
      <w:r w:rsidRPr="00063F29">
        <w:rPr>
          <w:rStyle w:val="Pogrubienie"/>
          <w:rFonts w:asciiTheme="minorHAnsi" w:hAnsiTheme="minorHAnsi" w:cstheme="minorHAnsi"/>
          <w:sz w:val="28"/>
          <w:szCs w:val="28"/>
        </w:rPr>
        <w:t>O PROGRAMIE I ORGANIZATORACH:</w:t>
      </w:r>
    </w:p>
    <w:p w14:paraId="562068D5" w14:textId="77777777" w:rsidR="00003F6B" w:rsidRDefault="00063F29" w:rsidP="00063F29">
      <w:pPr>
        <w:pStyle w:val="NormalnyWeb"/>
        <w:jc w:val="both"/>
        <w:rPr>
          <w:rStyle w:val="jsgrdq"/>
          <w:color w:val="000000"/>
          <w:sz w:val="28"/>
          <w:szCs w:val="28"/>
        </w:rPr>
      </w:pPr>
      <w:r w:rsidRPr="00063F29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Webinarium organizuje Wielkopolski Fundusz Rozwoju. Partnerami wydarzenia są Krajowa Izba Doradców Podatkowych </w:t>
      </w:r>
      <w:r w:rsidRPr="00063F29">
        <w:rPr>
          <w:rFonts w:asciiTheme="minorHAnsi" w:hAnsiTheme="minorHAnsi" w:cstheme="minorHAnsi"/>
          <w:sz w:val="28"/>
          <w:szCs w:val="28"/>
        </w:rPr>
        <w:t xml:space="preserve">oraz autorzy </w:t>
      </w:r>
      <w:r w:rsidRPr="00063F29">
        <w:rPr>
          <w:rStyle w:val="jsgrdq"/>
          <w:rFonts w:asciiTheme="minorHAnsi" w:hAnsiTheme="minorHAnsi" w:cstheme="minorHAnsi"/>
          <w:color w:val="000000"/>
          <w:sz w:val="28"/>
          <w:szCs w:val="28"/>
        </w:rPr>
        <w:t xml:space="preserve">Programu Firmy Jutra. </w:t>
      </w:r>
    </w:p>
    <w:p w14:paraId="51460E9A" w14:textId="02DC3D18" w:rsidR="00063F29" w:rsidRPr="00003F6B" w:rsidRDefault="00063F29" w:rsidP="00063F29">
      <w:pPr>
        <w:pStyle w:val="NormalnyWeb"/>
        <w:jc w:val="both"/>
        <w:rPr>
          <w:color w:val="000000"/>
          <w:sz w:val="28"/>
          <w:szCs w:val="28"/>
        </w:rPr>
      </w:pPr>
      <w:r w:rsidRPr="00063F29">
        <w:rPr>
          <w:rStyle w:val="Pogrubienie"/>
          <w:rFonts w:asciiTheme="minorHAnsi" w:hAnsiTheme="minorHAnsi" w:cstheme="minorHAnsi"/>
          <w:sz w:val="28"/>
          <w:szCs w:val="28"/>
        </w:rPr>
        <w:t xml:space="preserve">Wielkopolski Fundusz Rozwoju sp. z o.o.  </w:t>
      </w:r>
      <w:r w:rsidRPr="00063F29">
        <w:rPr>
          <w:rFonts w:asciiTheme="minorHAnsi" w:hAnsiTheme="minorHAnsi" w:cstheme="minorHAnsi"/>
          <w:sz w:val="28"/>
          <w:szCs w:val="28"/>
          <w:shd w:val="clear" w:color="auto" w:fill="FFFFFF"/>
        </w:rPr>
        <w:t>został powołany przez Samorząd Województwa Wielkopolskiego. Oferuje produkty finansowe na preferencyjnych warunkach wspierające potencjał sektora MŚP oraz jednostek samorządu terytorialnego z regionu. Spółka likwiduje bariery w dostępie do kapitału poprzez szeroki katalog produktów – pożyczek oraz poręczeń. Proponowane instrumenty finansowe umożliwiają realizację celów inwestycyjnych, a także obrotowych, projektów rewitalizacyjnych na terenie miast, przedsięwzięć z zakresu efektywności energetycznej oraz działania w ramach ekspansji zagranicznej.</w:t>
      </w:r>
    </w:p>
    <w:p w14:paraId="07AAFE05" w14:textId="77777777" w:rsidR="00063F29" w:rsidRPr="00063F29" w:rsidRDefault="00063F29" w:rsidP="00063F29">
      <w:pPr>
        <w:pStyle w:val="NormalnyWeb"/>
        <w:jc w:val="both"/>
        <w:rPr>
          <w:rStyle w:val="jsgrdq"/>
          <w:color w:val="000000"/>
          <w:sz w:val="28"/>
          <w:szCs w:val="28"/>
        </w:rPr>
      </w:pPr>
      <w:r w:rsidRPr="00063F29">
        <w:rPr>
          <w:rStyle w:val="jsgrdq"/>
          <w:rFonts w:asciiTheme="minorHAnsi" w:hAnsiTheme="minorHAnsi" w:cstheme="minorHAnsi"/>
          <w:b/>
          <w:bCs/>
          <w:color w:val="000000"/>
          <w:sz w:val="28"/>
          <w:szCs w:val="28"/>
        </w:rPr>
        <w:lastRenderedPageBreak/>
        <w:t>Krajowa Izba Doradców Podatkowych</w:t>
      </w:r>
      <w:r w:rsidRPr="00063F29">
        <w:rPr>
          <w:rStyle w:val="jsgrdq"/>
          <w:rFonts w:asciiTheme="minorHAnsi" w:hAnsiTheme="minorHAnsi" w:cstheme="minorHAnsi"/>
          <w:color w:val="000000"/>
          <w:sz w:val="28"/>
          <w:szCs w:val="28"/>
        </w:rPr>
        <w:t xml:space="preserve"> wśród swych zadań statutowych podejmuje także działania informacyjne dotyczące aktualnych przepisów podatkowych i zasad ich stosowania, posiada 16 oddziałów regionalnych. </w:t>
      </w:r>
    </w:p>
    <w:p w14:paraId="45DFB1A6" w14:textId="77777777" w:rsidR="00063F29" w:rsidRPr="00063F29" w:rsidRDefault="00063F29" w:rsidP="00063F29">
      <w:pPr>
        <w:spacing w:before="100" w:beforeAutospacing="1" w:after="240"/>
        <w:jc w:val="both"/>
        <w:rPr>
          <w:sz w:val="28"/>
          <w:szCs w:val="28"/>
        </w:rPr>
      </w:pPr>
      <w:r w:rsidRPr="00063F29">
        <w:rPr>
          <w:rStyle w:val="jsgrdq"/>
          <w:rFonts w:asciiTheme="minorHAnsi" w:hAnsiTheme="minorHAnsi" w:cstheme="minorHAnsi"/>
          <w:b/>
          <w:bCs/>
          <w:color w:val="000000"/>
          <w:sz w:val="28"/>
          <w:szCs w:val="28"/>
        </w:rPr>
        <w:t>Program Firmy Jutra</w:t>
      </w:r>
      <w:r w:rsidRPr="00063F29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Pr="00063F29">
        <w:rPr>
          <w:rFonts w:asciiTheme="minorHAnsi" w:hAnsiTheme="minorHAnsi" w:cstheme="minorHAnsi"/>
          <w:sz w:val="28"/>
          <w:szCs w:val="28"/>
        </w:rPr>
        <w:t>to bezpłatny program edukacyjno-rozwojowy dla przedsiębiorców stworzony przez Google i Polski Fundusz Rozwoju. Program zapewnia wsparcie z zakresu rozwiązań chmurowych, biznesu i marketingu internetowego.</w:t>
      </w:r>
    </w:p>
    <w:p w14:paraId="31AF111C" w14:textId="77777777" w:rsidR="00063F29" w:rsidRPr="00063F29" w:rsidRDefault="00063F29" w:rsidP="00063F29">
      <w:pPr>
        <w:spacing w:before="100" w:beforeAutospacing="1" w:after="100" w:afterAutospacing="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063F29">
        <w:rPr>
          <w:rFonts w:asciiTheme="minorHAnsi" w:hAnsiTheme="minorHAnsi" w:cstheme="minorHAnsi"/>
          <w:b/>
          <w:bCs/>
          <w:sz w:val="28"/>
          <w:szCs w:val="28"/>
        </w:rPr>
        <w:t>Instrumenty finansowe dedykowane MŚP, które zostaną omówione podczas webinarium:</w:t>
      </w:r>
    </w:p>
    <w:p w14:paraId="243036EA" w14:textId="77777777" w:rsidR="00063F29" w:rsidRPr="00063F29" w:rsidRDefault="00063F29" w:rsidP="00063F29">
      <w:pPr>
        <w:numPr>
          <w:ilvl w:val="0"/>
          <w:numId w:val="2"/>
        </w:numPr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7" w:history="1">
        <w:r w:rsidRPr="00063F29">
          <w:rPr>
            <w:rStyle w:val="Pogrubienie"/>
            <w:rFonts w:asciiTheme="minorHAnsi" w:hAnsiTheme="minorHAnsi" w:cstheme="minorHAnsi"/>
            <w:sz w:val="28"/>
            <w:szCs w:val="28"/>
          </w:rPr>
          <w:t>Pożyczka Ekspansja</w:t>
        </w:r>
      </w:hyperlink>
      <w:r w:rsidRPr="00063F29">
        <w:rPr>
          <w:rFonts w:asciiTheme="minorHAnsi" w:hAnsiTheme="minorHAnsi" w:cstheme="minorHAnsi"/>
          <w:sz w:val="28"/>
          <w:szCs w:val="28"/>
        </w:rPr>
        <w:t xml:space="preserve"> – finansowanie celów inwestycyjnych i/lub obrotowych związanych z rozwojem działalności eksportowej. </w:t>
      </w:r>
    </w:p>
    <w:p w14:paraId="68B77D61" w14:textId="77777777" w:rsidR="00063F29" w:rsidRPr="00063F29" w:rsidRDefault="00063F29" w:rsidP="00063F29">
      <w:pPr>
        <w:numPr>
          <w:ilvl w:val="0"/>
          <w:numId w:val="2"/>
        </w:numPr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8" w:history="1">
        <w:r w:rsidRPr="00063F29">
          <w:rPr>
            <w:rStyle w:val="Pogrubienie"/>
            <w:rFonts w:asciiTheme="minorHAnsi" w:hAnsiTheme="minorHAnsi" w:cstheme="minorHAnsi"/>
            <w:sz w:val="28"/>
            <w:szCs w:val="28"/>
          </w:rPr>
          <w:t>Pożyczka Regionalna</w:t>
        </w:r>
      </w:hyperlink>
      <w:r w:rsidRPr="00063F29">
        <w:rPr>
          <w:rFonts w:asciiTheme="minorHAnsi" w:hAnsiTheme="minorHAnsi" w:cstheme="minorHAnsi"/>
          <w:sz w:val="28"/>
          <w:szCs w:val="28"/>
        </w:rPr>
        <w:t xml:space="preserve"> – finansowanie z przeznaczeniem na realizację zamówień publicznych.</w:t>
      </w:r>
    </w:p>
    <w:p w14:paraId="6251F24A" w14:textId="77777777" w:rsidR="00063F29" w:rsidRPr="00063F29" w:rsidRDefault="00063F29" w:rsidP="00063F29">
      <w:pPr>
        <w:numPr>
          <w:ilvl w:val="0"/>
          <w:numId w:val="2"/>
        </w:numPr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9" w:history="1">
        <w:r w:rsidRPr="00063F29">
          <w:rPr>
            <w:rStyle w:val="Pogrubienie"/>
            <w:rFonts w:asciiTheme="minorHAnsi" w:hAnsiTheme="minorHAnsi" w:cstheme="minorHAnsi"/>
            <w:sz w:val="28"/>
            <w:szCs w:val="28"/>
          </w:rPr>
          <w:t>Pożyczka Dokończ i Spłać Inwestycję Miejską</w:t>
        </w:r>
      </w:hyperlink>
      <w:r w:rsidRPr="00063F29">
        <w:rPr>
          <w:rFonts w:asciiTheme="minorHAnsi" w:hAnsiTheme="minorHAnsi" w:cstheme="minorHAnsi"/>
          <w:sz w:val="28"/>
          <w:szCs w:val="28"/>
        </w:rPr>
        <w:t xml:space="preserve"> – finansowanie wydatków inwestycyjnych do czasu uzyskania refundacji w ramach projektu dofinansowanego ze środków WRPO 2014+.</w:t>
      </w:r>
    </w:p>
    <w:p w14:paraId="7CC8EAFA" w14:textId="77777777" w:rsidR="00063F29" w:rsidRPr="00063F29" w:rsidRDefault="00063F29" w:rsidP="00063F29">
      <w:pPr>
        <w:numPr>
          <w:ilvl w:val="0"/>
          <w:numId w:val="2"/>
        </w:numPr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10" w:history="1">
        <w:r w:rsidRPr="00063F29">
          <w:rPr>
            <w:rStyle w:val="Pogrubienie"/>
            <w:rFonts w:asciiTheme="minorHAnsi" w:hAnsiTheme="minorHAnsi" w:cstheme="minorHAnsi"/>
            <w:sz w:val="28"/>
            <w:szCs w:val="28"/>
          </w:rPr>
          <w:t>Pożyczka Miejska</w:t>
        </w:r>
      </w:hyperlink>
      <w:r w:rsidRPr="00063F29">
        <w:rPr>
          <w:rFonts w:asciiTheme="minorHAnsi" w:hAnsiTheme="minorHAnsi" w:cstheme="minorHAnsi"/>
          <w:sz w:val="28"/>
          <w:szCs w:val="28"/>
        </w:rPr>
        <w:t xml:space="preserve"> – finansowanie wydatków związanych z realizacją przedsięwzięć inwestycyjnych z zakresu rozwoju obszarów miejskich.</w:t>
      </w:r>
    </w:p>
    <w:p w14:paraId="42EB80D1" w14:textId="77777777" w:rsidR="00063F29" w:rsidRPr="00063F29" w:rsidRDefault="00063F29" w:rsidP="00063F29">
      <w:pPr>
        <w:numPr>
          <w:ilvl w:val="0"/>
          <w:numId w:val="2"/>
        </w:numPr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11" w:history="1">
        <w:r w:rsidRPr="00063F29">
          <w:rPr>
            <w:rStyle w:val="Pogrubienie"/>
            <w:rFonts w:asciiTheme="minorHAnsi" w:hAnsiTheme="minorHAnsi" w:cstheme="minorHAnsi"/>
            <w:sz w:val="28"/>
            <w:szCs w:val="28"/>
          </w:rPr>
          <w:t>Pożyczka Obrotowa</w:t>
        </w:r>
      </w:hyperlink>
      <w:r w:rsidRPr="00063F29">
        <w:rPr>
          <w:rFonts w:asciiTheme="minorHAnsi" w:hAnsiTheme="minorHAnsi" w:cstheme="minorHAnsi"/>
          <w:sz w:val="28"/>
          <w:szCs w:val="28"/>
        </w:rPr>
        <w:t xml:space="preserve"> – finansowanie kapitału obrotowego związanego z prowadzoną przez przedsiębiorstwo działalnością gospodarczą, w tym podatku od towarów i usług.</w:t>
      </w:r>
    </w:p>
    <w:p w14:paraId="5FB99F7A" w14:textId="77777777" w:rsidR="00063F29" w:rsidRPr="00063F29" w:rsidRDefault="00063F29" w:rsidP="00063F29">
      <w:pPr>
        <w:numPr>
          <w:ilvl w:val="0"/>
          <w:numId w:val="2"/>
        </w:numPr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12" w:history="1">
        <w:r w:rsidRPr="00063F29">
          <w:rPr>
            <w:rStyle w:val="Pogrubienie"/>
            <w:rFonts w:asciiTheme="minorHAnsi" w:hAnsiTheme="minorHAnsi" w:cstheme="minorHAnsi"/>
            <w:sz w:val="28"/>
            <w:szCs w:val="28"/>
          </w:rPr>
          <w:t>Pożyczka Hipoteczna</w:t>
        </w:r>
      </w:hyperlink>
      <w:r w:rsidRPr="00063F29">
        <w:rPr>
          <w:rFonts w:asciiTheme="minorHAnsi" w:hAnsiTheme="minorHAnsi" w:cstheme="minorHAnsi"/>
          <w:sz w:val="28"/>
          <w:szCs w:val="28"/>
        </w:rPr>
        <w:t xml:space="preserve"> – finansowanie zakupu nieruchomości zlokalizowanych na obszarze województwa wielkopolskiego, powiązanych z prowadzoną działalnością.</w:t>
      </w:r>
    </w:p>
    <w:p w14:paraId="6F27E515" w14:textId="77777777" w:rsidR="00063F29" w:rsidRPr="00063F29" w:rsidRDefault="00063F29" w:rsidP="00063F29">
      <w:pPr>
        <w:numPr>
          <w:ilvl w:val="0"/>
          <w:numId w:val="2"/>
        </w:numPr>
        <w:spacing w:before="100" w:beforeAutospacing="1" w:after="100" w:afterAutospacing="1"/>
        <w:ind w:left="426" w:hanging="426"/>
        <w:jc w:val="both"/>
        <w:rPr>
          <w:rFonts w:asciiTheme="minorHAnsi" w:hAnsiTheme="minorHAnsi" w:cstheme="minorHAnsi"/>
          <w:sz w:val="28"/>
          <w:szCs w:val="28"/>
        </w:rPr>
      </w:pPr>
      <w:hyperlink r:id="rId13" w:history="1">
        <w:r w:rsidRPr="00063F29">
          <w:rPr>
            <w:rStyle w:val="Pogrubienie"/>
            <w:rFonts w:asciiTheme="minorHAnsi" w:hAnsiTheme="minorHAnsi" w:cstheme="minorHAnsi"/>
            <w:sz w:val="28"/>
            <w:szCs w:val="28"/>
          </w:rPr>
          <w:t xml:space="preserve">Pożyczka </w:t>
        </w:r>
        <w:proofErr w:type="spellStart"/>
        <w:r w:rsidRPr="00063F29">
          <w:rPr>
            <w:rStyle w:val="Pogrubienie"/>
            <w:rFonts w:asciiTheme="minorHAnsi" w:hAnsiTheme="minorHAnsi" w:cstheme="minorHAnsi"/>
            <w:sz w:val="28"/>
            <w:szCs w:val="28"/>
          </w:rPr>
          <w:t>EKOenergetyczna</w:t>
        </w:r>
        <w:proofErr w:type="spellEnd"/>
      </w:hyperlink>
      <w:r w:rsidRPr="00063F29">
        <w:rPr>
          <w:rFonts w:asciiTheme="minorHAnsi" w:hAnsiTheme="minorHAnsi" w:cstheme="minorHAnsi"/>
          <w:sz w:val="28"/>
          <w:szCs w:val="28"/>
        </w:rPr>
        <w:t xml:space="preserve"> – finansowanie inwestycji zwiększających efektywność energetyczną, </w:t>
      </w:r>
      <w:proofErr w:type="spellStart"/>
      <w:r w:rsidRPr="00063F29">
        <w:rPr>
          <w:rFonts w:asciiTheme="minorHAnsi" w:hAnsiTheme="minorHAnsi" w:cstheme="minorHAnsi"/>
          <w:sz w:val="28"/>
          <w:szCs w:val="28"/>
        </w:rPr>
        <w:t>elektromobilność</w:t>
      </w:r>
      <w:proofErr w:type="spellEnd"/>
      <w:r w:rsidRPr="00063F29">
        <w:rPr>
          <w:rFonts w:asciiTheme="minorHAnsi" w:hAnsiTheme="minorHAnsi" w:cstheme="minorHAnsi"/>
          <w:sz w:val="28"/>
          <w:szCs w:val="28"/>
        </w:rPr>
        <w:t xml:space="preserve"> oraz wykorzystanie OZE minimalizujących negatywne oddziaływanie na środowisko, w tym poprawę jakości powietrza.</w:t>
      </w:r>
    </w:p>
    <w:p w14:paraId="688C47B2" w14:textId="77777777" w:rsidR="00063F29" w:rsidRPr="00063F29" w:rsidRDefault="00063F29" w:rsidP="00063F29">
      <w:pPr>
        <w:numPr>
          <w:ilvl w:val="0"/>
          <w:numId w:val="2"/>
        </w:numPr>
        <w:spacing w:before="100" w:beforeAutospacing="1" w:after="100" w:afterAutospacing="1"/>
        <w:ind w:left="426" w:hanging="426"/>
        <w:jc w:val="both"/>
        <w:rPr>
          <w:rFonts w:asciiTheme="minorHAnsi" w:hAnsiTheme="minorHAnsi" w:cstheme="minorHAnsi"/>
          <w:sz w:val="28"/>
          <w:szCs w:val="28"/>
        </w:rPr>
      </w:pPr>
      <w:hyperlink r:id="rId14" w:history="1">
        <w:r w:rsidRPr="00063F29">
          <w:rPr>
            <w:rStyle w:val="Pogrubienie"/>
            <w:rFonts w:asciiTheme="minorHAnsi" w:hAnsiTheme="minorHAnsi" w:cstheme="minorHAnsi"/>
            <w:sz w:val="28"/>
            <w:szCs w:val="28"/>
          </w:rPr>
          <w:t>Poręczen</w:t>
        </w:r>
      </w:hyperlink>
      <w:r w:rsidRPr="00063F29">
        <w:rPr>
          <w:rStyle w:val="Pogrubienie"/>
          <w:rFonts w:asciiTheme="minorHAnsi" w:hAnsiTheme="minorHAnsi" w:cstheme="minorHAnsi"/>
          <w:sz w:val="28"/>
          <w:szCs w:val="28"/>
        </w:rPr>
        <w:t xml:space="preserve">ie – </w:t>
      </w:r>
      <w:r w:rsidRPr="00063F29">
        <w:rPr>
          <w:rFonts w:asciiTheme="minorHAnsi" w:hAnsiTheme="minorHAnsi" w:cstheme="minorHAnsi"/>
          <w:sz w:val="28"/>
          <w:szCs w:val="28"/>
        </w:rPr>
        <w:t>zabezpieczenie spłaty zobowiązań inwestycyjnych oraz obrotowych.</w:t>
      </w:r>
    </w:p>
    <w:bookmarkEnd w:id="1"/>
    <w:p w14:paraId="749C0F7B" w14:textId="3E8CEDF7" w:rsidR="007A764A" w:rsidRDefault="007A764A" w:rsidP="007A764A">
      <w:pPr>
        <w:rPr>
          <w:b/>
          <w:bCs/>
          <w:sz w:val="28"/>
          <w:szCs w:val="28"/>
        </w:rPr>
      </w:pPr>
    </w:p>
    <w:p w14:paraId="170F220C" w14:textId="77777777" w:rsidR="007A764A" w:rsidRPr="007A764A" w:rsidRDefault="007A764A" w:rsidP="007A764A">
      <w:pPr>
        <w:rPr>
          <w:b/>
          <w:bCs/>
          <w:sz w:val="28"/>
          <w:szCs w:val="28"/>
        </w:rPr>
      </w:pPr>
    </w:p>
    <w:p w14:paraId="4DB386ED" w14:textId="726E30D7" w:rsidR="00003F6B" w:rsidRPr="00003F6B" w:rsidRDefault="007A764A" w:rsidP="00003F6B">
      <w:pPr>
        <w:pStyle w:val="Akapitzlist"/>
        <w:numPr>
          <w:ilvl w:val="0"/>
          <w:numId w:val="2"/>
        </w:numPr>
        <w:rPr>
          <w:b/>
          <w:bCs/>
          <w:sz w:val="28"/>
          <w:szCs w:val="28"/>
        </w:rPr>
      </w:pPr>
      <w:r w:rsidRPr="007A764A">
        <w:rPr>
          <w:b/>
          <w:bCs/>
          <w:color w:val="000000"/>
          <w:sz w:val="28"/>
          <w:szCs w:val="28"/>
        </w:rPr>
        <w:t>Link do wydarzenia:</w:t>
      </w:r>
      <w:r>
        <w:rPr>
          <w:color w:val="000000"/>
          <w:sz w:val="28"/>
          <w:szCs w:val="28"/>
        </w:rPr>
        <w:t xml:space="preserve"> </w:t>
      </w:r>
      <w:hyperlink r:id="rId15" w:history="1">
        <w:r w:rsidR="00003F6B" w:rsidRPr="00003F6B">
          <w:rPr>
            <w:rStyle w:val="Hipercze"/>
            <w:sz w:val="28"/>
            <w:szCs w:val="28"/>
          </w:rPr>
          <w:t>https://bit.ly/Fundusze_dla_MŚP_27_04_2022</w:t>
        </w:r>
      </w:hyperlink>
      <w:r w:rsidR="00003F6B" w:rsidRPr="00003F6B">
        <w:rPr>
          <w:sz w:val="28"/>
          <w:szCs w:val="28"/>
        </w:rPr>
        <w:t xml:space="preserve"> </w:t>
      </w:r>
      <w:r w:rsidR="00003F6B" w:rsidRPr="00003F6B">
        <w:rPr>
          <w:color w:val="000000"/>
          <w:sz w:val="28"/>
          <w:szCs w:val="28"/>
        </w:rPr>
        <w:t>oraz linki do informacji na mediach społecznościowych: </w:t>
      </w:r>
    </w:p>
    <w:p w14:paraId="4E87224F" w14:textId="77777777" w:rsidR="007A764A" w:rsidRDefault="007A764A" w:rsidP="007A764A">
      <w:pPr>
        <w:pStyle w:val="Akapitzlist"/>
        <w:ind w:left="501"/>
        <w:rPr>
          <w:sz w:val="28"/>
          <w:szCs w:val="28"/>
          <w:lang w:eastAsia="pl-PL"/>
        </w:rPr>
      </w:pPr>
    </w:p>
    <w:p w14:paraId="2DBAFBA6" w14:textId="030B4E00" w:rsidR="00003F6B" w:rsidRPr="00003F6B" w:rsidRDefault="007A764A" w:rsidP="00003F6B">
      <w:pPr>
        <w:pStyle w:val="Akapitzlist"/>
        <w:numPr>
          <w:ilvl w:val="0"/>
          <w:numId w:val="2"/>
        </w:numPr>
        <w:rPr>
          <w:sz w:val="28"/>
          <w:szCs w:val="28"/>
          <w:lang w:eastAsia="pl-PL"/>
        </w:rPr>
      </w:pPr>
      <w:hyperlink r:id="rId16" w:history="1">
        <w:r w:rsidRPr="003105C7">
          <w:rPr>
            <w:rStyle w:val="Hipercze"/>
            <w:sz w:val="28"/>
            <w:szCs w:val="28"/>
          </w:rPr>
          <w:t>https://www.facebook.com/events/1112204932960996</w:t>
        </w:r>
      </w:hyperlink>
      <w:r w:rsidR="00003F6B" w:rsidRPr="00003F6B">
        <w:rPr>
          <w:sz w:val="28"/>
          <w:szCs w:val="28"/>
        </w:rPr>
        <w:t xml:space="preserve"> </w:t>
      </w:r>
    </w:p>
    <w:p w14:paraId="7954D31D" w14:textId="77777777" w:rsidR="00003F6B" w:rsidRPr="00003F6B" w:rsidRDefault="00003F6B" w:rsidP="00003F6B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Pogrubienie"/>
          <w:b w:val="0"/>
          <w:bCs w:val="0"/>
          <w:sz w:val="28"/>
          <w:szCs w:val="28"/>
        </w:rPr>
      </w:pPr>
      <w:hyperlink r:id="rId17" w:history="1">
        <w:r w:rsidRPr="00003F6B">
          <w:rPr>
            <w:rStyle w:val="Hipercze"/>
            <w:sz w:val="28"/>
            <w:szCs w:val="28"/>
          </w:rPr>
          <w:t>https://www.linkedin.com/feed/update/urn:li:activity:6919989706101280768</w:t>
        </w:r>
      </w:hyperlink>
      <w:r w:rsidRPr="00003F6B">
        <w:rPr>
          <w:sz w:val="28"/>
          <w:szCs w:val="28"/>
        </w:rPr>
        <w:t xml:space="preserve"> </w:t>
      </w:r>
    </w:p>
    <w:p w14:paraId="344A59C6" w14:textId="59C6F5AC" w:rsidR="00AC1251" w:rsidRPr="00063F29" w:rsidRDefault="00AC1251">
      <w:pPr>
        <w:rPr>
          <w:sz w:val="28"/>
          <w:szCs w:val="28"/>
        </w:rPr>
      </w:pPr>
    </w:p>
    <w:sectPr w:rsidR="00AC1251" w:rsidRPr="00063F29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2F4E"/>
    <w:multiLevelType w:val="multilevel"/>
    <w:tmpl w:val="057A71DE"/>
    <w:lvl w:ilvl="0">
      <w:start w:val="1"/>
      <w:numFmt w:val="bullet"/>
      <w:lvlText w:val=""/>
      <w:lvlJc w:val="left"/>
      <w:pPr>
        <w:tabs>
          <w:tab w:val="num" w:pos="501"/>
        </w:tabs>
        <w:ind w:left="501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6E1F9E"/>
    <w:multiLevelType w:val="multilevel"/>
    <w:tmpl w:val="4DC02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5938477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9297541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593"/>
    <w:rsid w:val="00003F6B"/>
    <w:rsid w:val="00063F29"/>
    <w:rsid w:val="002C0723"/>
    <w:rsid w:val="00303EE7"/>
    <w:rsid w:val="007A764A"/>
    <w:rsid w:val="00887593"/>
    <w:rsid w:val="00AC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F6E49"/>
  <w15:chartTrackingRefBased/>
  <w15:docId w15:val="{A0033C4D-5639-4F05-80FD-64CD644D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593"/>
    <w:rPr>
      <w:rFonts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63F2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63F2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63F2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jsgrdq">
    <w:name w:val="jsgrdq"/>
    <w:basedOn w:val="Domylnaczcionkaakapitu"/>
    <w:rsid w:val="00063F29"/>
  </w:style>
  <w:style w:type="paragraph" w:styleId="Akapitzlist">
    <w:name w:val="List Paragraph"/>
    <w:basedOn w:val="Normalny"/>
    <w:uiPriority w:val="34"/>
    <w:qFormat/>
    <w:rsid w:val="00003F6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76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3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fr.org.pl/oferta/pozyczka-regionalna/" TargetMode="External"/><Relationship Id="rId13" Type="http://schemas.openxmlformats.org/officeDocument/2006/relationships/hyperlink" Target="https://www.wfr.org.pl/oferta/pozyczka-ekoenergetyczna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wfr.org.pl/oferta/pozyczka-ekspansja/" TargetMode="External"/><Relationship Id="rId12" Type="http://schemas.openxmlformats.org/officeDocument/2006/relationships/hyperlink" Target="https://www.wfr.org.pl/oferta/pozyczka-hipoteczna/" TargetMode="External"/><Relationship Id="rId17" Type="http://schemas.openxmlformats.org/officeDocument/2006/relationships/hyperlink" Target="https://www.linkedin.com/feed/update/urn:li:activity:691998970610128076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cebook.com/events/111220493296099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it.ly/Fundusze_dla_M&#346;P_27_04_2022" TargetMode="External"/><Relationship Id="rId11" Type="http://schemas.openxmlformats.org/officeDocument/2006/relationships/hyperlink" Target="https://www.wfr.org.pl/oferta/pozyczka-obrotowa/" TargetMode="External"/><Relationship Id="rId5" Type="http://schemas.openxmlformats.org/officeDocument/2006/relationships/hyperlink" Target="mailto:promocja@wfr.org.pl" TargetMode="External"/><Relationship Id="rId15" Type="http://schemas.openxmlformats.org/officeDocument/2006/relationships/hyperlink" Target="https://bit.ly/Fundusze_dla_M&#346;P_27_04_2022" TargetMode="External"/><Relationship Id="rId10" Type="http://schemas.openxmlformats.org/officeDocument/2006/relationships/hyperlink" Target="https://www.wfr.org.pl/oferta/pozyczka-miejska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wfr.org.pl/oferta/pozyczka-dokoncz-i-splac-inwestycje-miejska/" TargetMode="External"/><Relationship Id="rId14" Type="http://schemas.openxmlformats.org/officeDocument/2006/relationships/hyperlink" Target="https://www.wfr.org.pl/oferta/poreczeni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652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2</cp:revision>
  <dcterms:created xsi:type="dcterms:W3CDTF">2022-04-14T05:46:00Z</dcterms:created>
  <dcterms:modified xsi:type="dcterms:W3CDTF">2022-04-14T07:15:00Z</dcterms:modified>
</cp:coreProperties>
</file>