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8CBBE" w14:textId="66074665" w:rsidR="006B3990" w:rsidRDefault="006B3990" w:rsidP="0040322B">
      <w:pPr>
        <w:spacing w:after="120" w:line="240" w:lineRule="auto"/>
        <w:rPr>
          <w:rFonts w:eastAsia="Calibri" w:cstheme="minorHAnsi"/>
          <w:sz w:val="28"/>
          <w:szCs w:val="28"/>
        </w:rPr>
      </w:pPr>
    </w:p>
    <w:p w14:paraId="53B296FB" w14:textId="77777777" w:rsidR="00615D44"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Burmistrz Śremu</w:t>
      </w:r>
    </w:p>
    <w:p w14:paraId="0556FEB1" w14:textId="77777777" w:rsidR="00615D44"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ul. Plac 20 Października 1</w:t>
      </w:r>
    </w:p>
    <w:p w14:paraId="40247F5C" w14:textId="13C47F1C" w:rsidR="0040322B"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63 – 100 Śrem</w:t>
      </w:r>
    </w:p>
    <w:p w14:paraId="28508B46" w14:textId="3B211391" w:rsidR="005A07CF" w:rsidRPr="005A07CF" w:rsidRDefault="005A07CF" w:rsidP="005A07CF">
      <w:pPr>
        <w:spacing w:after="120" w:line="240" w:lineRule="auto"/>
        <w:jc w:val="right"/>
        <w:rPr>
          <w:rFonts w:eastAsia="Calibri" w:cstheme="minorHAnsi"/>
          <w:sz w:val="28"/>
          <w:szCs w:val="28"/>
        </w:rPr>
      </w:pPr>
      <w:r w:rsidRPr="005A07CF">
        <w:rPr>
          <w:rFonts w:eastAsia="Calibri" w:cstheme="minorHAnsi"/>
          <w:sz w:val="28"/>
          <w:szCs w:val="28"/>
        </w:rPr>
        <w:t xml:space="preserve">Śrem, </w:t>
      </w:r>
      <w:r w:rsidR="0055482F">
        <w:rPr>
          <w:rFonts w:eastAsia="Calibri" w:cstheme="minorHAnsi"/>
          <w:sz w:val="28"/>
          <w:szCs w:val="28"/>
        </w:rPr>
        <w:t>19</w:t>
      </w:r>
      <w:r w:rsidRPr="005A07CF">
        <w:rPr>
          <w:rFonts w:eastAsia="Calibri" w:cstheme="minorHAnsi"/>
          <w:sz w:val="28"/>
          <w:szCs w:val="28"/>
        </w:rPr>
        <w:t xml:space="preserve"> </w:t>
      </w:r>
      <w:r w:rsidR="00D06C2D">
        <w:rPr>
          <w:rFonts w:eastAsia="Calibri" w:cstheme="minorHAnsi"/>
          <w:sz w:val="28"/>
          <w:szCs w:val="28"/>
        </w:rPr>
        <w:t>kwietnia</w:t>
      </w:r>
      <w:r w:rsidRPr="005A07CF">
        <w:rPr>
          <w:rFonts w:eastAsia="Calibri" w:cstheme="minorHAnsi"/>
          <w:sz w:val="28"/>
          <w:szCs w:val="28"/>
        </w:rPr>
        <w:t xml:space="preserve"> 2022 r</w:t>
      </w:r>
      <w:r w:rsidR="004918B2">
        <w:rPr>
          <w:rFonts w:eastAsia="Calibri" w:cstheme="minorHAnsi"/>
          <w:sz w:val="28"/>
          <w:szCs w:val="28"/>
        </w:rPr>
        <w:t>.</w:t>
      </w:r>
    </w:p>
    <w:p w14:paraId="34FBB9F2" w14:textId="1D32D307"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PPS</w:t>
      </w:r>
      <w:r w:rsidR="00DE0A88">
        <w:rPr>
          <w:rFonts w:eastAsia="Calibri" w:cstheme="minorHAnsi"/>
          <w:sz w:val="28"/>
          <w:szCs w:val="28"/>
        </w:rPr>
        <w:t>PP</w:t>
      </w:r>
      <w:r w:rsidRPr="005A07CF">
        <w:rPr>
          <w:rFonts w:eastAsia="Calibri" w:cstheme="minorHAnsi"/>
          <w:sz w:val="28"/>
          <w:szCs w:val="28"/>
        </w:rPr>
        <w:t>.6</w:t>
      </w:r>
      <w:r w:rsidR="00DE0A88">
        <w:rPr>
          <w:rFonts w:eastAsia="Calibri" w:cstheme="minorHAnsi"/>
          <w:sz w:val="28"/>
          <w:szCs w:val="28"/>
        </w:rPr>
        <w:t>73</w:t>
      </w:r>
      <w:r w:rsidR="00740DC5">
        <w:rPr>
          <w:rFonts w:eastAsia="Calibri" w:cstheme="minorHAnsi"/>
          <w:sz w:val="28"/>
          <w:szCs w:val="28"/>
        </w:rPr>
        <w:t>0</w:t>
      </w:r>
      <w:r w:rsidRPr="005A07CF">
        <w:rPr>
          <w:rFonts w:eastAsia="Calibri" w:cstheme="minorHAnsi"/>
          <w:sz w:val="28"/>
          <w:szCs w:val="28"/>
        </w:rPr>
        <w:t>.</w:t>
      </w:r>
      <w:r w:rsidR="002317AB">
        <w:rPr>
          <w:rFonts w:eastAsia="Calibri" w:cstheme="minorHAnsi"/>
          <w:sz w:val="28"/>
          <w:szCs w:val="28"/>
        </w:rPr>
        <w:t>31</w:t>
      </w:r>
      <w:r w:rsidRPr="005A07CF">
        <w:rPr>
          <w:rFonts w:eastAsia="Calibri" w:cstheme="minorHAnsi"/>
          <w:sz w:val="28"/>
          <w:szCs w:val="28"/>
        </w:rPr>
        <w:t>.202</w:t>
      </w:r>
      <w:r w:rsidR="002317AB">
        <w:rPr>
          <w:rFonts w:eastAsia="Calibri" w:cstheme="minorHAnsi"/>
          <w:sz w:val="28"/>
          <w:szCs w:val="28"/>
        </w:rPr>
        <w:t>2</w:t>
      </w:r>
      <w:r w:rsidRPr="005A07CF">
        <w:rPr>
          <w:rFonts w:eastAsia="Calibri" w:cstheme="minorHAnsi"/>
          <w:sz w:val="28"/>
          <w:szCs w:val="28"/>
        </w:rPr>
        <w:t>.</w:t>
      </w:r>
      <w:r w:rsidR="00740DC5">
        <w:rPr>
          <w:rFonts w:eastAsia="Calibri" w:cstheme="minorHAnsi"/>
          <w:sz w:val="28"/>
          <w:szCs w:val="28"/>
        </w:rPr>
        <w:t>NMAG</w:t>
      </w:r>
    </w:p>
    <w:p w14:paraId="3F435F61" w14:textId="132F975D" w:rsidR="005A07CF" w:rsidRPr="00AF1F86" w:rsidRDefault="005A07CF" w:rsidP="00740DC5">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sidR="009F091A">
        <w:rPr>
          <w:rFonts w:eastAsia="Times New Roman" w:cstheme="minorHAnsi"/>
          <w:sz w:val="28"/>
          <w:szCs w:val="28"/>
        </w:rPr>
        <w:br/>
        <w:t xml:space="preserve"> </w:t>
      </w:r>
      <w:r w:rsidR="001E4E5D" w:rsidRPr="001E4E5D">
        <w:rPr>
          <w:rFonts w:eastAsia="Times New Roman" w:cstheme="minorHAnsi"/>
          <w:sz w:val="28"/>
          <w:szCs w:val="28"/>
        </w:rPr>
        <w:t xml:space="preserve">o wydaniu decyzji </w:t>
      </w:r>
      <w:r w:rsidR="00207356">
        <w:rPr>
          <w:rFonts w:eastAsia="Times New Roman" w:cstheme="minorHAnsi"/>
          <w:sz w:val="28"/>
          <w:szCs w:val="28"/>
        </w:rPr>
        <w:t>zmieniającej</w:t>
      </w:r>
      <w:r w:rsidR="001E4E5D" w:rsidRPr="001E4E5D">
        <w:rPr>
          <w:rFonts w:eastAsia="Times New Roman" w:cstheme="minorHAnsi"/>
          <w:sz w:val="28"/>
          <w:szCs w:val="28"/>
        </w:rPr>
        <w:t xml:space="preserve"> decyzj</w:t>
      </w:r>
      <w:r w:rsidR="00207356">
        <w:rPr>
          <w:rFonts w:eastAsia="Times New Roman" w:cstheme="minorHAnsi"/>
          <w:sz w:val="28"/>
          <w:szCs w:val="28"/>
        </w:rPr>
        <w:t>ę</w:t>
      </w:r>
      <w:r w:rsidR="001E4E5D" w:rsidRPr="001E4E5D">
        <w:rPr>
          <w:rFonts w:eastAsia="Times New Roman" w:cstheme="minorHAnsi"/>
          <w:sz w:val="28"/>
          <w:szCs w:val="28"/>
        </w:rPr>
        <w:t xml:space="preserve"> Burmistrza Śremu o warunkach zabudowy</w:t>
      </w:r>
    </w:p>
    <w:p w14:paraId="4E19DA3A" w14:textId="0104A7BB" w:rsidR="006B3990" w:rsidRDefault="00740DC5" w:rsidP="00377C2A">
      <w:pPr>
        <w:spacing w:after="120" w:line="240" w:lineRule="auto"/>
        <w:ind w:firstLine="567"/>
        <w:jc w:val="both"/>
        <w:rPr>
          <w:rFonts w:cstheme="minorHAnsi"/>
          <w:sz w:val="28"/>
          <w:szCs w:val="28"/>
        </w:rPr>
      </w:pPr>
      <w:r w:rsidRPr="00740DC5">
        <w:rPr>
          <w:sz w:val="28"/>
          <w:szCs w:val="28"/>
        </w:rPr>
        <w:t xml:space="preserve">Na podstawie art. 49a </w:t>
      </w:r>
      <w:r w:rsidR="00D06C2D">
        <w:rPr>
          <w:sz w:val="28"/>
          <w:szCs w:val="28"/>
        </w:rPr>
        <w:t>oraz</w:t>
      </w:r>
      <w:r w:rsidRPr="00740DC5">
        <w:rPr>
          <w:sz w:val="28"/>
          <w:szCs w:val="28"/>
        </w:rPr>
        <w:t xml:space="preserve"> art. </w:t>
      </w:r>
      <w:r w:rsidR="00E07703">
        <w:rPr>
          <w:sz w:val="28"/>
          <w:szCs w:val="28"/>
        </w:rPr>
        <w:t>155</w:t>
      </w:r>
      <w:r w:rsidRPr="00740DC5">
        <w:rPr>
          <w:sz w:val="28"/>
          <w:szCs w:val="28"/>
        </w:rPr>
        <w:t xml:space="preserve"> ustawy z dnia 14 czerwca 1960 r. </w:t>
      </w:r>
      <w:r w:rsidR="00207356">
        <w:rPr>
          <w:sz w:val="28"/>
          <w:szCs w:val="28"/>
        </w:rPr>
        <w:t xml:space="preserve">- </w:t>
      </w:r>
      <w:r w:rsidRPr="00740DC5">
        <w:rPr>
          <w:sz w:val="28"/>
          <w:szCs w:val="28"/>
        </w:rPr>
        <w:t>Kodeks postępowania administracyjnego (Dz. U. z 2021 r. poz. 735</w:t>
      </w:r>
      <w:r>
        <w:rPr>
          <w:sz w:val="28"/>
          <w:szCs w:val="28"/>
        </w:rPr>
        <w:t>, z późn. zm.</w:t>
      </w:r>
      <w:r w:rsidRPr="00740DC5">
        <w:rPr>
          <w:sz w:val="28"/>
          <w:szCs w:val="28"/>
        </w:rPr>
        <w:t xml:space="preserve">) zawiadamiam o </w:t>
      </w:r>
      <w:r w:rsidR="00E07703">
        <w:rPr>
          <w:sz w:val="28"/>
          <w:szCs w:val="28"/>
        </w:rPr>
        <w:t>wydaniu</w:t>
      </w:r>
      <w:r w:rsidR="00207356">
        <w:rPr>
          <w:sz w:val="28"/>
          <w:szCs w:val="28"/>
        </w:rPr>
        <w:t>,</w:t>
      </w:r>
      <w:r w:rsidR="00E07703">
        <w:rPr>
          <w:sz w:val="28"/>
          <w:szCs w:val="28"/>
        </w:rPr>
        <w:t xml:space="preserve"> </w:t>
      </w:r>
      <w:r w:rsidR="00207356">
        <w:rPr>
          <w:sz w:val="28"/>
          <w:szCs w:val="28"/>
        </w:rPr>
        <w:t xml:space="preserve">19.04.2022 r., </w:t>
      </w:r>
      <w:r w:rsidR="00E07703">
        <w:rPr>
          <w:sz w:val="28"/>
          <w:szCs w:val="28"/>
        </w:rPr>
        <w:t>przez</w:t>
      </w:r>
      <w:r w:rsidR="002317AB" w:rsidRPr="002317AB">
        <w:rPr>
          <w:sz w:val="28"/>
          <w:szCs w:val="28"/>
        </w:rPr>
        <w:t xml:space="preserve"> Burmistrza Śremu </w:t>
      </w:r>
      <w:r w:rsidR="00E07703">
        <w:rPr>
          <w:sz w:val="28"/>
          <w:szCs w:val="28"/>
        </w:rPr>
        <w:t xml:space="preserve">decyzji </w:t>
      </w:r>
      <w:r w:rsidR="002317AB" w:rsidRPr="002317AB">
        <w:rPr>
          <w:sz w:val="28"/>
          <w:szCs w:val="28"/>
        </w:rPr>
        <w:t>z</w:t>
      </w:r>
      <w:r w:rsidR="00E07703">
        <w:rPr>
          <w:sz w:val="28"/>
          <w:szCs w:val="28"/>
        </w:rPr>
        <w:t>mieniającej decyzję</w:t>
      </w:r>
      <w:r w:rsidR="00AF5295" w:rsidRPr="00AF5295">
        <w:t xml:space="preserve"> </w:t>
      </w:r>
      <w:r w:rsidR="00AF5295" w:rsidRPr="00AF5295">
        <w:rPr>
          <w:sz w:val="28"/>
          <w:szCs w:val="28"/>
        </w:rPr>
        <w:t>nr 90/2019 z 15.07.2019 r.</w:t>
      </w:r>
      <w:r w:rsidR="002317AB" w:rsidRPr="002317AB">
        <w:rPr>
          <w:sz w:val="28"/>
          <w:szCs w:val="28"/>
        </w:rPr>
        <w:t xml:space="preserve"> o</w:t>
      </w:r>
      <w:r w:rsidR="00D06C2D">
        <w:rPr>
          <w:sz w:val="28"/>
          <w:szCs w:val="28"/>
        </w:rPr>
        <w:t> </w:t>
      </w:r>
      <w:r w:rsidR="002317AB" w:rsidRPr="002317AB">
        <w:rPr>
          <w:sz w:val="28"/>
          <w:szCs w:val="28"/>
        </w:rPr>
        <w:t xml:space="preserve">warunkach zabudowy dla przedsięwzięcia: </w:t>
      </w:r>
      <w:r w:rsidR="00AF5295" w:rsidRPr="00AF5295">
        <w:rPr>
          <w:sz w:val="28"/>
          <w:szCs w:val="28"/>
        </w:rPr>
        <w:t>budowa budynku mieszkalnego jednorodzinnego wolnostojącego na terenie działki o nr ewid. 23/7, obręb Nochowo</w:t>
      </w:r>
      <w:r w:rsidRPr="00740DC5">
        <w:rPr>
          <w:sz w:val="28"/>
          <w:szCs w:val="28"/>
        </w:rPr>
        <w:t>.</w:t>
      </w:r>
    </w:p>
    <w:p w14:paraId="228EBD5B" w14:textId="01C2E51D" w:rsidR="00AF0A61" w:rsidRPr="00AF0A61" w:rsidRDefault="00AF0A61" w:rsidP="00AF0A61">
      <w:pPr>
        <w:spacing w:after="120" w:line="240" w:lineRule="auto"/>
        <w:ind w:right="-1" w:firstLine="567"/>
        <w:jc w:val="both"/>
        <w:rPr>
          <w:sz w:val="28"/>
          <w:szCs w:val="28"/>
        </w:rPr>
      </w:pPr>
      <w:r w:rsidRPr="00AF0A61">
        <w:rPr>
          <w:sz w:val="28"/>
          <w:szCs w:val="28"/>
        </w:rPr>
        <w:tab/>
      </w:r>
      <w:r w:rsidR="00337537" w:rsidRPr="00337537">
        <w:rPr>
          <w:sz w:val="28"/>
          <w:szCs w:val="28"/>
        </w:rPr>
        <w:t>W związku z powyższym zainteresowani mogą zapoznać się osobiście lub przez pełnomocnika z treścią decyzji dotyczącej przedmiotowej inwestycji oraz zgłosić swoje uwagi</w:t>
      </w:r>
      <w:r w:rsidR="00337537">
        <w:rPr>
          <w:sz w:val="28"/>
          <w:szCs w:val="28"/>
        </w:rPr>
        <w:t xml:space="preserve"> </w:t>
      </w:r>
      <w:r w:rsidR="00337537" w:rsidRPr="00D06C2D">
        <w:rPr>
          <w:sz w:val="28"/>
          <w:szCs w:val="28"/>
        </w:rPr>
        <w:t xml:space="preserve">w Zespole Planowania Przestrzennego (biuro nr 34, III piętro) </w:t>
      </w:r>
      <w:r w:rsidR="00337537" w:rsidRPr="00AF0A61">
        <w:rPr>
          <w:sz w:val="28"/>
          <w:szCs w:val="28"/>
        </w:rPr>
        <w:t>Urzędu Miejskiego w</w:t>
      </w:r>
      <w:r w:rsidR="00337537">
        <w:rPr>
          <w:sz w:val="28"/>
          <w:szCs w:val="28"/>
        </w:rPr>
        <w:t> </w:t>
      </w:r>
      <w:r w:rsidR="00337537" w:rsidRPr="00AF0A61">
        <w:rPr>
          <w:sz w:val="28"/>
          <w:szCs w:val="28"/>
        </w:rPr>
        <w:t>Śremie</w:t>
      </w:r>
      <w:r w:rsidR="00337537">
        <w:rPr>
          <w:sz w:val="28"/>
          <w:szCs w:val="28"/>
        </w:rPr>
        <w:t xml:space="preserve">, </w:t>
      </w:r>
      <w:r w:rsidR="00337537" w:rsidRPr="00AF0A61">
        <w:rPr>
          <w:sz w:val="28"/>
          <w:szCs w:val="28"/>
        </w:rPr>
        <w:t>ul. Plac 20 Października 1, 63 – 100 Śrem</w:t>
      </w:r>
      <w:r w:rsidR="00337537" w:rsidRPr="00D06C2D">
        <w:rPr>
          <w:sz w:val="28"/>
          <w:szCs w:val="28"/>
        </w:rPr>
        <w:t xml:space="preserve"> w godzinach od 7.00 do 15.00</w:t>
      </w:r>
      <w:r w:rsidR="00337537" w:rsidRPr="00337537">
        <w:rPr>
          <w:sz w:val="28"/>
          <w:szCs w:val="28"/>
        </w:rPr>
        <w:t>.</w:t>
      </w:r>
    </w:p>
    <w:p w14:paraId="1F604FC1" w14:textId="0F64E8E2" w:rsidR="00AF1F86" w:rsidRDefault="00AF1F86" w:rsidP="00AF0A61">
      <w:pPr>
        <w:spacing w:after="120" w:line="240" w:lineRule="auto"/>
        <w:ind w:right="-1" w:firstLine="567"/>
        <w:jc w:val="both"/>
        <w:rPr>
          <w:sz w:val="28"/>
          <w:szCs w:val="28"/>
        </w:rPr>
      </w:pPr>
      <w:r w:rsidRPr="00AF1F86">
        <w:rPr>
          <w:sz w:val="28"/>
          <w:szCs w:val="28"/>
        </w:rPr>
        <w:t>Zawiadomienie przez obwieszczenie uważa się za dokonane po upływie 14 dni od dnia publicznego ogłoszenia stosownie do art. 49 ustawy z dnia 14 czerwca 1960 r. – Kodeks postępowania administracyjnego.</w:t>
      </w:r>
    </w:p>
    <w:p w14:paraId="4D4B3F85" w14:textId="77777777" w:rsidR="00787261" w:rsidRPr="00AF1F86" w:rsidRDefault="00787261" w:rsidP="00AF0A61">
      <w:pPr>
        <w:spacing w:after="120" w:line="240" w:lineRule="auto"/>
        <w:ind w:right="-1" w:firstLine="567"/>
        <w:jc w:val="both"/>
        <w:rPr>
          <w:sz w:val="28"/>
          <w:szCs w:val="28"/>
        </w:rPr>
      </w:pPr>
    </w:p>
    <w:p w14:paraId="41AADEE0" w14:textId="77777777" w:rsidR="00615D44" w:rsidRPr="00615D44" w:rsidRDefault="00615D44" w:rsidP="00615D44">
      <w:pPr>
        <w:spacing w:after="0" w:line="240" w:lineRule="auto"/>
        <w:ind w:firstLine="5387"/>
        <w:jc w:val="center"/>
        <w:rPr>
          <w:rFonts w:eastAsia="Times New Roman" w:cstheme="minorHAnsi"/>
          <w:sz w:val="28"/>
          <w:szCs w:val="28"/>
          <w:lang w:eastAsia="pl-PL"/>
        </w:rPr>
      </w:pPr>
      <w:r w:rsidRPr="00615D44">
        <w:rPr>
          <w:rFonts w:eastAsia="Times New Roman" w:cstheme="minorHAnsi"/>
          <w:sz w:val="28"/>
          <w:szCs w:val="28"/>
          <w:lang w:eastAsia="pl-PL"/>
        </w:rPr>
        <w:t>Adam Lewandowski</w:t>
      </w:r>
    </w:p>
    <w:p w14:paraId="53351C61" w14:textId="77777777" w:rsidR="00615D44" w:rsidRPr="00615D44" w:rsidRDefault="00615D44" w:rsidP="00615D44">
      <w:pPr>
        <w:spacing w:after="0" w:line="240" w:lineRule="auto"/>
        <w:ind w:firstLine="5387"/>
        <w:jc w:val="center"/>
        <w:rPr>
          <w:rFonts w:eastAsia="Times New Roman" w:cstheme="minorHAnsi"/>
          <w:sz w:val="28"/>
          <w:szCs w:val="28"/>
          <w:lang w:eastAsia="pl-PL"/>
        </w:rPr>
      </w:pPr>
      <w:r w:rsidRPr="00615D44">
        <w:rPr>
          <w:rFonts w:eastAsia="Times New Roman" w:cstheme="minorHAnsi"/>
          <w:sz w:val="28"/>
          <w:szCs w:val="28"/>
          <w:lang w:eastAsia="pl-PL"/>
        </w:rPr>
        <w:t>Burmistrz Śremu</w:t>
      </w:r>
    </w:p>
    <w:p w14:paraId="2C95E076" w14:textId="5AD0A7A2" w:rsidR="0040322B" w:rsidRDefault="0040322B" w:rsidP="002339DC">
      <w:pPr>
        <w:spacing w:after="0" w:line="240" w:lineRule="auto"/>
        <w:jc w:val="both"/>
        <w:rPr>
          <w:rFonts w:eastAsia="Times New Roman" w:cstheme="minorHAnsi"/>
          <w:sz w:val="28"/>
          <w:szCs w:val="28"/>
          <w:lang w:eastAsia="pl-PL"/>
        </w:rPr>
      </w:pPr>
    </w:p>
    <w:p w14:paraId="11BBD549" w14:textId="77777777" w:rsidR="00787261" w:rsidRDefault="00787261" w:rsidP="002339DC">
      <w:pPr>
        <w:spacing w:after="0" w:line="240" w:lineRule="auto"/>
        <w:jc w:val="both"/>
        <w:rPr>
          <w:rFonts w:eastAsia="Times New Roman" w:cstheme="minorHAnsi"/>
          <w:sz w:val="28"/>
          <w:szCs w:val="28"/>
          <w:lang w:eastAsia="pl-PL"/>
        </w:rPr>
      </w:pPr>
    </w:p>
    <w:p w14:paraId="6B8FF1DE" w14:textId="4D14A8A0" w:rsidR="005A07CF" w:rsidRPr="005A07CF" w:rsidRDefault="005A07CF" w:rsidP="002339DC">
      <w:pPr>
        <w:spacing w:after="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2339DC">
        <w:rPr>
          <w:rFonts w:eastAsia="Times New Roman" w:cstheme="minorHAnsi"/>
          <w:sz w:val="28"/>
          <w:szCs w:val="28"/>
          <w:lang w:eastAsia="pl-PL"/>
        </w:rPr>
        <w:t>…………………..</w:t>
      </w:r>
    </w:p>
    <w:p w14:paraId="4829B85E" w14:textId="6DF2066B" w:rsidR="00196CF8" w:rsidRDefault="005A07CF" w:rsidP="002339DC">
      <w:pPr>
        <w:spacing w:after="120" w:line="240" w:lineRule="auto"/>
        <w:jc w:val="both"/>
        <w:rPr>
          <w:rFonts w:eastAsia="Calibri" w:cstheme="minorHAnsi"/>
          <w:sz w:val="28"/>
          <w:szCs w:val="28"/>
        </w:rPr>
      </w:pPr>
      <w:r w:rsidRPr="005A07CF">
        <w:rPr>
          <w:rFonts w:eastAsia="Calibri" w:cstheme="minorHAnsi"/>
          <w:sz w:val="28"/>
          <w:szCs w:val="28"/>
        </w:rPr>
        <w:t>Zdjęto:</w:t>
      </w:r>
      <w:r w:rsidR="00787261">
        <w:rPr>
          <w:rFonts w:eastAsia="Calibri" w:cstheme="minorHAnsi"/>
          <w:sz w:val="28"/>
          <w:szCs w:val="28"/>
        </w:rPr>
        <w:t xml:space="preserve"> </w:t>
      </w:r>
      <w:r w:rsidR="002339DC">
        <w:rPr>
          <w:rFonts w:eastAsia="Calibri" w:cstheme="minorHAnsi"/>
          <w:sz w:val="28"/>
          <w:szCs w:val="28"/>
        </w:rPr>
        <w:t>……………………………..</w:t>
      </w:r>
    </w:p>
    <w:p w14:paraId="3B650534" w14:textId="26D19F04" w:rsidR="00740DC5" w:rsidRDefault="00740DC5" w:rsidP="002339DC">
      <w:pPr>
        <w:spacing w:after="120" w:line="240" w:lineRule="auto"/>
        <w:jc w:val="both"/>
        <w:rPr>
          <w:rFonts w:eastAsia="Calibri" w:cstheme="minorHAnsi"/>
          <w:sz w:val="28"/>
          <w:szCs w:val="28"/>
        </w:rPr>
      </w:pPr>
    </w:p>
    <w:p w14:paraId="52CE1998" w14:textId="47B8BE73" w:rsidR="00546230" w:rsidRDefault="00546230" w:rsidP="002339DC">
      <w:pPr>
        <w:spacing w:after="120" w:line="240" w:lineRule="auto"/>
        <w:jc w:val="both"/>
        <w:rPr>
          <w:rFonts w:eastAsia="Calibri" w:cstheme="minorHAnsi"/>
          <w:sz w:val="28"/>
          <w:szCs w:val="28"/>
        </w:rPr>
      </w:pPr>
    </w:p>
    <w:p w14:paraId="156F20A4" w14:textId="6343E567" w:rsidR="00546230" w:rsidRDefault="00546230" w:rsidP="002339DC">
      <w:pPr>
        <w:spacing w:after="120" w:line="240" w:lineRule="auto"/>
        <w:jc w:val="both"/>
        <w:rPr>
          <w:rFonts w:eastAsia="Calibri" w:cstheme="minorHAnsi"/>
          <w:sz w:val="28"/>
          <w:szCs w:val="28"/>
        </w:rPr>
      </w:pPr>
    </w:p>
    <w:p w14:paraId="3EC4989A" w14:textId="171F3346" w:rsidR="00546230" w:rsidRDefault="00546230" w:rsidP="002339DC">
      <w:pPr>
        <w:spacing w:after="120" w:line="240" w:lineRule="auto"/>
        <w:jc w:val="both"/>
        <w:rPr>
          <w:rFonts w:eastAsia="Calibri" w:cstheme="minorHAnsi"/>
          <w:sz w:val="28"/>
          <w:szCs w:val="28"/>
        </w:rPr>
      </w:pPr>
    </w:p>
    <w:p w14:paraId="49B5A2C6" w14:textId="58324FA8" w:rsidR="00207356" w:rsidRPr="00207356" w:rsidRDefault="00546230" w:rsidP="00207356">
      <w:pPr>
        <w:spacing w:after="120" w:line="240" w:lineRule="auto"/>
        <w:jc w:val="right"/>
        <w:rPr>
          <w:rFonts w:ascii="Calibri" w:eastAsia="Times New Roman" w:hAnsi="Calibri" w:cs="Times New Roman"/>
          <w:sz w:val="28"/>
          <w:szCs w:val="24"/>
          <w:lang w:eastAsia="pl-PL"/>
        </w:rPr>
      </w:pPr>
      <w:r w:rsidRPr="00546230">
        <w:rPr>
          <w:rFonts w:ascii="Calibri" w:eastAsia="Times New Roman" w:hAnsi="Calibri" w:cs="Times New Roman"/>
          <w:sz w:val="28"/>
          <w:szCs w:val="24"/>
          <w:lang w:eastAsia="pl-PL"/>
        </w:rPr>
        <w:t>Śrem, 19 kwietnia 2022 r.</w:t>
      </w:r>
    </w:p>
    <w:p w14:paraId="46EFEF22" w14:textId="64AFDCC7" w:rsidR="00546230" w:rsidRPr="00546230" w:rsidRDefault="00546230" w:rsidP="00546230">
      <w:pPr>
        <w:widowControl w:val="0"/>
        <w:autoSpaceDE w:val="0"/>
        <w:autoSpaceDN w:val="0"/>
        <w:adjustRightInd w:val="0"/>
        <w:spacing w:after="120" w:line="240" w:lineRule="auto"/>
        <w:ind w:right="-1"/>
        <w:jc w:val="both"/>
        <w:rPr>
          <w:rFonts w:ascii="Calibri" w:eastAsia="Times New Roman" w:hAnsi="Calibri" w:cs="Times New Roman"/>
          <w:sz w:val="28"/>
          <w:szCs w:val="28"/>
          <w:lang w:val="de-DE" w:eastAsia="pl-PL"/>
        </w:rPr>
      </w:pPr>
      <w:r w:rsidRPr="00546230">
        <w:rPr>
          <w:rFonts w:ascii="Calibri" w:eastAsia="Times New Roman" w:hAnsi="Calibri" w:cs="Times New Roman"/>
          <w:sz w:val="28"/>
          <w:szCs w:val="28"/>
          <w:lang w:val="de-DE" w:eastAsia="pl-PL"/>
        </w:rPr>
        <w:lastRenderedPageBreak/>
        <w:t xml:space="preserve">PPSPP.6730.31.2022.NMAG </w:t>
      </w:r>
    </w:p>
    <w:p w14:paraId="7DB5CC4E" w14:textId="77777777" w:rsidR="00546230" w:rsidRPr="00546230" w:rsidRDefault="00546230" w:rsidP="00546230">
      <w:pPr>
        <w:widowControl w:val="0"/>
        <w:tabs>
          <w:tab w:val="left" w:pos="0"/>
        </w:tabs>
        <w:autoSpaceDE w:val="0"/>
        <w:autoSpaceDN w:val="0"/>
        <w:adjustRightInd w:val="0"/>
        <w:spacing w:after="120" w:line="240" w:lineRule="auto"/>
        <w:jc w:val="center"/>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Decyzja</w:t>
      </w:r>
    </w:p>
    <w:p w14:paraId="426BCE30" w14:textId="77777777" w:rsidR="00546230" w:rsidRPr="00546230" w:rsidRDefault="00546230" w:rsidP="00546230">
      <w:pPr>
        <w:widowControl w:val="0"/>
        <w:autoSpaceDE w:val="0"/>
        <w:autoSpaceDN w:val="0"/>
        <w:adjustRightInd w:val="0"/>
        <w:spacing w:after="120" w:line="240" w:lineRule="auto"/>
        <w:ind w:right="-1" w:firstLine="567"/>
        <w:jc w:val="both"/>
        <w:rPr>
          <w:rFonts w:ascii="Calibri" w:eastAsia="Times New Roman" w:hAnsi="Calibri" w:cs="Times New Roman"/>
          <w:sz w:val="28"/>
          <w:szCs w:val="24"/>
          <w:lang w:eastAsia="pl-PL"/>
        </w:rPr>
      </w:pPr>
      <w:r w:rsidRPr="00546230">
        <w:rPr>
          <w:rFonts w:ascii="Calibri" w:eastAsia="Times New Roman" w:hAnsi="Calibri" w:cs="Times New Roman"/>
          <w:sz w:val="28"/>
          <w:szCs w:val="24"/>
          <w:lang w:eastAsia="pl-PL"/>
        </w:rPr>
        <w:t>Na podstawie art. 155 ustawy z dnia 14 czerwca 1960 r. – Kodeks postępowania administracyjnego (</w:t>
      </w:r>
      <w:r w:rsidRPr="00546230">
        <w:rPr>
          <w:rFonts w:ascii="Calibri" w:eastAsia="Times New Roman" w:hAnsi="Calibri" w:cs="Times New Roman"/>
          <w:sz w:val="28"/>
          <w:szCs w:val="28"/>
          <w:lang w:eastAsia="pl-PL"/>
        </w:rPr>
        <w:t>Dz. U. z 2021 r. poz. 735, z późn. zm.</w:t>
      </w:r>
      <w:r w:rsidRPr="00546230">
        <w:rPr>
          <w:rFonts w:ascii="Calibri" w:eastAsia="Times New Roman" w:hAnsi="Calibri" w:cs="Times New Roman"/>
          <w:sz w:val="28"/>
          <w:szCs w:val="24"/>
          <w:lang w:eastAsia="pl-PL"/>
        </w:rPr>
        <w:t xml:space="preserve">) po rozpatrzeniu wniosku Pana Filipa Bachórza, z 23.02.2022 r., o zmianę decyzji Burmistrza Śremu nr 90/2019 z 15.07.2019 r. o warunkach </w:t>
      </w:r>
      <w:r w:rsidRPr="00546230">
        <w:rPr>
          <w:rFonts w:ascii="Calibri" w:eastAsia="Times New Roman" w:hAnsi="Calibri" w:cs="Times New Roman"/>
          <w:sz w:val="28"/>
          <w:szCs w:val="28"/>
          <w:lang w:eastAsia="pl-PL"/>
        </w:rPr>
        <w:t xml:space="preserve">zabudowy </w:t>
      </w:r>
      <w:r w:rsidRPr="00546230">
        <w:rPr>
          <w:rFonts w:ascii="Calibri" w:eastAsia="Arial Unicode MS" w:hAnsi="Calibri" w:cs="Times New Roman"/>
          <w:sz w:val="28"/>
          <w:szCs w:val="28"/>
          <w:lang w:eastAsia="pl-PL"/>
        </w:rPr>
        <w:t>dla przedsięwzięcia:</w:t>
      </w:r>
      <w:r w:rsidRPr="00546230">
        <w:rPr>
          <w:rFonts w:ascii="Calibri" w:eastAsia="Times New Roman" w:hAnsi="Calibri" w:cs="Times New Roman"/>
          <w:sz w:val="28"/>
          <w:szCs w:val="28"/>
          <w:lang w:eastAsia="pl-PL"/>
        </w:rPr>
        <w:t xml:space="preserve"> </w:t>
      </w:r>
      <w:bookmarkStart w:id="0" w:name="_Hlk99705029"/>
      <w:r w:rsidRPr="00546230">
        <w:rPr>
          <w:rFonts w:ascii="Calibri" w:eastAsia="Times New Roman" w:hAnsi="Calibri" w:cs="Times New Roman"/>
          <w:sz w:val="28"/>
          <w:szCs w:val="28"/>
          <w:lang w:eastAsia="pl-PL"/>
        </w:rPr>
        <w:t>budowa budynku mieszkalnego jednorodzinnego wolnostojącego na terenie działki o nr ewid. 23/7, obręb Nochowo</w:t>
      </w:r>
      <w:bookmarkEnd w:id="0"/>
      <w:r w:rsidRPr="00546230">
        <w:rPr>
          <w:rFonts w:ascii="Calibri" w:eastAsia="Times New Roman" w:hAnsi="Calibri" w:cs="Times New Roman"/>
          <w:sz w:val="28"/>
          <w:szCs w:val="28"/>
          <w:lang w:eastAsia="pl-PL"/>
        </w:rPr>
        <w:t>,</w:t>
      </w:r>
    </w:p>
    <w:p w14:paraId="3CD1D909" w14:textId="77777777" w:rsidR="00546230" w:rsidRPr="00546230" w:rsidRDefault="00546230" w:rsidP="00546230">
      <w:pPr>
        <w:spacing w:after="120" w:line="240" w:lineRule="auto"/>
        <w:jc w:val="center"/>
        <w:rPr>
          <w:rFonts w:ascii="Calibri" w:eastAsia="Times New Roman" w:hAnsi="Calibri" w:cs="Times New Roman"/>
          <w:sz w:val="28"/>
          <w:szCs w:val="24"/>
          <w:lang w:eastAsia="pl-PL"/>
        </w:rPr>
      </w:pPr>
      <w:r w:rsidRPr="00546230">
        <w:rPr>
          <w:rFonts w:ascii="Calibri" w:eastAsia="Times New Roman" w:hAnsi="Calibri" w:cs="Times New Roman"/>
          <w:sz w:val="28"/>
          <w:szCs w:val="24"/>
          <w:lang w:eastAsia="pl-PL"/>
        </w:rPr>
        <w:t>postanawiam</w:t>
      </w:r>
    </w:p>
    <w:p w14:paraId="598000B0" w14:textId="77777777" w:rsidR="00546230" w:rsidRPr="00546230" w:rsidRDefault="00546230" w:rsidP="00546230">
      <w:pPr>
        <w:tabs>
          <w:tab w:val="left" w:pos="993"/>
        </w:tabs>
        <w:spacing w:after="120" w:line="240" w:lineRule="auto"/>
        <w:jc w:val="both"/>
        <w:rPr>
          <w:rFonts w:ascii="Calibri" w:eastAsia="Times New Roman" w:hAnsi="Calibri" w:cs="Times New Roman"/>
          <w:sz w:val="28"/>
          <w:szCs w:val="24"/>
          <w:lang w:eastAsia="pl-PL"/>
        </w:rPr>
      </w:pPr>
      <w:r w:rsidRPr="00546230">
        <w:rPr>
          <w:rFonts w:ascii="Calibri" w:eastAsia="Times New Roman" w:hAnsi="Calibri" w:cs="Times New Roman"/>
          <w:sz w:val="28"/>
          <w:szCs w:val="24"/>
          <w:lang w:eastAsia="pl-PL"/>
        </w:rPr>
        <w:t>zmienić decyzję Burmistrza Śremu nr 90/2019 z 15.07.2019 r. o warunkach zabudowy, w taki sposób, że ust. 2 pkt 3 lit. d decyzji otrzymuje brzmienie: „odprowadzanie ścieków bytowych: sieć kanalizacji sanitarnej, z dopuszczeniem do czasu jej realizacji, korzystania z rozwiązań indywidualnych (opinia Śremskich Wodociągów Sp. z o.o. z dnia 18.02.2019 r.)”.</w:t>
      </w:r>
    </w:p>
    <w:p w14:paraId="1EA758A6" w14:textId="77777777" w:rsidR="00546230" w:rsidRPr="00546230" w:rsidRDefault="00546230" w:rsidP="00546230">
      <w:pPr>
        <w:spacing w:after="120" w:line="240" w:lineRule="auto"/>
        <w:jc w:val="center"/>
        <w:rPr>
          <w:rFonts w:ascii="Calibri" w:eastAsia="Times New Roman" w:hAnsi="Calibri" w:cs="Times New Roman"/>
          <w:sz w:val="28"/>
          <w:szCs w:val="24"/>
          <w:lang w:eastAsia="pl-PL"/>
        </w:rPr>
      </w:pPr>
      <w:r w:rsidRPr="00546230">
        <w:rPr>
          <w:rFonts w:ascii="Calibri" w:eastAsia="Times New Roman" w:hAnsi="Calibri" w:cs="Times New Roman"/>
          <w:sz w:val="28"/>
          <w:szCs w:val="24"/>
          <w:lang w:eastAsia="pl-PL"/>
        </w:rPr>
        <w:t>Pozostałe warunki decyzji wraz z załącznikami pozostają bez zmian.</w:t>
      </w:r>
    </w:p>
    <w:p w14:paraId="1500A3AF" w14:textId="77777777" w:rsidR="00546230" w:rsidRPr="00546230" w:rsidRDefault="00546230" w:rsidP="00546230">
      <w:pPr>
        <w:spacing w:after="120" w:line="240" w:lineRule="auto"/>
        <w:jc w:val="both"/>
        <w:rPr>
          <w:rFonts w:ascii="Calibri" w:eastAsia="Times New Roman" w:hAnsi="Calibri" w:cs="Times New Roman"/>
          <w:sz w:val="20"/>
          <w:szCs w:val="20"/>
          <w:lang w:eastAsia="pl-PL"/>
        </w:rPr>
      </w:pPr>
    </w:p>
    <w:p w14:paraId="54944012" w14:textId="77777777" w:rsidR="00546230" w:rsidRPr="00546230" w:rsidRDefault="00546230" w:rsidP="00546230">
      <w:pPr>
        <w:spacing w:after="120" w:line="240" w:lineRule="auto"/>
        <w:jc w:val="center"/>
        <w:rPr>
          <w:rFonts w:ascii="Calibri" w:eastAsia="Times New Roman" w:hAnsi="Calibri" w:cs="Times New Roman"/>
          <w:sz w:val="28"/>
          <w:szCs w:val="24"/>
          <w:lang w:eastAsia="pl-PL"/>
        </w:rPr>
      </w:pPr>
      <w:r w:rsidRPr="00546230">
        <w:rPr>
          <w:rFonts w:ascii="Calibri" w:eastAsia="Times New Roman" w:hAnsi="Calibri" w:cs="Times New Roman"/>
          <w:sz w:val="28"/>
          <w:szCs w:val="24"/>
          <w:lang w:eastAsia="pl-PL"/>
        </w:rPr>
        <w:t>Uzasadnienie</w:t>
      </w:r>
    </w:p>
    <w:p w14:paraId="566AE807" w14:textId="77777777" w:rsidR="00546230" w:rsidRPr="00546230" w:rsidRDefault="00546230" w:rsidP="00546230">
      <w:pPr>
        <w:spacing w:after="120" w:line="240" w:lineRule="auto"/>
        <w:ind w:firstLine="567"/>
        <w:jc w:val="both"/>
        <w:rPr>
          <w:rFonts w:ascii="Calibri" w:eastAsia="Times New Roman" w:hAnsi="Calibri" w:cs="Times New Roman"/>
          <w:bCs/>
          <w:sz w:val="28"/>
          <w:szCs w:val="24"/>
          <w:lang w:eastAsia="pl-PL"/>
        </w:rPr>
      </w:pPr>
      <w:r w:rsidRPr="00546230">
        <w:rPr>
          <w:rFonts w:ascii="Calibri" w:eastAsia="Times New Roman" w:hAnsi="Calibri" w:cs="Times New Roman"/>
          <w:sz w:val="28"/>
          <w:szCs w:val="24"/>
          <w:lang w:eastAsia="pl-PL"/>
        </w:rPr>
        <w:t xml:space="preserve">23.02.2022 r. do Burmistrza Śremu wpłynęło pismo Pana Filipa Bachórza o zmianę decyzji Burmistrza Śremu nr 90/2019 z 15.07.2019 r. o warunkach zabudowy dla przedsięwzięcia: </w:t>
      </w:r>
      <w:r w:rsidRPr="00546230">
        <w:rPr>
          <w:rFonts w:ascii="Calibri" w:eastAsia="Times New Roman" w:hAnsi="Calibri" w:cs="Times New Roman"/>
          <w:sz w:val="28"/>
          <w:szCs w:val="28"/>
          <w:lang w:eastAsia="pl-PL"/>
        </w:rPr>
        <w:t>budowa budynku mieszkalnego jednorodzinnego wolnostojącego na terenie działki o nr ewid. 23/7, obręb Nochowo</w:t>
      </w:r>
      <w:r w:rsidRPr="00546230">
        <w:rPr>
          <w:rFonts w:ascii="Calibri" w:eastAsia="Times New Roman" w:hAnsi="Calibri" w:cs="Times New Roman"/>
          <w:bCs/>
          <w:sz w:val="28"/>
          <w:szCs w:val="24"/>
          <w:lang w:eastAsia="pl-PL"/>
        </w:rPr>
        <w:t xml:space="preserve">. </w:t>
      </w:r>
    </w:p>
    <w:p w14:paraId="5E542730" w14:textId="77777777" w:rsidR="00546230" w:rsidRPr="00546230" w:rsidRDefault="00546230" w:rsidP="00546230">
      <w:pPr>
        <w:spacing w:after="120" w:line="240" w:lineRule="auto"/>
        <w:ind w:firstLine="567"/>
        <w:jc w:val="both"/>
        <w:rPr>
          <w:rFonts w:ascii="Calibri" w:eastAsia="Times New Roman" w:hAnsi="Calibri" w:cs="Times New Roman"/>
          <w:sz w:val="28"/>
          <w:szCs w:val="24"/>
          <w:lang w:eastAsia="pl-PL"/>
        </w:rPr>
      </w:pPr>
      <w:r w:rsidRPr="00546230">
        <w:rPr>
          <w:rFonts w:ascii="Calibri" w:eastAsia="Times New Roman" w:hAnsi="Calibri" w:cs="Times New Roman"/>
          <w:sz w:val="28"/>
          <w:szCs w:val="24"/>
          <w:lang w:eastAsia="pl-PL"/>
        </w:rPr>
        <w:t>Przedmiotem wnioskowanej zmiany jest umożliwienie odprowadzania ścieków do przydomowej oczyszczalni ścieków, przy czym ustalenia pierwotnej decyzji o warunkach zabudowy umożliwiały ich odprowadzanie do zbiornika bezodpływowego.</w:t>
      </w:r>
    </w:p>
    <w:p w14:paraId="5D7043B0" w14:textId="77777777" w:rsidR="00546230" w:rsidRPr="00546230" w:rsidRDefault="00546230" w:rsidP="00546230">
      <w:pPr>
        <w:spacing w:after="120" w:line="240" w:lineRule="auto"/>
        <w:ind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Stosownie do art. 155 ustawy z dnia 14 czerwca 1960 r. – Kodeks postępowania administracyjnego decyzja ostateczna, na mocy której strona nabyła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 2 stosuje się odpowiednio.</w:t>
      </w:r>
    </w:p>
    <w:p w14:paraId="119A3A00" w14:textId="77777777" w:rsidR="00207356" w:rsidRDefault="00207356" w:rsidP="00546230">
      <w:pPr>
        <w:spacing w:after="120" w:line="240" w:lineRule="auto"/>
        <w:ind w:firstLine="567"/>
        <w:jc w:val="both"/>
        <w:rPr>
          <w:rFonts w:ascii="Calibri" w:eastAsia="Times New Roman" w:hAnsi="Calibri" w:cs="Times New Roman"/>
          <w:sz w:val="28"/>
          <w:szCs w:val="28"/>
          <w:lang w:eastAsia="pl-PL"/>
        </w:rPr>
      </w:pPr>
    </w:p>
    <w:p w14:paraId="36E19C51" w14:textId="2D46D65B" w:rsidR="00546230" w:rsidRPr="00546230" w:rsidRDefault="00546230" w:rsidP="00546230">
      <w:pPr>
        <w:spacing w:after="120" w:line="240" w:lineRule="auto"/>
        <w:ind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lastRenderedPageBreak/>
        <w:t xml:space="preserve">O zmianę decyzji wystąpił Wnioskodawca będący jedną ze Stron, zakończonego ostateczną decyzją (14.08.2019 r.) postępowania. </w:t>
      </w:r>
    </w:p>
    <w:p w14:paraId="0836A00D" w14:textId="77777777" w:rsidR="00546230" w:rsidRPr="00546230" w:rsidRDefault="00546230" w:rsidP="00546230">
      <w:pPr>
        <w:spacing w:after="120" w:line="240" w:lineRule="auto"/>
        <w:ind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W ramach postępowania wyjaśniającego stwierdzono, co następuje:</w:t>
      </w:r>
    </w:p>
    <w:p w14:paraId="32A6D748" w14:textId="77777777" w:rsidR="00546230" w:rsidRPr="00546230" w:rsidRDefault="00546230" w:rsidP="00546230">
      <w:pPr>
        <w:numPr>
          <w:ilvl w:val="0"/>
          <w:numId w:val="1"/>
        </w:numPr>
        <w:tabs>
          <w:tab w:val="left" w:pos="851"/>
        </w:tabs>
        <w:spacing w:after="120" w:line="240" w:lineRule="auto"/>
        <w:ind w:left="0"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w analizowanym przypadku występuje tożsamość sprawy administracyjnej w znaczeniu materialnym oraz tożsamość stron postępowania;</w:t>
      </w:r>
    </w:p>
    <w:p w14:paraId="459DC6B6" w14:textId="77777777" w:rsidR="00546230" w:rsidRPr="00546230" w:rsidRDefault="00546230" w:rsidP="00546230">
      <w:pPr>
        <w:numPr>
          <w:ilvl w:val="0"/>
          <w:numId w:val="1"/>
        </w:numPr>
        <w:tabs>
          <w:tab w:val="left" w:pos="851"/>
        </w:tabs>
        <w:spacing w:after="120" w:line="240" w:lineRule="auto"/>
        <w:ind w:left="0"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 xml:space="preserve">możliwość wprowadzenia proponowanych przez inwestora zmian ustaleń dotyczących sposobu odprowadzania ścieków jest zgodna ze sporządzoną na potrzeby pierwotnego postępowania analizą cech zabudowy i zagospodarowania terenu; </w:t>
      </w:r>
    </w:p>
    <w:p w14:paraId="50DD20FD" w14:textId="77777777" w:rsidR="00546230" w:rsidRPr="00546230" w:rsidRDefault="00546230" w:rsidP="00546230">
      <w:pPr>
        <w:numPr>
          <w:ilvl w:val="0"/>
          <w:numId w:val="1"/>
        </w:numPr>
        <w:tabs>
          <w:tab w:val="left" w:pos="851"/>
        </w:tabs>
        <w:spacing w:after="120" w:line="240" w:lineRule="auto"/>
        <w:ind w:left="0"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16.03.2022 r. uzyskano zgody na zmianę przedmiotowej decyzji pozostałych Stron postępowania;</w:t>
      </w:r>
    </w:p>
    <w:p w14:paraId="4E4760D4" w14:textId="480BBE7A" w:rsidR="00546230" w:rsidRPr="00546230" w:rsidRDefault="00546230" w:rsidP="00546230">
      <w:pPr>
        <w:numPr>
          <w:ilvl w:val="0"/>
          <w:numId w:val="1"/>
        </w:numPr>
        <w:tabs>
          <w:tab w:val="left" w:pos="851"/>
        </w:tabs>
        <w:spacing w:after="120" w:line="240" w:lineRule="auto"/>
        <w:ind w:left="0" w:firstLine="567"/>
        <w:jc w:val="both"/>
        <w:rPr>
          <w:rFonts w:ascii="Calibri" w:eastAsia="Times New Roman" w:hAnsi="Calibri" w:cs="Times New Roman"/>
          <w:b/>
          <w:sz w:val="28"/>
          <w:szCs w:val="28"/>
          <w:lang w:eastAsia="pl-PL"/>
        </w:rPr>
      </w:pPr>
      <w:r w:rsidRPr="00546230">
        <w:rPr>
          <w:rFonts w:ascii="Calibri" w:eastAsia="Times New Roman" w:hAnsi="Calibri" w:cs="Times New Roman"/>
          <w:sz w:val="28"/>
          <w:szCs w:val="28"/>
          <w:lang w:eastAsia="pl-PL"/>
        </w:rPr>
        <w:t>za zmianą decyzji przemawia słuszny interes strony – został on wyrażony we wniosku, posiada zindywidualizowaną treść oraz wynika ze stanu faktycznego i prawnego sprawy, a w ocenie tutejszego organu wnioskowana zmiana ma charakter usprawiedliwiony okolicznościami sprawy i akceptowany w świetle obowiązującego porządku prawnego, również z punktu widzenia interesu społecznego. Interes strony mieści się zatem w granicach obowiązującego prawa, czyli w szczególności jest zgodny z wymogami określonymi w art. 61 ust. 1 ustawy z dnia 27 marca 2003 r. o planowaniu i zagospodarowaniu przestrzennym. W analizowanym przypadku można mówić o</w:t>
      </w:r>
      <w:r>
        <w:rPr>
          <w:rFonts w:ascii="Calibri" w:eastAsia="Times New Roman" w:hAnsi="Calibri" w:cs="Times New Roman"/>
          <w:sz w:val="28"/>
          <w:szCs w:val="28"/>
          <w:lang w:eastAsia="pl-PL"/>
        </w:rPr>
        <w:t> </w:t>
      </w:r>
      <w:r w:rsidRPr="00546230">
        <w:rPr>
          <w:rFonts w:ascii="Calibri" w:eastAsia="Times New Roman" w:hAnsi="Calibri" w:cs="Times New Roman"/>
          <w:sz w:val="28"/>
          <w:szCs w:val="28"/>
          <w:lang w:eastAsia="pl-PL"/>
        </w:rPr>
        <w:t>„słuszności” interesu, bowiem zostały spełnione przesłanki wynikające z obowiązujących przepisów, umożliwiające zmianę decyzji w kierunku wnioskowanym przez stronę. Istnieje możliwość ustalenia funkcji terenu wyłącznie jako mieszkaniowej, bowiem w obszarze pierwotnej analizy występuje zabudowa mieszkaniowa, a decyzja została wydana dla inwestycji polegającej na budowie budynków mieszkalnych.</w:t>
      </w:r>
    </w:p>
    <w:p w14:paraId="235A7378" w14:textId="77777777" w:rsidR="00546230" w:rsidRPr="00546230" w:rsidRDefault="00546230" w:rsidP="00546230">
      <w:pPr>
        <w:tabs>
          <w:tab w:val="left" w:pos="993"/>
        </w:tabs>
        <w:spacing w:after="120" w:line="240" w:lineRule="auto"/>
        <w:ind w:firstLine="567"/>
        <w:jc w:val="both"/>
        <w:rPr>
          <w:rFonts w:ascii="Calibri" w:eastAsia="Times New Roman" w:hAnsi="Calibri" w:cs="Times New Roman"/>
          <w:b/>
          <w:sz w:val="28"/>
          <w:szCs w:val="28"/>
          <w:lang w:eastAsia="pl-PL"/>
        </w:rPr>
      </w:pPr>
      <w:r w:rsidRPr="00546230">
        <w:rPr>
          <w:rFonts w:ascii="Calibri" w:eastAsia="Times New Roman" w:hAnsi="Calibri" w:cs="Times New Roman"/>
          <w:sz w:val="28"/>
          <w:szCs w:val="28"/>
          <w:lang w:eastAsia="pl-PL"/>
        </w:rPr>
        <w:t xml:space="preserve">Cel decyzji o warunkach zabudowy – budowa budynku mieszkalnego jednorodzinnego wolnostojącego </w:t>
      </w:r>
      <w:r w:rsidRPr="00546230">
        <w:rPr>
          <w:rFonts w:ascii="Calibri" w:eastAsia="Times New Roman" w:hAnsi="Calibri" w:cs="Times New Roman"/>
          <w:sz w:val="28"/>
          <w:szCs w:val="24"/>
          <w:lang w:eastAsia="pl-PL"/>
        </w:rPr>
        <w:t xml:space="preserve">nie został dotąd zrealizowany. </w:t>
      </w:r>
    </w:p>
    <w:p w14:paraId="600C7CE3" w14:textId="3619A58A" w:rsidR="00546230" w:rsidRDefault="00546230" w:rsidP="00546230">
      <w:pPr>
        <w:tabs>
          <w:tab w:val="left" w:pos="993"/>
        </w:tabs>
        <w:spacing w:after="120" w:line="240" w:lineRule="auto"/>
        <w:ind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 xml:space="preserve">Rozpoznając sprawę w trybie postępowania nadzwyczajnego uregulowanego w art. 155 </w:t>
      </w:r>
      <w:r w:rsidRPr="00546230">
        <w:rPr>
          <w:rFonts w:ascii="Calibri" w:eastAsia="Times New Roman" w:hAnsi="Calibri" w:cs="Times New Roman"/>
          <w:sz w:val="28"/>
          <w:szCs w:val="24"/>
          <w:lang w:eastAsia="pl-PL"/>
        </w:rPr>
        <w:t xml:space="preserve">ustawy z dnia 14 czerwca 1960 r. </w:t>
      </w:r>
      <w:r w:rsidRPr="00546230">
        <w:rPr>
          <w:rFonts w:ascii="Calibri" w:eastAsia="Times New Roman" w:hAnsi="Calibri" w:cs="Times New Roman"/>
          <w:sz w:val="28"/>
          <w:szCs w:val="28"/>
          <w:lang w:eastAsia="pl-PL"/>
        </w:rPr>
        <w:t xml:space="preserve">Kodeks postępowania administracyjnego organ nie prowadzi ponownego rozpoznania i rozstrzygnięcia sprawy, która została rozstrzygnięta decyzją ostateczną, a przedmiotem tego trybu jest ustalenie spełnienia przesłanek dopuszczalności zmiany decyzji. </w:t>
      </w:r>
    </w:p>
    <w:p w14:paraId="10F07AC6" w14:textId="77777777" w:rsidR="00546230" w:rsidRPr="00546230" w:rsidRDefault="00546230" w:rsidP="00546230">
      <w:pPr>
        <w:tabs>
          <w:tab w:val="left" w:pos="993"/>
        </w:tabs>
        <w:spacing w:after="120" w:line="240" w:lineRule="auto"/>
        <w:ind w:firstLine="567"/>
        <w:jc w:val="both"/>
        <w:rPr>
          <w:rFonts w:ascii="Calibri" w:eastAsia="Times New Roman" w:hAnsi="Calibri" w:cs="Times New Roman"/>
          <w:sz w:val="28"/>
          <w:szCs w:val="28"/>
          <w:lang w:eastAsia="pl-PL"/>
        </w:rPr>
      </w:pPr>
    </w:p>
    <w:p w14:paraId="5A1FF671" w14:textId="77777777" w:rsidR="00546230" w:rsidRPr="00546230" w:rsidRDefault="00546230" w:rsidP="00546230">
      <w:pPr>
        <w:tabs>
          <w:tab w:val="left" w:pos="993"/>
        </w:tabs>
        <w:spacing w:after="120" w:line="240" w:lineRule="auto"/>
        <w:ind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lastRenderedPageBreak/>
        <w:t>Artykuł 155 przywołanej ustawy określa jako jeden z koniecznych warunków dopuszczalności zmiany decyzji, a mianowicie zgodę strony.</w:t>
      </w:r>
    </w:p>
    <w:p w14:paraId="173E2F0F" w14:textId="77777777" w:rsidR="00546230" w:rsidRPr="00546230" w:rsidRDefault="00546230" w:rsidP="00546230">
      <w:pPr>
        <w:tabs>
          <w:tab w:val="left" w:pos="993"/>
        </w:tabs>
        <w:spacing w:after="120" w:line="240" w:lineRule="auto"/>
        <w:ind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Stosownie do wyroku Naczelnego Sadu Administracyjnego z dnia 26.09.2017 r. sygn. akt I OSK 3036/15: „Artykuł 155 KPA zawiera dwa rodzaje przesłanek – formalne i materialne. Formalne to istnienie decyzji ostatecznej i zgoda strony postępowania, zaś materialne to brak sprzeciwu przepisów szczególnych, wystąpienie interesu społecznego lub słusznego interesu strony. Przesłanki te muszą być spełnione łącznie, aby mogło dojść do zmiany lub uchylenia decyzji, niewystępowanie więc którejkolwiek przesłanki nie może do takiego skutku prowadzić. Przed przystąpieniem do rozważania przesłanek materialnych organ musi najpierw ocenić czy wystąpiły wymogi formalne”.</w:t>
      </w:r>
    </w:p>
    <w:p w14:paraId="47A01C67" w14:textId="77777777" w:rsidR="00546230" w:rsidRPr="00546230" w:rsidRDefault="00546230" w:rsidP="00546230">
      <w:pPr>
        <w:tabs>
          <w:tab w:val="left" w:pos="567"/>
        </w:tabs>
        <w:spacing w:after="120" w:line="240" w:lineRule="auto"/>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ab/>
        <w:t>Zgodnie z treścią analizowanego przepisu bezwzględnym warunkiem możliwości zmiany decyzji w tym trybie art. 155 jest zgoda wszystkich stron postępowania, które nabyły prawa (wyrok NSA z dnia 18.08.2017 r. sygn. akt II OSK 2940/15).</w:t>
      </w:r>
    </w:p>
    <w:p w14:paraId="646E7FF8" w14:textId="77777777" w:rsidR="00546230" w:rsidRPr="00546230" w:rsidRDefault="00546230" w:rsidP="00546230">
      <w:pPr>
        <w:tabs>
          <w:tab w:val="left" w:pos="567"/>
        </w:tabs>
        <w:spacing w:after="120" w:line="240" w:lineRule="auto"/>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ab/>
        <w:t>Biorąc powyższe pod uwagę zmiana decyzji jest uzasadniona i spełnia kumulatywnie przesłanki, o których mowa w przywołanym art. 155.</w:t>
      </w:r>
    </w:p>
    <w:p w14:paraId="7E304427" w14:textId="77777777" w:rsidR="00546230" w:rsidRPr="00546230" w:rsidRDefault="00546230" w:rsidP="00546230">
      <w:pPr>
        <w:spacing w:after="120" w:line="240" w:lineRule="auto"/>
        <w:jc w:val="center"/>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W związku z powyższym orzeczono jak w sentencji.</w:t>
      </w:r>
    </w:p>
    <w:p w14:paraId="1CB37E10" w14:textId="77777777" w:rsidR="00546230" w:rsidRPr="00546230" w:rsidRDefault="00546230" w:rsidP="00546230">
      <w:pPr>
        <w:spacing w:after="120" w:line="240" w:lineRule="auto"/>
        <w:ind w:right="-32"/>
        <w:jc w:val="center"/>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Pouczenie</w:t>
      </w:r>
    </w:p>
    <w:p w14:paraId="2CF7E2E3" w14:textId="77777777" w:rsidR="00546230" w:rsidRPr="00546230" w:rsidRDefault="00546230" w:rsidP="00546230">
      <w:pPr>
        <w:spacing w:after="120" w:line="240" w:lineRule="auto"/>
        <w:ind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Od niniejszej decyzji służy stronie prawo wniesienia odwołania do Samorządowego Kolegium Odwoławczego w Poznaniu, za moim pośrednictwem, w terminie 14 dni od dnia doręczenia.</w:t>
      </w:r>
    </w:p>
    <w:p w14:paraId="3CC7E559" w14:textId="77777777" w:rsidR="00546230" w:rsidRPr="00546230" w:rsidRDefault="00546230" w:rsidP="00546230">
      <w:pPr>
        <w:spacing w:after="120" w:line="240" w:lineRule="auto"/>
        <w:ind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5BB65ABA" w14:textId="77777777" w:rsidR="00546230" w:rsidRPr="00546230" w:rsidRDefault="00546230" w:rsidP="00546230">
      <w:pPr>
        <w:spacing w:after="120" w:line="240" w:lineRule="auto"/>
        <w:ind w:firstLine="567"/>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Z dniem doręczenia organowi administracji publicznej oświadczenia o</w:t>
      </w:r>
      <w:bookmarkStart w:id="1" w:name="highlightHit_3"/>
      <w:bookmarkEnd w:id="1"/>
      <w:r w:rsidRPr="00546230">
        <w:rPr>
          <w:rFonts w:ascii="Calibri" w:eastAsia="Times New Roman" w:hAnsi="Calibri" w:cs="Times New Roman"/>
          <w:sz w:val="28"/>
          <w:szCs w:val="28"/>
          <w:lang w:eastAsia="pl-PL"/>
        </w:rPr>
        <w:t xml:space="preserve"> zrzeczeniu się prawa do wniesienia odwołania przez ostatnią ze stron postępowania, decyzja staje się ostateczna i prawomocna. </w:t>
      </w:r>
    </w:p>
    <w:p w14:paraId="7DC371C6" w14:textId="77777777" w:rsidR="00546230" w:rsidRPr="00546230" w:rsidRDefault="00546230" w:rsidP="00546230">
      <w:pPr>
        <w:spacing w:after="120" w:line="240" w:lineRule="auto"/>
        <w:jc w:val="both"/>
        <w:rPr>
          <w:rFonts w:ascii="Calibri" w:eastAsia="Times New Roman" w:hAnsi="Calibri" w:cs="Times New Roman"/>
          <w:sz w:val="28"/>
          <w:szCs w:val="28"/>
          <w:lang w:eastAsia="pl-PL"/>
        </w:rPr>
      </w:pPr>
    </w:p>
    <w:p w14:paraId="08642AAE" w14:textId="21544AC1" w:rsidR="00546230" w:rsidRPr="00546230" w:rsidRDefault="00546230" w:rsidP="00546230">
      <w:pPr>
        <w:spacing w:after="0" w:line="240" w:lineRule="auto"/>
        <w:jc w:val="both"/>
        <w:rPr>
          <w:rFonts w:ascii="Calibri" w:eastAsia="Times New Roman" w:hAnsi="Calibri" w:cs="Times New Roman"/>
          <w:sz w:val="28"/>
          <w:szCs w:val="28"/>
          <w:lang w:eastAsia="pl-PL"/>
        </w:rPr>
      </w:pPr>
      <w:r>
        <w:rPr>
          <w:rFonts w:ascii="Calibri" w:eastAsia="Times New Roman" w:hAnsi="Calibri" w:cs="Times New Roman"/>
          <w:sz w:val="28"/>
          <w:szCs w:val="28"/>
          <w:lang w:eastAsia="pl-PL"/>
        </w:rPr>
        <w:t>S</w:t>
      </w:r>
      <w:r w:rsidRPr="00546230">
        <w:rPr>
          <w:rFonts w:ascii="Calibri" w:eastAsia="Times New Roman" w:hAnsi="Calibri" w:cs="Times New Roman"/>
          <w:sz w:val="28"/>
          <w:szCs w:val="28"/>
          <w:lang w:eastAsia="pl-PL"/>
        </w:rPr>
        <w:t>prawę prowadzi:</w:t>
      </w:r>
    </w:p>
    <w:p w14:paraId="05C60878" w14:textId="77777777" w:rsidR="00546230" w:rsidRPr="00546230" w:rsidRDefault="00546230" w:rsidP="00546230">
      <w:pPr>
        <w:spacing w:after="0" w:line="240" w:lineRule="auto"/>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Magdalena Nerling</w:t>
      </w:r>
      <w:r w:rsidRPr="00546230">
        <w:rPr>
          <w:rFonts w:ascii="Calibri" w:eastAsia="Times New Roman" w:hAnsi="Calibri" w:cs="Times New Roman"/>
          <w:sz w:val="28"/>
          <w:szCs w:val="28"/>
          <w:lang w:eastAsia="pl-PL"/>
        </w:rPr>
        <w:tab/>
      </w:r>
    </w:p>
    <w:p w14:paraId="193F90FE" w14:textId="77777777" w:rsidR="00546230" w:rsidRPr="00546230" w:rsidRDefault="00546230" w:rsidP="00546230">
      <w:pPr>
        <w:spacing w:after="0" w:line="240" w:lineRule="auto"/>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inspektor</w:t>
      </w:r>
    </w:p>
    <w:p w14:paraId="36AA2DB4" w14:textId="77777777" w:rsidR="00546230" w:rsidRPr="00546230" w:rsidRDefault="00546230" w:rsidP="00546230">
      <w:pPr>
        <w:spacing w:after="0" w:line="240" w:lineRule="auto"/>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 xml:space="preserve">tel. 61 28 47 131 </w:t>
      </w:r>
    </w:p>
    <w:p w14:paraId="480A51B6" w14:textId="77777777" w:rsidR="00546230" w:rsidRDefault="00546230" w:rsidP="00546230">
      <w:pPr>
        <w:spacing w:after="0" w:line="240" w:lineRule="auto"/>
        <w:jc w:val="both"/>
        <w:rPr>
          <w:rFonts w:ascii="Calibri" w:eastAsia="Times New Roman" w:hAnsi="Calibri" w:cs="Times New Roman"/>
          <w:sz w:val="28"/>
          <w:szCs w:val="28"/>
          <w:lang w:eastAsia="pl-PL"/>
        </w:rPr>
      </w:pPr>
    </w:p>
    <w:p w14:paraId="08347C7A" w14:textId="77777777" w:rsidR="00546230" w:rsidRDefault="00546230" w:rsidP="00546230">
      <w:pPr>
        <w:spacing w:after="0" w:line="240" w:lineRule="auto"/>
        <w:jc w:val="both"/>
        <w:rPr>
          <w:rFonts w:ascii="Calibri" w:eastAsia="Times New Roman" w:hAnsi="Calibri" w:cs="Times New Roman"/>
          <w:sz w:val="28"/>
          <w:szCs w:val="28"/>
          <w:lang w:eastAsia="pl-PL"/>
        </w:rPr>
      </w:pPr>
    </w:p>
    <w:p w14:paraId="39A825A3" w14:textId="4EED7F2B" w:rsidR="00546230" w:rsidRPr="00546230" w:rsidRDefault="00546230" w:rsidP="00546230">
      <w:pPr>
        <w:spacing w:after="0" w:line="240" w:lineRule="auto"/>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lastRenderedPageBreak/>
        <w:t>Otrzymują:</w:t>
      </w:r>
    </w:p>
    <w:p w14:paraId="02B8B07D" w14:textId="77777777" w:rsidR="00546230" w:rsidRPr="00546230" w:rsidRDefault="00546230" w:rsidP="00546230">
      <w:pPr>
        <w:numPr>
          <w:ilvl w:val="0"/>
          <w:numId w:val="2"/>
        </w:numPr>
        <w:spacing w:after="0" w:line="240" w:lineRule="auto"/>
        <w:contextualSpacing/>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Wnioskodawca:</w:t>
      </w:r>
    </w:p>
    <w:p w14:paraId="02576FD3" w14:textId="77777777" w:rsidR="00546230" w:rsidRPr="00546230" w:rsidRDefault="00546230" w:rsidP="00546230">
      <w:pPr>
        <w:spacing w:after="0" w:line="240" w:lineRule="auto"/>
        <w:ind w:left="720"/>
        <w:contextualSpacing/>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Pan Filip Bachórz</w:t>
      </w:r>
    </w:p>
    <w:p w14:paraId="6F699EE9" w14:textId="77777777" w:rsidR="00546230" w:rsidRPr="00546230" w:rsidRDefault="00546230" w:rsidP="00546230">
      <w:pPr>
        <w:numPr>
          <w:ilvl w:val="0"/>
          <w:numId w:val="2"/>
        </w:numPr>
        <w:spacing w:after="0" w:line="240" w:lineRule="auto"/>
        <w:contextualSpacing/>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Pozostałe Strony postępowania w formie publicznego obwieszczenia</w:t>
      </w:r>
    </w:p>
    <w:p w14:paraId="42023665" w14:textId="77777777" w:rsidR="00546230" w:rsidRPr="00546230" w:rsidRDefault="00546230" w:rsidP="00546230">
      <w:pPr>
        <w:numPr>
          <w:ilvl w:val="0"/>
          <w:numId w:val="2"/>
        </w:numPr>
        <w:spacing w:after="0" w:line="240" w:lineRule="auto"/>
        <w:contextualSpacing/>
        <w:jc w:val="both"/>
        <w:rPr>
          <w:rFonts w:ascii="Calibri" w:eastAsia="Times New Roman" w:hAnsi="Calibri" w:cs="Times New Roman"/>
          <w:sz w:val="28"/>
          <w:szCs w:val="28"/>
          <w:lang w:eastAsia="pl-PL"/>
        </w:rPr>
      </w:pPr>
      <w:r w:rsidRPr="00546230">
        <w:rPr>
          <w:rFonts w:ascii="Calibri" w:eastAsia="Times New Roman" w:hAnsi="Calibri" w:cs="Times New Roman"/>
          <w:sz w:val="28"/>
          <w:szCs w:val="28"/>
          <w:lang w:eastAsia="pl-PL"/>
        </w:rPr>
        <w:t>Aa.</w:t>
      </w:r>
    </w:p>
    <w:p w14:paraId="69ED864C" w14:textId="77777777" w:rsidR="00546230" w:rsidRPr="00546230" w:rsidRDefault="00546230" w:rsidP="00546230">
      <w:pPr>
        <w:spacing w:after="120" w:line="240" w:lineRule="auto"/>
        <w:jc w:val="both"/>
        <w:rPr>
          <w:rFonts w:ascii="Calibri" w:eastAsia="Times New Roman" w:hAnsi="Calibri" w:cs="Times New Roman"/>
          <w:sz w:val="28"/>
          <w:szCs w:val="28"/>
          <w:lang w:eastAsia="pl-PL"/>
        </w:rPr>
      </w:pPr>
    </w:p>
    <w:p w14:paraId="22FECA6A" w14:textId="584607FF" w:rsidR="00546230" w:rsidRDefault="00546230" w:rsidP="00546230">
      <w:pPr>
        <w:spacing w:after="120" w:line="240" w:lineRule="auto"/>
        <w:jc w:val="both"/>
        <w:rPr>
          <w:rFonts w:eastAsia="Calibri" w:cstheme="minorHAnsi"/>
          <w:sz w:val="28"/>
          <w:szCs w:val="28"/>
        </w:rPr>
      </w:pPr>
      <w:r w:rsidRPr="00546230">
        <w:rPr>
          <w:rFonts w:ascii="Calibri" w:eastAsia="Times New Roman" w:hAnsi="Calibri" w:cs="Times New Roman"/>
          <w:sz w:val="28"/>
          <w:szCs w:val="28"/>
          <w:lang w:eastAsia="pl-PL"/>
        </w:rPr>
        <w:t xml:space="preserve">Decyzja nie podlega opłacie skarbowej na podstawie art. 2 ust. 1 pkt 2 </w:t>
      </w:r>
      <w:r w:rsidRPr="00546230">
        <w:rPr>
          <w:rFonts w:ascii="Calibri" w:eastAsia="Times New Roman" w:hAnsi="Calibri" w:cs="Times New Roman"/>
          <w:sz w:val="28"/>
          <w:szCs w:val="24"/>
          <w:lang w:eastAsia="pl-PL"/>
        </w:rPr>
        <w:t>ustawy z dnia 16 listopada 2006 r. o opłacie skarbowej (Dz. U. z 2021 r. poz. 1923, 1000, 1718, z 2022 r. poz. 91).</w:t>
      </w:r>
    </w:p>
    <w:sectPr w:rsidR="00546230" w:rsidSect="009F091A">
      <w:headerReference w:type="default" r:id="rId8"/>
      <w:footerReference w:type="even" r:id="rId9"/>
      <w:footerReference w:type="default" r:id="rId10"/>
      <w:headerReference w:type="first" r:id="rId11"/>
      <w:footerReference w:type="first" r:id="rId12"/>
      <w:pgSz w:w="11906" w:h="16838"/>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C6A91" w14:textId="77777777" w:rsidR="00EC7AF0" w:rsidRDefault="00EC7AF0" w:rsidP="00053E5A">
      <w:pPr>
        <w:spacing w:after="0" w:line="240" w:lineRule="auto"/>
      </w:pPr>
      <w:r>
        <w:separator/>
      </w:r>
    </w:p>
  </w:endnote>
  <w:endnote w:type="continuationSeparator" w:id="0">
    <w:p w14:paraId="2EBAB17E" w14:textId="77777777" w:rsidR="00EC7AF0" w:rsidRDefault="00EC7AF0"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End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EndPr/>
    <w:sdtContent>
      <w:sdt>
        <w:sdtPr>
          <w:id w:val="1728636285"/>
          <w:docPartObj>
            <w:docPartGallery w:val="Page Numbers (Top of Page)"/>
            <w:docPartUnique/>
          </w:docPartObj>
        </w:sdtPr>
        <w:sdtEndPr/>
        <w:sdtContent>
          <w:p w14:paraId="2986E41C" w14:textId="1E4B842A" w:rsidR="00575C7A" w:rsidRDefault="00722E64">
            <w:pPr>
              <w:pStyle w:val="Stopka"/>
              <w:jc w:val="center"/>
            </w:pPr>
            <w:r>
              <w:rPr>
                <w:noProof/>
              </w:rPr>
              <w:drawing>
                <wp:anchor distT="0" distB="0" distL="114300" distR="114300" simplePos="0" relativeHeight="251659776" behindDoc="1" locked="0" layoutInCell="1" allowOverlap="1" wp14:anchorId="056DF1E7" wp14:editId="71404548">
                  <wp:simplePos x="0" y="0"/>
                  <wp:positionH relativeFrom="column">
                    <wp:posOffset>-1080135</wp:posOffset>
                  </wp:positionH>
                  <wp:positionV relativeFrom="paragraph">
                    <wp:posOffset>-805815</wp:posOffset>
                  </wp:positionV>
                  <wp:extent cx="7776127" cy="158496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776127" cy="1584960"/>
                          </a:xfrm>
                          <a:prstGeom prst="rect">
                            <a:avLst/>
                          </a:prstGeom>
                        </pic:spPr>
                      </pic:pic>
                    </a:graphicData>
                  </a:graphic>
                  <wp14:sizeRelH relativeFrom="page">
                    <wp14:pctWidth>0</wp14:pctWidth>
                  </wp14:sizeRelH>
                  <wp14:sizeRelV relativeFrom="page">
                    <wp14:pctHeight>0</wp14:pctHeight>
                  </wp14:sizeRelV>
                </wp:anchor>
              </w:drawing>
            </w:r>
            <w:r w:rsidR="00575C7A" w:rsidRPr="003625F3">
              <w:rPr>
                <w:sz w:val="28"/>
                <w:szCs w:val="28"/>
              </w:rPr>
              <w:fldChar w:fldCharType="begin"/>
            </w:r>
            <w:r w:rsidR="00575C7A" w:rsidRPr="003625F3">
              <w:rPr>
                <w:sz w:val="28"/>
                <w:szCs w:val="28"/>
              </w:rPr>
              <w:instrText>PAGE</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r w:rsidR="00575C7A" w:rsidRPr="003625F3">
              <w:rPr>
                <w:sz w:val="28"/>
                <w:szCs w:val="28"/>
              </w:rPr>
              <w:t xml:space="preserve"> z </w:t>
            </w:r>
            <w:r w:rsidR="00575C7A" w:rsidRPr="003625F3">
              <w:rPr>
                <w:sz w:val="28"/>
                <w:szCs w:val="28"/>
              </w:rPr>
              <w:fldChar w:fldCharType="begin"/>
            </w:r>
            <w:r w:rsidR="00575C7A" w:rsidRPr="003625F3">
              <w:rPr>
                <w:sz w:val="28"/>
                <w:szCs w:val="28"/>
              </w:rPr>
              <w:instrText>NUMPAGES</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p>
        </w:sdtContent>
      </w:sdt>
    </w:sdtContent>
  </w:sdt>
  <w:p w14:paraId="12283543" w14:textId="32C3D83E" w:rsidR="0048459B" w:rsidRDefault="0048459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EC7AF0" w:rsidP="00722E64">
    <w:pPr>
      <w:pStyle w:val="Stopka"/>
      <w:jc w:val="center"/>
    </w:pPr>
    <w:sdt>
      <w:sdtPr>
        <w:id w:val="906035972"/>
        <w:docPartObj>
          <w:docPartGallery w:val="Page Numbers (Top of Page)"/>
          <w:docPartUnique/>
        </w:docPartObj>
      </w:sdtPr>
      <w:sdtEnd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8DC60" w14:textId="77777777" w:rsidR="00EC7AF0" w:rsidRDefault="00EC7AF0" w:rsidP="00053E5A">
      <w:pPr>
        <w:spacing w:after="0" w:line="240" w:lineRule="auto"/>
      </w:pPr>
      <w:r>
        <w:separator/>
      </w:r>
    </w:p>
  </w:footnote>
  <w:footnote w:type="continuationSeparator" w:id="0">
    <w:p w14:paraId="62C9FBF3" w14:textId="77777777" w:rsidR="00EC7AF0" w:rsidRDefault="00EC7AF0"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0672DA"/>
    <w:multiLevelType w:val="hybridMultilevel"/>
    <w:tmpl w:val="AC62B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E6C3F81"/>
    <w:multiLevelType w:val="hybridMultilevel"/>
    <w:tmpl w:val="6D9C6E52"/>
    <w:lvl w:ilvl="0" w:tplc="C7B2A6E6">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96569894">
    <w:abstractNumId w:val="1"/>
  </w:num>
  <w:num w:numId="2" w16cid:durableId="198713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1FCD"/>
    <w:rsid w:val="00053E5A"/>
    <w:rsid w:val="000B12CA"/>
    <w:rsid w:val="000C0935"/>
    <w:rsid w:val="00136D9C"/>
    <w:rsid w:val="00196CF8"/>
    <w:rsid w:val="001E204F"/>
    <w:rsid w:val="001E45F7"/>
    <w:rsid w:val="001E4E5D"/>
    <w:rsid w:val="00207356"/>
    <w:rsid w:val="002317AB"/>
    <w:rsid w:val="002339DC"/>
    <w:rsid w:val="00236849"/>
    <w:rsid w:val="00250690"/>
    <w:rsid w:val="00286EE4"/>
    <w:rsid w:val="002D0BA0"/>
    <w:rsid w:val="002E1491"/>
    <w:rsid w:val="00337537"/>
    <w:rsid w:val="003625F3"/>
    <w:rsid w:val="00377C2A"/>
    <w:rsid w:val="0040322B"/>
    <w:rsid w:val="004348F9"/>
    <w:rsid w:val="00445843"/>
    <w:rsid w:val="004519AC"/>
    <w:rsid w:val="0048459B"/>
    <w:rsid w:val="004918B2"/>
    <w:rsid w:val="004E6AAC"/>
    <w:rsid w:val="00525346"/>
    <w:rsid w:val="00546230"/>
    <w:rsid w:val="0055482F"/>
    <w:rsid w:val="00575C7A"/>
    <w:rsid w:val="00582CAF"/>
    <w:rsid w:val="005A07CF"/>
    <w:rsid w:val="005B004B"/>
    <w:rsid w:val="005E5887"/>
    <w:rsid w:val="00615D44"/>
    <w:rsid w:val="006A6F3E"/>
    <w:rsid w:val="006B3990"/>
    <w:rsid w:val="006F6E0C"/>
    <w:rsid w:val="00722937"/>
    <w:rsid w:val="00722E64"/>
    <w:rsid w:val="00740DC5"/>
    <w:rsid w:val="00775A53"/>
    <w:rsid w:val="00787261"/>
    <w:rsid w:val="00797B24"/>
    <w:rsid w:val="007A3D60"/>
    <w:rsid w:val="00801B47"/>
    <w:rsid w:val="0081559F"/>
    <w:rsid w:val="00825443"/>
    <w:rsid w:val="008B1225"/>
    <w:rsid w:val="00917C21"/>
    <w:rsid w:val="009614DC"/>
    <w:rsid w:val="00981921"/>
    <w:rsid w:val="009937A8"/>
    <w:rsid w:val="009E5400"/>
    <w:rsid w:val="009F091A"/>
    <w:rsid w:val="009F54AF"/>
    <w:rsid w:val="00AF0A61"/>
    <w:rsid w:val="00AF1F86"/>
    <w:rsid w:val="00AF225C"/>
    <w:rsid w:val="00AF5295"/>
    <w:rsid w:val="00AF5E0F"/>
    <w:rsid w:val="00C74A10"/>
    <w:rsid w:val="00C8223A"/>
    <w:rsid w:val="00D06C2D"/>
    <w:rsid w:val="00D34515"/>
    <w:rsid w:val="00D91D83"/>
    <w:rsid w:val="00DE0A88"/>
    <w:rsid w:val="00E07703"/>
    <w:rsid w:val="00EC7AF0"/>
    <w:rsid w:val="00F11BA4"/>
    <w:rsid w:val="00FC14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1071</Words>
  <Characters>6427</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5</cp:revision>
  <cp:lastPrinted>2020-02-11T13:09:00Z</cp:lastPrinted>
  <dcterms:created xsi:type="dcterms:W3CDTF">2022-04-19T09:31:00Z</dcterms:created>
  <dcterms:modified xsi:type="dcterms:W3CDTF">2022-04-19T11:43:00Z</dcterms:modified>
</cp:coreProperties>
</file>