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700A0"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63-100 Śrem</w:t>
      </w:r>
    </w:p>
    <w:p w14:paraId="69612C35" w14:textId="5CCBBBB1" w:rsidR="004922DB" w:rsidRPr="003A76C5" w:rsidRDefault="004922DB" w:rsidP="004922DB">
      <w:pPr>
        <w:spacing w:after="120" w:line="240" w:lineRule="auto"/>
        <w:jc w:val="right"/>
        <w:rPr>
          <w:rFonts w:cstheme="minorHAnsi"/>
          <w:sz w:val="28"/>
          <w:szCs w:val="28"/>
        </w:rPr>
      </w:pPr>
      <w:r w:rsidRPr="003A76C5">
        <w:rPr>
          <w:rFonts w:cstheme="minorHAnsi"/>
          <w:sz w:val="28"/>
          <w:szCs w:val="28"/>
        </w:rPr>
        <w:t xml:space="preserve">Śrem, </w:t>
      </w:r>
      <w:r w:rsidR="00984072">
        <w:rPr>
          <w:rFonts w:cstheme="minorHAnsi"/>
          <w:sz w:val="28"/>
          <w:szCs w:val="28"/>
        </w:rPr>
        <w:t>10</w:t>
      </w:r>
      <w:r>
        <w:rPr>
          <w:rFonts w:cstheme="minorHAnsi"/>
          <w:sz w:val="28"/>
          <w:szCs w:val="28"/>
        </w:rPr>
        <w:t xml:space="preserve"> </w:t>
      </w:r>
      <w:r w:rsidR="006463C1">
        <w:rPr>
          <w:rFonts w:cstheme="minorHAnsi"/>
          <w:sz w:val="28"/>
          <w:szCs w:val="28"/>
        </w:rPr>
        <w:t>maja</w:t>
      </w:r>
      <w:r>
        <w:rPr>
          <w:rFonts w:cstheme="minorHAnsi"/>
          <w:sz w:val="28"/>
          <w:szCs w:val="28"/>
        </w:rPr>
        <w:t xml:space="preserve"> 2022</w:t>
      </w:r>
      <w:r w:rsidRPr="003A76C5">
        <w:rPr>
          <w:rFonts w:cstheme="minorHAnsi"/>
          <w:sz w:val="28"/>
          <w:szCs w:val="28"/>
        </w:rPr>
        <w:t xml:space="preserve"> roku</w:t>
      </w:r>
    </w:p>
    <w:p w14:paraId="4FE9DCF9" w14:textId="3BAA2868" w:rsidR="004922DB" w:rsidRPr="003A76C5" w:rsidRDefault="004922DB" w:rsidP="004922DB">
      <w:pPr>
        <w:spacing w:after="120" w:line="240" w:lineRule="auto"/>
        <w:rPr>
          <w:rFonts w:cstheme="minorHAnsi"/>
          <w:sz w:val="28"/>
          <w:szCs w:val="28"/>
        </w:rPr>
      </w:pPr>
      <w:r w:rsidRPr="003A76C5">
        <w:rPr>
          <w:rFonts w:cstheme="minorHAnsi"/>
          <w:sz w:val="28"/>
          <w:szCs w:val="28"/>
        </w:rPr>
        <w:t>PPSOŚ.6220.</w:t>
      </w:r>
      <w:r w:rsidR="006463C1">
        <w:rPr>
          <w:rFonts w:cstheme="minorHAnsi"/>
          <w:sz w:val="28"/>
          <w:szCs w:val="28"/>
        </w:rPr>
        <w:t>1</w:t>
      </w:r>
      <w:r w:rsidR="004266A8">
        <w:rPr>
          <w:rFonts w:cstheme="minorHAnsi"/>
          <w:sz w:val="28"/>
          <w:szCs w:val="28"/>
        </w:rPr>
        <w:t>.2022</w:t>
      </w:r>
      <w:r w:rsidRPr="003A76C5">
        <w:rPr>
          <w:rFonts w:cstheme="minorHAnsi"/>
          <w:sz w:val="28"/>
          <w:szCs w:val="28"/>
        </w:rPr>
        <w:t>.BM</w:t>
      </w:r>
    </w:p>
    <w:p w14:paraId="30FC5598" w14:textId="77777777" w:rsidR="006463C1" w:rsidRPr="006463C1" w:rsidRDefault="006463C1" w:rsidP="006463C1">
      <w:pPr>
        <w:keepNext/>
        <w:keepLines/>
        <w:spacing w:after="120" w:line="240" w:lineRule="auto"/>
        <w:jc w:val="center"/>
        <w:outlineLvl w:val="0"/>
        <w:rPr>
          <w:rFonts w:eastAsia="Times New Roman" w:cstheme="minorHAnsi"/>
          <w:sz w:val="28"/>
          <w:szCs w:val="28"/>
        </w:rPr>
      </w:pPr>
      <w:r w:rsidRPr="006463C1">
        <w:rPr>
          <w:rFonts w:eastAsia="Times New Roman" w:cstheme="minorHAnsi"/>
          <w:sz w:val="28"/>
          <w:szCs w:val="28"/>
        </w:rPr>
        <w:t>Obwieszczenie</w:t>
      </w:r>
    </w:p>
    <w:p w14:paraId="5B6C7A30" w14:textId="77777777" w:rsidR="006463C1" w:rsidRPr="006463C1" w:rsidRDefault="006463C1" w:rsidP="006463C1">
      <w:pPr>
        <w:keepNext/>
        <w:keepLines/>
        <w:spacing w:after="120" w:line="240" w:lineRule="auto"/>
        <w:jc w:val="center"/>
        <w:outlineLvl w:val="0"/>
        <w:rPr>
          <w:rFonts w:eastAsia="Times New Roman" w:cstheme="minorHAnsi"/>
          <w:sz w:val="28"/>
          <w:szCs w:val="28"/>
        </w:rPr>
      </w:pPr>
      <w:r w:rsidRPr="006463C1">
        <w:rPr>
          <w:rFonts w:eastAsia="Times New Roman" w:cstheme="minorHAnsi"/>
          <w:sz w:val="28"/>
          <w:szCs w:val="28"/>
        </w:rPr>
        <w:t>o nałożeniu obowiązku przeprowadzenia oceny oddziaływania przedsięwzięcia na środowisko</w:t>
      </w:r>
    </w:p>
    <w:p w14:paraId="6B9878B3" w14:textId="38EEE676" w:rsidR="006463C1" w:rsidRPr="006463C1" w:rsidRDefault="006463C1" w:rsidP="006463C1">
      <w:pPr>
        <w:spacing w:after="120" w:line="240" w:lineRule="auto"/>
        <w:ind w:firstLine="708"/>
        <w:jc w:val="both"/>
        <w:rPr>
          <w:rFonts w:cstheme="minorHAnsi"/>
          <w:bCs/>
          <w:sz w:val="28"/>
          <w:szCs w:val="28"/>
        </w:rPr>
      </w:pPr>
      <w:r w:rsidRPr="006463C1">
        <w:rPr>
          <w:rFonts w:cstheme="minorHAnsi"/>
          <w:sz w:val="28"/>
          <w:szCs w:val="28"/>
        </w:rPr>
        <w:t xml:space="preserve">Na podstawie art. 73 ust. 1 i art. 74 ust. 3 ustawy z dnia 3 października 2008 r. o udostępnianiu informacji o środowisku i jego ochronie, udziale społeczeństwa w ochronie środowiska oraz o ocenach oddziaływania na środowisko (Dz. U. z 2021 r. poz. 2373 i 2389), zawiadamiam strony postępowania o nałożeniu przez Burmistrza Śremu, na mocy postanowienia z </w:t>
      </w:r>
      <w:r w:rsidR="009014D5">
        <w:rPr>
          <w:rFonts w:cstheme="minorHAnsi"/>
          <w:sz w:val="28"/>
          <w:szCs w:val="28"/>
        </w:rPr>
        <w:t xml:space="preserve">10 maja </w:t>
      </w:r>
      <w:r w:rsidRPr="006463C1">
        <w:rPr>
          <w:rFonts w:cstheme="minorHAnsi"/>
          <w:sz w:val="28"/>
          <w:szCs w:val="28"/>
        </w:rPr>
        <w:t xml:space="preserve">2022 r., obowiązku przeprowadzenia oceny oddziaływania na środowisko dla planowanego przedsięwzięcia Green Capital Spółki Akcyjnej z siedzibą w Warszawie, Aleje Jerozolimskie 85/21, 02-001 Warszawa, polegającego na </w:t>
      </w:r>
      <w:r w:rsidRPr="006463C1">
        <w:rPr>
          <w:rFonts w:cstheme="minorHAnsi"/>
          <w:bCs/>
          <w:sz w:val="28"/>
          <w:szCs w:val="28"/>
        </w:rPr>
        <w:t>budowie farmy fotowoltaicznej o mocy do 500 kW oraz trzech zespołów kontenerowych magazynów energii o mocy do 10 MW każdy i jednego zespołu kontenerowych magazynów energii o mocy do 80 MW, o łącznej powierzchni zabudowy do 2,70 ha wraz z niezbędną infrastrukturą techniczną, na działce o numerze ewidencyjnym 421/4, obręb Mechlin.</w:t>
      </w:r>
      <w:r w:rsidRPr="006463C1">
        <w:t xml:space="preserve"> </w:t>
      </w:r>
      <w:r w:rsidRPr="006463C1">
        <w:rPr>
          <w:rFonts w:cstheme="minorHAnsi"/>
          <w:bCs/>
          <w:sz w:val="28"/>
          <w:szCs w:val="28"/>
        </w:rPr>
        <w:t>Na postanowienie służy stronom zażalenie. Z treścią postanowienia można zapoznać się w Urzędzie Miejskim w</w:t>
      </w:r>
      <w:r>
        <w:rPr>
          <w:rFonts w:cstheme="minorHAnsi"/>
          <w:bCs/>
          <w:sz w:val="28"/>
          <w:szCs w:val="28"/>
        </w:rPr>
        <w:t> </w:t>
      </w:r>
      <w:r w:rsidRPr="006463C1">
        <w:rPr>
          <w:rFonts w:cstheme="minorHAnsi"/>
          <w:bCs/>
          <w:sz w:val="28"/>
          <w:szCs w:val="28"/>
        </w:rPr>
        <w:t>Śremie (</w:t>
      </w:r>
      <w:r>
        <w:rPr>
          <w:rFonts w:cstheme="minorHAnsi"/>
          <w:bCs/>
          <w:sz w:val="28"/>
          <w:szCs w:val="28"/>
        </w:rPr>
        <w:t xml:space="preserve">ul. </w:t>
      </w:r>
      <w:r w:rsidRPr="006463C1">
        <w:rPr>
          <w:rFonts w:cstheme="minorHAnsi"/>
          <w:bCs/>
          <w:sz w:val="28"/>
          <w:szCs w:val="28"/>
        </w:rPr>
        <w:t>Plac 20 Października</w:t>
      </w:r>
      <w:r>
        <w:rPr>
          <w:rFonts w:cstheme="minorHAnsi"/>
          <w:bCs/>
          <w:sz w:val="28"/>
          <w:szCs w:val="28"/>
        </w:rPr>
        <w:t> </w:t>
      </w:r>
      <w:r w:rsidRPr="006463C1">
        <w:rPr>
          <w:rFonts w:cstheme="minorHAnsi"/>
          <w:bCs/>
          <w:sz w:val="28"/>
          <w:szCs w:val="28"/>
        </w:rPr>
        <w:t>1</w:t>
      </w:r>
      <w:r w:rsidR="00EA313B">
        <w:rPr>
          <w:rFonts w:cstheme="minorHAnsi"/>
          <w:bCs/>
          <w:sz w:val="28"/>
          <w:szCs w:val="28"/>
        </w:rPr>
        <w:t>, pok. 33</w:t>
      </w:r>
      <w:r w:rsidRPr="006463C1">
        <w:rPr>
          <w:rFonts w:cstheme="minorHAnsi"/>
          <w:bCs/>
          <w:sz w:val="28"/>
          <w:szCs w:val="28"/>
        </w:rPr>
        <w:t>), w godzinach od 7:00 do 15:00</w:t>
      </w:r>
      <w:r>
        <w:rPr>
          <w:rFonts w:cstheme="minorHAnsi"/>
          <w:bCs/>
          <w:sz w:val="28"/>
          <w:szCs w:val="28"/>
        </w:rPr>
        <w:t xml:space="preserve"> </w:t>
      </w:r>
      <w:r w:rsidRPr="006463C1">
        <w:rPr>
          <w:rFonts w:cstheme="minorHAnsi"/>
          <w:bCs/>
          <w:sz w:val="28"/>
          <w:szCs w:val="28"/>
        </w:rPr>
        <w:t>lub w</w:t>
      </w:r>
      <w:r>
        <w:rPr>
          <w:rFonts w:cstheme="minorHAnsi"/>
          <w:bCs/>
          <w:sz w:val="28"/>
          <w:szCs w:val="28"/>
        </w:rPr>
        <w:t> </w:t>
      </w:r>
      <w:r w:rsidRPr="006463C1">
        <w:rPr>
          <w:rFonts w:cstheme="minorHAnsi"/>
          <w:bCs/>
          <w:sz w:val="28"/>
          <w:szCs w:val="28"/>
        </w:rPr>
        <w:t>Biuletynie Informacji Publicznej (</w:t>
      </w:r>
      <w:r w:rsidR="009014D5" w:rsidRPr="009014D5">
        <w:rPr>
          <w:rFonts w:cstheme="minorHAnsi"/>
          <w:bCs/>
          <w:sz w:val="28"/>
          <w:szCs w:val="28"/>
        </w:rPr>
        <w:t>http://umsrem.bip.eur.pl/public/?id=219042</w:t>
      </w:r>
      <w:r w:rsidRPr="006463C1">
        <w:rPr>
          <w:rFonts w:cstheme="minorHAnsi"/>
          <w:bCs/>
          <w:sz w:val="28"/>
          <w:szCs w:val="28"/>
        </w:rPr>
        <w:t xml:space="preserve">). </w:t>
      </w:r>
    </w:p>
    <w:p w14:paraId="535B4F21" w14:textId="43CA0097" w:rsidR="006463C1" w:rsidRPr="006463C1" w:rsidRDefault="006463C1" w:rsidP="006463C1">
      <w:pPr>
        <w:spacing w:after="120" w:line="240" w:lineRule="auto"/>
        <w:ind w:firstLine="708"/>
        <w:jc w:val="both"/>
        <w:rPr>
          <w:rFonts w:cstheme="minorHAnsi"/>
          <w:bCs/>
          <w:sz w:val="28"/>
          <w:szCs w:val="28"/>
        </w:rPr>
      </w:pPr>
      <w:r w:rsidRPr="006463C1">
        <w:rPr>
          <w:rFonts w:cstheme="minorHAnsi"/>
          <w:bCs/>
          <w:sz w:val="28"/>
          <w:szCs w:val="28"/>
        </w:rPr>
        <w:t>Jednocześnie zawiadamiam, że z przyczyny wskazanej powyżej, przedmiotowa sprawa nie może zostać załatwiona w ustawowym terminie, w</w:t>
      </w:r>
      <w:r w:rsidR="00EA313B">
        <w:rPr>
          <w:rFonts w:cstheme="minorHAnsi"/>
          <w:bCs/>
          <w:sz w:val="28"/>
          <w:szCs w:val="28"/>
        </w:rPr>
        <w:t> </w:t>
      </w:r>
      <w:r w:rsidRPr="006463C1">
        <w:rPr>
          <w:rFonts w:cstheme="minorHAnsi"/>
          <w:bCs/>
          <w:sz w:val="28"/>
          <w:szCs w:val="28"/>
        </w:rPr>
        <w:t>związku z czym, zgodnie z art. 36 ustawy z dnia 14 czerwca 1960 r. - Kodeks postępowania administracyjnego (Dz. U. z 2021 r. poz. 735</w:t>
      </w:r>
      <w:r w:rsidR="009014D5">
        <w:rPr>
          <w:rFonts w:cstheme="minorHAnsi"/>
          <w:bCs/>
          <w:sz w:val="28"/>
          <w:szCs w:val="28"/>
        </w:rPr>
        <w:t>, z późn, zm.</w:t>
      </w:r>
      <w:r w:rsidRPr="006463C1">
        <w:rPr>
          <w:rFonts w:cstheme="minorHAnsi"/>
          <w:bCs/>
          <w:sz w:val="28"/>
          <w:szCs w:val="28"/>
        </w:rPr>
        <w:t xml:space="preserve">), </w:t>
      </w:r>
      <w:r w:rsidR="00341A2E">
        <w:rPr>
          <w:rFonts w:cstheme="minorHAnsi"/>
          <w:bCs/>
          <w:sz w:val="28"/>
          <w:szCs w:val="28"/>
        </w:rPr>
        <w:t xml:space="preserve">zwanej dalej K.p.a., </w:t>
      </w:r>
      <w:r w:rsidRPr="006463C1">
        <w:rPr>
          <w:rFonts w:cstheme="minorHAnsi"/>
          <w:bCs/>
          <w:sz w:val="28"/>
          <w:szCs w:val="28"/>
        </w:rPr>
        <w:t xml:space="preserve">wyznaczam nowy termin załatwienia sprawy do </w:t>
      </w:r>
      <w:r w:rsidR="009014D5">
        <w:rPr>
          <w:rFonts w:cstheme="minorHAnsi"/>
          <w:bCs/>
          <w:sz w:val="28"/>
          <w:szCs w:val="28"/>
        </w:rPr>
        <w:t>10</w:t>
      </w:r>
      <w:r w:rsidR="00341A2E">
        <w:rPr>
          <w:rFonts w:cstheme="minorHAnsi"/>
          <w:bCs/>
          <w:sz w:val="28"/>
          <w:szCs w:val="28"/>
        </w:rPr>
        <w:t> </w:t>
      </w:r>
      <w:r w:rsidR="009014D5">
        <w:rPr>
          <w:rFonts w:cstheme="minorHAnsi"/>
          <w:bCs/>
          <w:sz w:val="28"/>
          <w:szCs w:val="28"/>
        </w:rPr>
        <w:t>czerwca 2022</w:t>
      </w:r>
      <w:r w:rsidRPr="006463C1">
        <w:rPr>
          <w:rFonts w:cstheme="minorHAnsi"/>
          <w:bCs/>
          <w:sz w:val="28"/>
          <w:szCs w:val="28"/>
        </w:rPr>
        <w:t xml:space="preserve"> r., przy czym termin ten nie jest ostateczny i może ulec zmianie.</w:t>
      </w:r>
    </w:p>
    <w:p w14:paraId="70F7989A" w14:textId="0AACDF17" w:rsidR="006463C1" w:rsidRPr="006463C1" w:rsidRDefault="006463C1" w:rsidP="006463C1">
      <w:pPr>
        <w:spacing w:after="120" w:line="240" w:lineRule="auto"/>
        <w:ind w:firstLine="708"/>
        <w:jc w:val="both"/>
        <w:rPr>
          <w:rFonts w:cstheme="minorHAnsi"/>
          <w:bCs/>
          <w:sz w:val="28"/>
          <w:szCs w:val="28"/>
        </w:rPr>
      </w:pPr>
      <w:r w:rsidRPr="006463C1">
        <w:rPr>
          <w:rFonts w:cstheme="minorHAnsi"/>
          <w:bCs/>
          <w:sz w:val="28"/>
          <w:szCs w:val="28"/>
        </w:rPr>
        <w:t xml:space="preserve">Stosownie do art. 37 </w:t>
      </w:r>
      <w:r w:rsidR="00341A2E">
        <w:rPr>
          <w:rFonts w:cstheme="minorHAnsi"/>
          <w:bCs/>
          <w:sz w:val="28"/>
          <w:szCs w:val="28"/>
        </w:rPr>
        <w:t>K.p.a.</w:t>
      </w:r>
      <w:r w:rsidRPr="006463C1">
        <w:rPr>
          <w:rFonts w:cstheme="minorHAnsi"/>
          <w:bCs/>
          <w:sz w:val="28"/>
          <w:szCs w:val="28"/>
        </w:rPr>
        <w:t xml:space="preserve"> stronie służy prawo do wniesienia ponaglenia do Samorządowego Kolegium Odwoławczego w</w:t>
      </w:r>
      <w:r w:rsidR="009014D5">
        <w:rPr>
          <w:rFonts w:cstheme="minorHAnsi"/>
          <w:bCs/>
          <w:sz w:val="28"/>
          <w:szCs w:val="28"/>
        </w:rPr>
        <w:t> </w:t>
      </w:r>
      <w:r w:rsidRPr="006463C1">
        <w:rPr>
          <w:rFonts w:cstheme="minorHAnsi"/>
          <w:bCs/>
          <w:sz w:val="28"/>
          <w:szCs w:val="28"/>
        </w:rPr>
        <w:t>Poznaniu, za moim pośrednictwem.</w:t>
      </w:r>
    </w:p>
    <w:p w14:paraId="322A7CA2" w14:textId="77777777" w:rsidR="009014D5" w:rsidRDefault="009014D5">
      <w:pPr>
        <w:rPr>
          <w:rFonts w:cstheme="minorHAnsi"/>
          <w:bCs/>
          <w:sz w:val="28"/>
          <w:szCs w:val="28"/>
        </w:rPr>
      </w:pPr>
      <w:r>
        <w:rPr>
          <w:rFonts w:cstheme="minorHAnsi"/>
          <w:bCs/>
          <w:sz w:val="28"/>
          <w:szCs w:val="28"/>
        </w:rPr>
        <w:br w:type="page"/>
      </w:r>
    </w:p>
    <w:p w14:paraId="102843A7" w14:textId="4FE54178" w:rsidR="009014D5" w:rsidRDefault="006463C1" w:rsidP="00341A2E">
      <w:pPr>
        <w:spacing w:after="120" w:line="240" w:lineRule="auto"/>
        <w:ind w:firstLine="708"/>
        <w:jc w:val="both"/>
        <w:rPr>
          <w:rFonts w:cstheme="minorHAnsi"/>
          <w:bCs/>
          <w:sz w:val="28"/>
          <w:szCs w:val="28"/>
        </w:rPr>
      </w:pPr>
      <w:r w:rsidRPr="006463C1">
        <w:rPr>
          <w:rFonts w:cstheme="minorHAnsi"/>
          <w:bCs/>
          <w:sz w:val="28"/>
          <w:szCs w:val="28"/>
        </w:rPr>
        <w:lastRenderedPageBreak/>
        <w:t>Zawiadomienie przez obwieszczenie uważa się za dokonane po 14</w:t>
      </w:r>
      <w:r w:rsidR="00EA313B">
        <w:rPr>
          <w:rFonts w:cstheme="minorHAnsi"/>
          <w:bCs/>
          <w:sz w:val="28"/>
          <w:szCs w:val="28"/>
        </w:rPr>
        <w:t> </w:t>
      </w:r>
      <w:r w:rsidRPr="006463C1">
        <w:rPr>
          <w:rFonts w:cstheme="minorHAnsi"/>
          <w:bCs/>
          <w:sz w:val="28"/>
          <w:szCs w:val="28"/>
        </w:rPr>
        <w:t xml:space="preserve">dniach od dnia publicznego ogłoszenia stosownie do art. 49 </w:t>
      </w:r>
      <w:r w:rsidR="00341A2E">
        <w:rPr>
          <w:rFonts w:cstheme="minorHAnsi"/>
          <w:bCs/>
          <w:sz w:val="28"/>
          <w:szCs w:val="28"/>
        </w:rPr>
        <w:t>K.p.a.</w:t>
      </w:r>
    </w:p>
    <w:p w14:paraId="290D72BC" w14:textId="77777777" w:rsidR="00341A2E" w:rsidRDefault="00341A2E" w:rsidP="00341A2E">
      <w:pPr>
        <w:spacing w:after="120" w:line="240" w:lineRule="auto"/>
        <w:ind w:firstLine="708"/>
        <w:jc w:val="both"/>
        <w:rPr>
          <w:rFonts w:eastAsia="Times New Roman" w:cstheme="minorHAnsi"/>
          <w:sz w:val="28"/>
          <w:szCs w:val="28"/>
          <w:lang w:eastAsia="pl-PL"/>
        </w:rPr>
      </w:pPr>
    </w:p>
    <w:p w14:paraId="5E8E26B0" w14:textId="285641D5" w:rsidR="004922DB" w:rsidRPr="003A76C5" w:rsidRDefault="004922DB" w:rsidP="004922DB">
      <w:pPr>
        <w:spacing w:after="120" w:line="240" w:lineRule="auto"/>
        <w:ind w:left="4395"/>
        <w:jc w:val="center"/>
        <w:rPr>
          <w:rFonts w:eastAsia="Times New Roman" w:cstheme="minorHAnsi"/>
          <w:sz w:val="28"/>
          <w:szCs w:val="28"/>
          <w:lang w:eastAsia="pl-PL"/>
        </w:rPr>
      </w:pPr>
      <w:r w:rsidRPr="003A76C5">
        <w:rPr>
          <w:rFonts w:eastAsia="Times New Roman" w:cstheme="minorHAnsi"/>
          <w:sz w:val="28"/>
          <w:szCs w:val="28"/>
          <w:lang w:eastAsia="pl-PL"/>
        </w:rPr>
        <w:t>Adam Lewandowski</w:t>
      </w:r>
    </w:p>
    <w:p w14:paraId="0E6F27ED" w14:textId="77777777" w:rsidR="004922DB" w:rsidRPr="003A76C5" w:rsidRDefault="004922DB" w:rsidP="004922DB">
      <w:pPr>
        <w:spacing w:after="120" w:line="240" w:lineRule="auto"/>
        <w:ind w:left="4395"/>
        <w:jc w:val="center"/>
        <w:rPr>
          <w:rFonts w:eastAsia="Times New Roman" w:cstheme="minorHAnsi"/>
          <w:i/>
          <w:sz w:val="28"/>
          <w:szCs w:val="28"/>
          <w:lang w:eastAsia="pl-PL"/>
        </w:rPr>
      </w:pPr>
      <w:r w:rsidRPr="003A76C5">
        <w:rPr>
          <w:rFonts w:eastAsia="Times New Roman" w:cstheme="minorHAnsi"/>
          <w:sz w:val="28"/>
          <w:szCs w:val="28"/>
          <w:lang w:eastAsia="pl-PL"/>
        </w:rPr>
        <w:t>Burmistrz Śremu</w:t>
      </w:r>
    </w:p>
    <w:p w14:paraId="76350865" w14:textId="77777777" w:rsidR="005A07CF" w:rsidRPr="005A07CF" w:rsidRDefault="005A07CF" w:rsidP="005A07CF">
      <w:pPr>
        <w:spacing w:after="120" w:line="240" w:lineRule="auto"/>
        <w:jc w:val="both"/>
        <w:rPr>
          <w:rFonts w:eastAsia="Times New Roman" w:cstheme="minorHAnsi"/>
          <w:sz w:val="28"/>
          <w:szCs w:val="28"/>
          <w:lang w:eastAsia="pl-PL"/>
        </w:rPr>
      </w:pPr>
    </w:p>
    <w:p w14:paraId="6B8FF1DE" w14:textId="7F2A9AC9" w:rsidR="005A07CF" w:rsidRPr="005A07CF" w:rsidRDefault="005A07CF" w:rsidP="005A07CF">
      <w:pPr>
        <w:spacing w:after="12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9014D5">
        <w:rPr>
          <w:rFonts w:eastAsia="Times New Roman" w:cstheme="minorHAnsi"/>
          <w:sz w:val="28"/>
          <w:szCs w:val="28"/>
          <w:lang w:eastAsia="pl-PL"/>
        </w:rPr>
        <w:t>10.05</w:t>
      </w:r>
      <w:r w:rsidRPr="005A07CF">
        <w:rPr>
          <w:rFonts w:eastAsia="Times New Roman" w:cstheme="minorHAnsi"/>
          <w:sz w:val="28"/>
          <w:szCs w:val="28"/>
          <w:lang w:eastAsia="pl-PL"/>
        </w:rPr>
        <w:t>.2022 r.</w:t>
      </w:r>
    </w:p>
    <w:p w14:paraId="0C3EB023" w14:textId="77777777" w:rsidR="005A07CF" w:rsidRPr="005A07CF" w:rsidRDefault="005A07CF" w:rsidP="005A07CF">
      <w:pPr>
        <w:spacing w:after="120" w:line="240" w:lineRule="auto"/>
        <w:jc w:val="both"/>
        <w:rPr>
          <w:rFonts w:eastAsia="Calibri" w:cstheme="minorHAnsi"/>
          <w:sz w:val="28"/>
          <w:szCs w:val="28"/>
        </w:rPr>
      </w:pPr>
      <w:r w:rsidRPr="005A07CF">
        <w:rPr>
          <w:rFonts w:eastAsia="Calibri" w:cstheme="minorHAnsi"/>
          <w:sz w:val="28"/>
          <w:szCs w:val="28"/>
        </w:rPr>
        <w:t>Zdjęto:</w:t>
      </w:r>
    </w:p>
    <w:p w14:paraId="5BF7E423" w14:textId="77777777" w:rsidR="005A07CF" w:rsidRPr="005A07CF" w:rsidRDefault="005A07CF" w:rsidP="005A07CF">
      <w:pPr>
        <w:spacing w:after="120" w:line="240" w:lineRule="auto"/>
        <w:rPr>
          <w:rFonts w:cstheme="minorHAnsi"/>
          <w:sz w:val="28"/>
          <w:szCs w:val="28"/>
        </w:rPr>
      </w:pPr>
    </w:p>
    <w:p w14:paraId="4FF8001C" w14:textId="2E1C0AAF" w:rsidR="00A80570" w:rsidRDefault="00A80570">
      <w:pPr>
        <w:rPr>
          <w:sz w:val="28"/>
          <w:szCs w:val="28"/>
        </w:rPr>
      </w:pPr>
      <w:r>
        <w:rPr>
          <w:sz w:val="28"/>
          <w:szCs w:val="28"/>
        </w:rPr>
        <w:br w:type="page"/>
      </w:r>
    </w:p>
    <w:p w14:paraId="478C096B" w14:textId="77777777" w:rsidR="00A11C68" w:rsidRPr="00A11C68" w:rsidRDefault="00A11C68" w:rsidP="00A11C68">
      <w:pPr>
        <w:tabs>
          <w:tab w:val="left" w:pos="1985"/>
        </w:tabs>
        <w:spacing w:after="0" w:line="240" w:lineRule="auto"/>
        <w:ind w:right="5810"/>
        <w:jc w:val="center"/>
        <w:rPr>
          <w:rFonts w:ascii="Calibri" w:eastAsia="Times New Roman" w:hAnsi="Calibri" w:cs="Calibri"/>
          <w:sz w:val="28"/>
          <w:szCs w:val="28"/>
          <w:lang w:eastAsia="pl-PL"/>
        </w:rPr>
      </w:pPr>
      <w:r w:rsidRPr="00A11C68">
        <w:rPr>
          <w:rFonts w:ascii="Calibri" w:eastAsia="Times New Roman" w:hAnsi="Calibri" w:cs="Calibri"/>
          <w:sz w:val="28"/>
          <w:szCs w:val="28"/>
          <w:lang w:eastAsia="pl-PL"/>
        </w:rPr>
        <w:lastRenderedPageBreak/>
        <w:t>Burmistrz Śremu</w:t>
      </w:r>
    </w:p>
    <w:p w14:paraId="6252351F" w14:textId="77777777" w:rsidR="00A11C68" w:rsidRPr="00A11C68" w:rsidRDefault="00A11C68" w:rsidP="00A11C68">
      <w:pPr>
        <w:tabs>
          <w:tab w:val="left" w:pos="1985"/>
        </w:tabs>
        <w:spacing w:after="0" w:line="240" w:lineRule="auto"/>
        <w:ind w:right="5810"/>
        <w:jc w:val="center"/>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ul. Plac 20 Października 1</w:t>
      </w:r>
    </w:p>
    <w:p w14:paraId="06CCCBA5" w14:textId="77777777" w:rsidR="00A11C68" w:rsidRPr="00A11C68" w:rsidRDefault="00A11C68" w:rsidP="00A11C68">
      <w:pPr>
        <w:tabs>
          <w:tab w:val="left" w:pos="1985"/>
        </w:tabs>
        <w:spacing w:after="0" w:line="240" w:lineRule="auto"/>
        <w:ind w:right="5810"/>
        <w:jc w:val="center"/>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63-100 Śrem</w:t>
      </w:r>
    </w:p>
    <w:p w14:paraId="79AD2333" w14:textId="77777777" w:rsidR="00A11C68" w:rsidRPr="00A11C68" w:rsidRDefault="00A11C68" w:rsidP="00A11C68">
      <w:pPr>
        <w:tabs>
          <w:tab w:val="left" w:pos="1985"/>
        </w:tabs>
        <w:spacing w:after="120" w:line="240" w:lineRule="auto"/>
        <w:jc w:val="right"/>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Śrem, 10 maja 2022 roku</w:t>
      </w:r>
    </w:p>
    <w:p w14:paraId="022C4674" w14:textId="77777777" w:rsidR="00A11C68" w:rsidRPr="00A11C68" w:rsidRDefault="00A11C68" w:rsidP="00A11C68">
      <w:pPr>
        <w:spacing w:after="12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PPSOŚ.6220.1.2022.BM</w:t>
      </w:r>
    </w:p>
    <w:p w14:paraId="77978B68" w14:textId="77777777" w:rsidR="00A11C68" w:rsidRPr="00A11C68" w:rsidRDefault="00A11C68" w:rsidP="00A11C68">
      <w:pPr>
        <w:spacing w:after="120" w:line="240" w:lineRule="auto"/>
        <w:jc w:val="center"/>
        <w:rPr>
          <w:rFonts w:ascii="Calibri" w:eastAsia="Times New Roman" w:hAnsi="Calibri" w:cs="Calibri"/>
          <w:bCs/>
          <w:sz w:val="28"/>
          <w:szCs w:val="28"/>
          <w:lang w:eastAsia="pl-PL"/>
        </w:rPr>
      </w:pPr>
      <w:r w:rsidRPr="00A11C68">
        <w:rPr>
          <w:rFonts w:ascii="Calibri" w:eastAsia="Times New Roman" w:hAnsi="Calibri" w:cs="Calibri"/>
          <w:bCs/>
          <w:sz w:val="28"/>
          <w:szCs w:val="28"/>
          <w:lang w:eastAsia="pl-PL"/>
        </w:rPr>
        <w:t>Postanowienie</w:t>
      </w:r>
    </w:p>
    <w:p w14:paraId="0BCC08A0" w14:textId="77777777" w:rsidR="00A11C68" w:rsidRPr="00A11C68" w:rsidRDefault="00A11C68" w:rsidP="00A11C68">
      <w:pPr>
        <w:spacing w:after="120" w:line="240" w:lineRule="auto"/>
        <w:ind w:firstLine="708"/>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Na podstawie art. 63 ust. 1 i 4, art. 66 i art. 68 ust. 2 pkt 2 lit. b ustawy z dnia 3 października 2008 r. o udostępnianiu informacji o środowisku i jego ochronie, udziale społeczeństwa w ochronie środowiska oraz o ocenach oddziaływania na środowisko (Dz. U. z 2021 r. poz. 2373 i 2389), zwanej dalej ustawą oraz art. 123 § 1 ustawy z dnia 14 czerwca 1960 r. – Kodeks postępowania administracyjnego (Dz. U. z 2021 r. poz. 735, z późn. zm.), zwanej dalej K.p.a.,</w:t>
      </w:r>
    </w:p>
    <w:p w14:paraId="2D73A5A3" w14:textId="77777777" w:rsidR="00A11C68" w:rsidRPr="00A11C68" w:rsidRDefault="00A11C68" w:rsidP="00A11C68">
      <w:pPr>
        <w:spacing w:after="120" w:line="240" w:lineRule="auto"/>
        <w:jc w:val="center"/>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po rozpatrzeniu</w:t>
      </w:r>
    </w:p>
    <w:p w14:paraId="48A62AF1" w14:textId="77777777" w:rsidR="00A11C68" w:rsidRPr="00A11C68" w:rsidRDefault="00A11C68" w:rsidP="00A11C68">
      <w:pPr>
        <w:spacing w:after="12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 xml:space="preserve">wniosku </w:t>
      </w:r>
      <w:r w:rsidRPr="00A11C68">
        <w:rPr>
          <w:rFonts w:ascii="Calibri" w:eastAsia="Calibri" w:hAnsi="Calibri" w:cs="Calibri"/>
          <w:sz w:val="28"/>
          <w:szCs w:val="28"/>
        </w:rPr>
        <w:t>Green Capital Spółki Akcyjnej z siedzibą w Warszawie, Aleje Jerozolimskie 85/21, 02-001 Warszawa</w:t>
      </w:r>
      <w:r w:rsidRPr="00A11C68">
        <w:rPr>
          <w:rFonts w:ascii="Calibri" w:eastAsia="Times New Roman" w:hAnsi="Calibri" w:cs="Calibri"/>
          <w:sz w:val="28"/>
          <w:szCs w:val="28"/>
          <w:lang w:eastAsia="pl-PL"/>
        </w:rPr>
        <w:t>,</w:t>
      </w:r>
      <w:r w:rsidRPr="00A11C68">
        <w:rPr>
          <w:rFonts w:ascii="Calibri" w:eastAsia="Calibri" w:hAnsi="Calibri" w:cs="Calibri"/>
          <w:sz w:val="28"/>
          <w:szCs w:val="28"/>
        </w:rPr>
        <w:t xml:space="preserve"> o wydanie decyzji o środowiskowych uwarunkowaniach dla planowanego przedsięwzięcia polegającego na </w:t>
      </w:r>
      <w:r w:rsidRPr="00A11C68">
        <w:rPr>
          <w:rFonts w:ascii="Calibri" w:eastAsia="Times New Roman" w:hAnsi="Calibri" w:cs="Calibri"/>
          <w:bCs/>
          <w:sz w:val="28"/>
          <w:szCs w:val="28"/>
          <w:lang w:eastAsia="pl-PL"/>
        </w:rPr>
        <w:t>budowie farmy fotowoltaicznej o mocy do 500 kW oraz trzech zespołów kontenerowych magazynów energii o mocy do 10 MW każdy i jednego zespołu kontenerowych magazynów energii o mocy do 80 MW, o łącznej powierzchni zabudowy do 2,70 ha wraz z niezbędną infrastrukturą techniczną, na działce o numerze ewidencyjnym 421/4, obręb Mechlin</w:t>
      </w:r>
      <w:r w:rsidRPr="00A11C68">
        <w:rPr>
          <w:rFonts w:ascii="Calibri" w:eastAsia="Times New Roman" w:hAnsi="Calibri" w:cs="Calibri"/>
          <w:sz w:val="28"/>
          <w:szCs w:val="28"/>
          <w:lang w:eastAsia="pl-PL"/>
        </w:rPr>
        <w:t>,</w:t>
      </w:r>
    </w:p>
    <w:p w14:paraId="29CA3964" w14:textId="77777777" w:rsidR="00A11C68" w:rsidRPr="00A11C68" w:rsidRDefault="00A11C68" w:rsidP="00A11C68">
      <w:pPr>
        <w:spacing w:after="120" w:line="240" w:lineRule="auto"/>
        <w:jc w:val="center"/>
        <w:rPr>
          <w:rFonts w:ascii="Calibri" w:eastAsia="Times New Roman" w:hAnsi="Calibri" w:cs="Calibri"/>
          <w:bCs/>
          <w:sz w:val="28"/>
          <w:szCs w:val="28"/>
          <w:lang w:eastAsia="pl-PL"/>
        </w:rPr>
      </w:pPr>
      <w:r w:rsidRPr="00A11C68">
        <w:rPr>
          <w:rFonts w:ascii="Calibri" w:eastAsia="Times New Roman" w:hAnsi="Calibri" w:cs="Calibri"/>
          <w:bCs/>
          <w:sz w:val="28"/>
          <w:szCs w:val="28"/>
          <w:lang w:eastAsia="pl-PL"/>
        </w:rPr>
        <w:t>postanawiam</w:t>
      </w:r>
    </w:p>
    <w:p w14:paraId="4E088300" w14:textId="77777777" w:rsidR="00A11C68" w:rsidRPr="00A11C68" w:rsidRDefault="00A11C68" w:rsidP="00A11C68">
      <w:pPr>
        <w:spacing w:after="120" w:line="240" w:lineRule="auto"/>
        <w:jc w:val="both"/>
        <w:rPr>
          <w:rFonts w:ascii="Calibri" w:eastAsia="Times New Roman" w:hAnsi="Calibri" w:cs="Calibri"/>
          <w:sz w:val="28"/>
          <w:szCs w:val="28"/>
          <w:lang w:eastAsia="pl-PL"/>
        </w:rPr>
      </w:pPr>
      <w:r w:rsidRPr="00A11C68">
        <w:rPr>
          <w:rFonts w:ascii="Calibri" w:eastAsia="Times New Roman" w:hAnsi="Calibri" w:cs="Calibri"/>
          <w:b/>
          <w:sz w:val="28"/>
          <w:szCs w:val="28"/>
          <w:lang w:eastAsia="pl-PL"/>
        </w:rPr>
        <w:t>nałożyć obowiązek przeprowadzenia oceny oddziaływania na środowisko</w:t>
      </w:r>
      <w:r w:rsidRPr="00A11C68">
        <w:rPr>
          <w:rFonts w:ascii="Calibri" w:eastAsia="Times New Roman" w:hAnsi="Calibri" w:cs="Calibri"/>
          <w:bCs/>
          <w:sz w:val="28"/>
          <w:szCs w:val="28"/>
          <w:lang w:eastAsia="pl-PL"/>
        </w:rPr>
        <w:t xml:space="preserve"> dla wyżej wymienionego planowanego przedsięwzięcia </w:t>
      </w:r>
      <w:r w:rsidRPr="00A11C68">
        <w:rPr>
          <w:rFonts w:ascii="Calibri" w:eastAsia="Times New Roman" w:hAnsi="Calibri" w:cs="Calibri"/>
          <w:b/>
          <w:sz w:val="28"/>
          <w:szCs w:val="28"/>
          <w:lang w:eastAsia="pl-PL"/>
        </w:rPr>
        <w:t>oraz ustalić zakres raportu</w:t>
      </w:r>
      <w:r w:rsidRPr="00A11C68">
        <w:rPr>
          <w:rFonts w:ascii="Calibri" w:eastAsia="Times New Roman" w:hAnsi="Calibri" w:cs="Calibri"/>
          <w:sz w:val="28"/>
          <w:szCs w:val="28"/>
          <w:lang w:eastAsia="pl-PL"/>
        </w:rPr>
        <w:t>, spełniającego wymogi art. 66 ustawy, w szczególności zawierającego analizę podanych niżej zagadnień:</w:t>
      </w:r>
    </w:p>
    <w:p w14:paraId="37967064" w14:textId="77777777" w:rsidR="00A11C68" w:rsidRPr="00A11C68" w:rsidRDefault="00A11C68" w:rsidP="00A11C68">
      <w:pPr>
        <w:numPr>
          <w:ilvl w:val="0"/>
          <w:numId w:val="15"/>
        </w:numPr>
        <w:spacing w:after="120" w:line="240" w:lineRule="auto"/>
        <w:ind w:left="284" w:hanging="284"/>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Przedstawienie wyczerpującej charakterystyki przedsięwzięcia z uwzględnieniem planowanych rozwiązań technologicznych, podaniem ilościowym rozmieszczenia poszczególnych elementów instalacji szczególnie magazynów energii.</w:t>
      </w:r>
    </w:p>
    <w:p w14:paraId="21627A8E" w14:textId="77777777" w:rsidR="00A11C68" w:rsidRPr="00A11C68" w:rsidRDefault="00A11C68" w:rsidP="00A11C68">
      <w:pPr>
        <w:numPr>
          <w:ilvl w:val="0"/>
          <w:numId w:val="15"/>
        </w:numPr>
        <w:spacing w:after="120" w:line="240" w:lineRule="auto"/>
        <w:ind w:left="284" w:hanging="284"/>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Przedstawienie załącznika graficznego opatrzonego legendą, na którym zaprezentowana zostanie lokalizacja głównych elementów instalacji.</w:t>
      </w:r>
    </w:p>
    <w:p w14:paraId="5A046556" w14:textId="77777777" w:rsidR="00A11C68" w:rsidRPr="00A11C68" w:rsidRDefault="00A11C68" w:rsidP="00A11C68">
      <w:pPr>
        <w:spacing w:after="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br w:type="page"/>
      </w:r>
    </w:p>
    <w:p w14:paraId="75B08694" w14:textId="77777777" w:rsidR="00A11C68" w:rsidRPr="00A11C68" w:rsidRDefault="00A11C68" w:rsidP="00A11C68">
      <w:pPr>
        <w:numPr>
          <w:ilvl w:val="0"/>
          <w:numId w:val="15"/>
        </w:numPr>
        <w:spacing w:after="120" w:line="240" w:lineRule="auto"/>
        <w:ind w:left="284" w:hanging="284"/>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lastRenderedPageBreak/>
        <w:t>Z zakresu ochrony przed hałasem:</w:t>
      </w:r>
    </w:p>
    <w:p w14:paraId="1027E304" w14:textId="77777777" w:rsidR="00A11C68" w:rsidRPr="00A11C68" w:rsidRDefault="00A11C68" w:rsidP="00A11C68">
      <w:pPr>
        <w:numPr>
          <w:ilvl w:val="0"/>
          <w:numId w:val="16"/>
        </w:numPr>
        <w:spacing w:after="120" w:line="240" w:lineRule="auto"/>
        <w:ind w:left="567" w:hanging="283"/>
        <w:contextualSpacing/>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określenie zagospodarowania i przeznaczenia terenu zgodnie z art. 113 i 115 ustawy z dnia 27 kwietnia 2001 r. - Prawo ochrony środowiska (Dz. U. z 2021 r. poz. 1973, z późn. zm.) oraz rozporządzeniem Ministra Środowiska z dnia 14 czerwca 2007 r. w sprawie dopuszczalnych poziomów hałasu w środowisku (Dz. U. z 2014 r. poz. 112). Obszary występowania terenów wymagających ochrony akustycznej zaznaczyć na mapie i wyróżnić ze względu na uwarunkowania akustyczne. Zgodnie z art. 113 ust. 2 pkt 1 wyżej wymienionej ustawy dopuszczalne poziomy hałasu zostały zróżnicowane dla terenów faktycznie zagospodarowanych;</w:t>
      </w:r>
    </w:p>
    <w:p w14:paraId="653CBEAF" w14:textId="77777777" w:rsidR="00A11C68" w:rsidRPr="00A11C68" w:rsidRDefault="00A11C68" w:rsidP="00A11C68">
      <w:pPr>
        <w:numPr>
          <w:ilvl w:val="0"/>
          <w:numId w:val="16"/>
        </w:numPr>
        <w:spacing w:after="120" w:line="240" w:lineRule="auto"/>
        <w:ind w:left="567" w:hanging="283"/>
        <w:contextualSpacing/>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określenie odległości przedsięwzięcia od najbliżej położonych terenów podlegających ochronie akustycznej;</w:t>
      </w:r>
    </w:p>
    <w:p w14:paraId="666C1C2F" w14:textId="77777777" w:rsidR="00A11C68" w:rsidRPr="00A11C68" w:rsidRDefault="00A11C68" w:rsidP="00A11C68">
      <w:pPr>
        <w:numPr>
          <w:ilvl w:val="0"/>
          <w:numId w:val="16"/>
        </w:numPr>
        <w:spacing w:after="120" w:line="240" w:lineRule="auto"/>
        <w:ind w:left="567" w:hanging="283"/>
        <w:contextualSpacing/>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zinwentaryzowanie źródeł hałasu na terenie przedsięwzięcia wraz z podaniem poziomów mocy akustycznej i określeniem czasu pracy w ciągu najmniej korzystnych ośmiu godzin pory dnia i jednej najmniej korzystnej godziny pory nocy oraz analizę wszystkich wariantów realizacji przedsięwzięcia oraz wariantu wybranego do realizacji;</w:t>
      </w:r>
    </w:p>
    <w:p w14:paraId="5C822465" w14:textId="77777777" w:rsidR="00A11C68" w:rsidRPr="00A11C68" w:rsidRDefault="00A11C68" w:rsidP="00A11C68">
      <w:pPr>
        <w:numPr>
          <w:ilvl w:val="0"/>
          <w:numId w:val="16"/>
        </w:numPr>
        <w:spacing w:after="120" w:line="240" w:lineRule="auto"/>
        <w:ind w:left="567" w:hanging="283"/>
        <w:contextualSpacing/>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określenie przewidywanych poziomów hałasu na najbliżej położonych terenach, dla których w przepisach odrębnych określone zostały dopuszczalne poziomy hałasu w środowisku wraz z graficznym załącznikiem prezentującym rozprzestrzenianie się hałasu w środowisku;</w:t>
      </w:r>
    </w:p>
    <w:p w14:paraId="07BB110F" w14:textId="77777777" w:rsidR="00A11C68" w:rsidRPr="00A11C68" w:rsidRDefault="00A11C68" w:rsidP="00A11C68">
      <w:pPr>
        <w:numPr>
          <w:ilvl w:val="0"/>
          <w:numId w:val="16"/>
        </w:numPr>
        <w:spacing w:after="120" w:line="240" w:lineRule="auto"/>
        <w:ind w:left="567" w:hanging="283"/>
        <w:contextualSpacing/>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dołączenie DTR (Dokumentacja Techniczno-Ruchowa) lub danych producenta elementów infrastruktury farmy fotowoltaicznej będących źródłem hałasu, zawierających w szczególności ich poziom mocy akustycznej, celem weryfikacji wartości przyjętych do obliczeń w programie modelującym rozprzestrzenianie się hałasu w środowisku.</w:t>
      </w:r>
    </w:p>
    <w:p w14:paraId="2E8A222D" w14:textId="77777777" w:rsidR="00A11C68" w:rsidRPr="00A11C68" w:rsidRDefault="00A11C68" w:rsidP="00A11C68">
      <w:pPr>
        <w:numPr>
          <w:ilvl w:val="0"/>
          <w:numId w:val="15"/>
        </w:numPr>
        <w:spacing w:after="120" w:line="240" w:lineRule="auto"/>
        <w:ind w:left="284" w:hanging="284"/>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Z zakresu ochrony powierzchni ziemi: przedstawienie zakresu prac związanych z robotami ziemnymi, koniecznymi do realizacji przedsięwzięcia; określenie sposobu zagospodarowania mas ziemnych.</w:t>
      </w:r>
    </w:p>
    <w:p w14:paraId="044DD4E5" w14:textId="77777777" w:rsidR="00A11C68" w:rsidRPr="00A11C68" w:rsidRDefault="00A11C68" w:rsidP="00A11C68">
      <w:pPr>
        <w:numPr>
          <w:ilvl w:val="0"/>
          <w:numId w:val="15"/>
        </w:numPr>
        <w:spacing w:after="120" w:line="240" w:lineRule="auto"/>
        <w:ind w:left="284" w:hanging="284"/>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Z zakresu ryzyka wystąpienia poważnych awarii lub katastrof naturalnych i budowlanych: dokonanie analizy ryzyka biorąc pod uwagę substancje używane w magazynach energii w tym między innymi zagrożenie pożarowe oraz narażenie na katastrofy naturalne szczególnie powodzie; przedstawienie możliwych działań minimalizujących.</w:t>
      </w:r>
    </w:p>
    <w:p w14:paraId="38ECFFAD" w14:textId="77777777" w:rsidR="00A11C68" w:rsidRPr="00A11C68" w:rsidRDefault="00A11C68" w:rsidP="00A11C68">
      <w:pPr>
        <w:spacing w:after="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br w:type="page"/>
      </w:r>
    </w:p>
    <w:p w14:paraId="7719694F" w14:textId="77777777" w:rsidR="00A11C68" w:rsidRPr="00A11C68" w:rsidRDefault="00A11C68" w:rsidP="00A11C68">
      <w:pPr>
        <w:numPr>
          <w:ilvl w:val="0"/>
          <w:numId w:val="15"/>
        </w:numPr>
        <w:spacing w:after="120" w:line="240" w:lineRule="auto"/>
        <w:ind w:left="284" w:hanging="284"/>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lastRenderedPageBreak/>
        <w:t>Z zakresu ochrony klimatu: wyjaśnienie, w jaki sposób przedsięwzięcie może wpłynąć na zmiany klimatu i czy przewidziano rozwiązania łagodzące te zmiany; dokonanie oceny odporności przedsięwzięcia na przewidywane zmiany klimatu, to jest wyjaśnienie czy przedsięwzięcie będzie przystosowane do postępujących zmian klimatu uwzględniając elementy związane z klęskami żywiołowymi na przykład silne wiatry, susza, pożary, fale upałów i mrozów, nawalne deszcze i burze, intensywne opady śniegu, a szczególnie powodzie; opisanie ewentualnych działań minimalizujących.</w:t>
      </w:r>
    </w:p>
    <w:p w14:paraId="24E9F742" w14:textId="77777777" w:rsidR="00A11C68" w:rsidRPr="00A11C68" w:rsidRDefault="00A11C68" w:rsidP="00A11C68">
      <w:pPr>
        <w:numPr>
          <w:ilvl w:val="0"/>
          <w:numId w:val="15"/>
        </w:numPr>
        <w:spacing w:after="120" w:line="240" w:lineRule="auto"/>
        <w:ind w:left="284" w:hanging="284"/>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Z zakresu ochrony przyrody i bioróżnorodności:</w:t>
      </w:r>
    </w:p>
    <w:p w14:paraId="3EBF66AF" w14:textId="77777777" w:rsidR="00A11C68" w:rsidRPr="00A11C68" w:rsidRDefault="00A11C68" w:rsidP="00A11C68">
      <w:pPr>
        <w:numPr>
          <w:ilvl w:val="0"/>
          <w:numId w:val="17"/>
        </w:numPr>
        <w:spacing w:after="120" w:line="240" w:lineRule="auto"/>
        <w:ind w:left="567" w:hanging="283"/>
        <w:contextualSpacing/>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przedstawienie informacji na temat występowania na danym terenie oraz w jego sąsiedztwie chronionych gatunków roślin, zwierząt i grzybów wraz z podaniem źródła danych;</w:t>
      </w:r>
    </w:p>
    <w:p w14:paraId="4FD31AE5" w14:textId="77777777" w:rsidR="00A11C68" w:rsidRPr="00A11C68" w:rsidRDefault="00A11C68" w:rsidP="00A11C68">
      <w:pPr>
        <w:numPr>
          <w:ilvl w:val="0"/>
          <w:numId w:val="17"/>
        </w:numPr>
        <w:spacing w:after="120" w:line="240" w:lineRule="auto"/>
        <w:ind w:left="567" w:hanging="283"/>
        <w:contextualSpacing/>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przedstawienie wpływu przedsięwzięcia na środowisko przyrodnicze, a także przedstawienie propozycji zastosowania środków ograniczających ewentualny negatywny wpływ na środowisko przyrodnicze oraz krajobraz na etapie realizacji i eksploatacji przedsięwzięcia;</w:t>
      </w:r>
    </w:p>
    <w:p w14:paraId="70BB9C6E" w14:textId="77777777" w:rsidR="00A11C68" w:rsidRPr="00A11C68" w:rsidRDefault="00A11C68" w:rsidP="00A11C68">
      <w:pPr>
        <w:numPr>
          <w:ilvl w:val="0"/>
          <w:numId w:val="17"/>
        </w:numPr>
        <w:spacing w:after="120" w:line="240" w:lineRule="auto"/>
        <w:ind w:left="567" w:hanging="283"/>
        <w:contextualSpacing/>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dokonanie oceny wpływu planowanego przedsięwzięcia na bioróżnorodność i wyjaśnienie, czy przedsięwzięcie wpłynie na utratę różnorodności gatunków, w tym gatunków chronionych na mocy przepisów dyrektywy siedliskowej i dyrektywy ptasiej oraz czy wpłynie na bogactwo gatunków lub skład gatunkowy siedlisk na badanym obszarze.</w:t>
      </w:r>
    </w:p>
    <w:p w14:paraId="686D0E9C" w14:textId="77777777" w:rsidR="00A11C68" w:rsidRPr="00A11C68" w:rsidRDefault="00A11C68" w:rsidP="00A11C68">
      <w:pPr>
        <w:numPr>
          <w:ilvl w:val="0"/>
          <w:numId w:val="15"/>
        </w:numPr>
        <w:spacing w:after="120" w:line="240" w:lineRule="auto"/>
        <w:ind w:left="284" w:hanging="284"/>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Przedstawienie działań zmniejszających możliwe konflikty społeczne.</w:t>
      </w:r>
    </w:p>
    <w:p w14:paraId="3AD6712E" w14:textId="77777777" w:rsidR="00A11C68" w:rsidRPr="00A11C68" w:rsidRDefault="00A11C68" w:rsidP="00A11C68">
      <w:pPr>
        <w:spacing w:after="120" w:line="240" w:lineRule="auto"/>
        <w:jc w:val="center"/>
        <w:rPr>
          <w:rFonts w:ascii="Calibri" w:eastAsia="Times New Roman" w:hAnsi="Calibri" w:cs="Calibri"/>
          <w:bCs/>
          <w:sz w:val="28"/>
          <w:szCs w:val="28"/>
          <w:lang w:eastAsia="pl-PL"/>
        </w:rPr>
      </w:pPr>
      <w:r w:rsidRPr="00A11C68">
        <w:rPr>
          <w:rFonts w:ascii="Calibri" w:eastAsia="Times New Roman" w:hAnsi="Calibri" w:cs="Calibri"/>
          <w:bCs/>
          <w:sz w:val="28"/>
          <w:szCs w:val="28"/>
          <w:lang w:eastAsia="pl-PL"/>
        </w:rPr>
        <w:t>Uzasadnienie</w:t>
      </w:r>
    </w:p>
    <w:p w14:paraId="4FC0CAE0" w14:textId="77777777" w:rsidR="00A11C68" w:rsidRPr="00A11C68" w:rsidRDefault="00A11C68" w:rsidP="00A11C68">
      <w:pPr>
        <w:spacing w:after="12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ab/>
      </w:r>
      <w:r w:rsidRPr="00A11C68">
        <w:rPr>
          <w:rFonts w:ascii="Calibri" w:eastAsia="Calibri" w:hAnsi="Calibri" w:cs="Calibri"/>
          <w:sz w:val="28"/>
          <w:szCs w:val="28"/>
        </w:rPr>
        <w:t>10.01.2022 r. do Burmistrza Śremu wpłynął wniosek Green Capital Spółki Akcyjnej z siedzibą w Warszawie, Aleje Jerozolimskie 85/21, 02-001 Warszawa, działającej przez pełnomocnika Panią Sylwię Kupc, uzupełniony 21.02.2022 r., 31.03.2022 r. i 01.04.2022 r., o wydanie decyzji o środowiskowych uwarunkowaniach dla planowanego przedsięwzięcia polegającego na budowie farmy fotowoltaicznej o mocy do 500 kW oraz trzech zespołów kontenerowych magazynów energii o mocy do 10 MW każdy i jednego zespołu kontenerowych magazynów energii o mocy do 80 MW, o łącznej powierzchni zabudowy do 2,70 ha wraz z niezbędną infrastrukturą techniczną, na działce o numerze ewidencyjnym 421/4, obręb Mechlin. Do wniosku załączona została karta informacyjna przedsięwzięcia wraz z wymaganymi załącznikami</w:t>
      </w:r>
      <w:r w:rsidRPr="00A11C68">
        <w:rPr>
          <w:rFonts w:ascii="Calibri" w:eastAsia="Times New Roman" w:hAnsi="Calibri" w:cs="Calibri"/>
          <w:sz w:val="28"/>
          <w:szCs w:val="28"/>
          <w:lang w:eastAsia="pl-PL"/>
        </w:rPr>
        <w:t xml:space="preserve">. </w:t>
      </w:r>
    </w:p>
    <w:p w14:paraId="3233D30F" w14:textId="77777777" w:rsidR="00A11C68" w:rsidRPr="00A11C68" w:rsidRDefault="00A11C68" w:rsidP="00A11C68">
      <w:pPr>
        <w:spacing w:after="0" w:line="240" w:lineRule="auto"/>
        <w:jc w:val="both"/>
        <w:rPr>
          <w:rFonts w:ascii="Calibri" w:eastAsia="Calibri" w:hAnsi="Calibri" w:cs="Calibri"/>
          <w:sz w:val="28"/>
          <w:szCs w:val="28"/>
        </w:rPr>
      </w:pPr>
      <w:r w:rsidRPr="00A11C68">
        <w:rPr>
          <w:rFonts w:ascii="Calibri" w:eastAsia="Calibri" w:hAnsi="Calibri" w:cs="Calibri"/>
          <w:sz w:val="28"/>
          <w:szCs w:val="28"/>
        </w:rPr>
        <w:br w:type="page"/>
      </w:r>
    </w:p>
    <w:p w14:paraId="0934BE92" w14:textId="77777777" w:rsidR="00A11C68" w:rsidRPr="00A11C68" w:rsidRDefault="00A11C68" w:rsidP="00A11C68">
      <w:pPr>
        <w:spacing w:after="120" w:line="240" w:lineRule="auto"/>
        <w:ind w:firstLine="708"/>
        <w:jc w:val="both"/>
        <w:rPr>
          <w:rFonts w:ascii="Calibri" w:eastAsia="Times New Roman" w:hAnsi="Calibri" w:cs="Calibri"/>
          <w:sz w:val="28"/>
          <w:szCs w:val="28"/>
          <w:lang w:eastAsia="pl-PL"/>
        </w:rPr>
      </w:pPr>
      <w:r w:rsidRPr="00A11C68">
        <w:rPr>
          <w:rFonts w:ascii="Calibri" w:eastAsia="Calibri" w:hAnsi="Calibri" w:cs="Calibri"/>
          <w:sz w:val="28"/>
          <w:szCs w:val="28"/>
        </w:rPr>
        <w:lastRenderedPageBreak/>
        <w:t xml:space="preserve">Planowane przedsięwzięcie będzie obejmować w szczególności montaż paneli fotowoltaicznych, stacji transformatorowej, kontenerowych magazynów energii, linii energetyczno-światłowodowych oraz budowę drogi wewnętrznej, na terenie o łącznej powierzchni do 2,7 ha. </w:t>
      </w:r>
    </w:p>
    <w:p w14:paraId="477F8B87" w14:textId="77777777" w:rsidR="00A11C68" w:rsidRPr="00A11C68" w:rsidRDefault="00A11C68" w:rsidP="00A11C68">
      <w:pPr>
        <w:spacing w:after="120" w:line="240" w:lineRule="auto"/>
        <w:ind w:firstLine="708"/>
        <w:jc w:val="both"/>
        <w:rPr>
          <w:rFonts w:ascii="Calibri" w:eastAsia="Calibri" w:hAnsi="Calibri" w:cs="Calibri"/>
          <w:sz w:val="28"/>
          <w:szCs w:val="28"/>
        </w:rPr>
      </w:pPr>
      <w:r w:rsidRPr="00A11C68">
        <w:rPr>
          <w:rFonts w:ascii="Calibri" w:eastAsia="Calibri" w:hAnsi="Calibri" w:cs="Calibri"/>
          <w:bCs/>
          <w:sz w:val="28"/>
          <w:szCs w:val="28"/>
        </w:rPr>
        <w:t>Przedmiotowe przedsięwzięcie zakwalifikowano do przedsięwzięć mogących potencjalnie znacząco oddziaływać na środowisko, dla których obowiązek przeprowadzenia oceny oddziaływania na środowisko może być stwierdzony,</w:t>
      </w:r>
      <w:r w:rsidRPr="00A11C68">
        <w:rPr>
          <w:rFonts w:ascii="Calibri" w:eastAsia="Calibri" w:hAnsi="Calibri" w:cs="Calibri"/>
          <w:sz w:val="28"/>
          <w:szCs w:val="28"/>
        </w:rPr>
        <w:t xml:space="preserve"> wymienionych w rozporządzeniu Rady Ministrów z dnia 10 września 2019 r. w sprawie przedsięwzięć mogących znacząco oddziaływać na środowisko w § 3 ust. 1 pkt 54 lit. b: „zabudowa przemysłowa, w tym zabudowa systemami fotowoltaicznymi, lub magazynowa, wraz z towarzyszącą jej infrastrukturą, o powierzchni zabudowy nie mniejszej niż 1 ha na obszarach innych niż wymienione w lit. a</w:t>
      </w:r>
      <w:r w:rsidRPr="00A11C68">
        <w:rPr>
          <w:rFonts w:ascii="Calibri" w:eastAsia="Calibri" w:hAnsi="Calibri" w:cs="Calibri"/>
          <w:sz w:val="28"/>
          <w:szCs w:val="28"/>
          <w:vertAlign w:val="superscript"/>
        </w:rPr>
        <w:footnoteReference w:id="1"/>
      </w:r>
      <w:r w:rsidRPr="00A11C68">
        <w:rPr>
          <w:rFonts w:ascii="Calibri" w:eastAsia="Calibri" w:hAnsi="Calibri" w:cs="Calibri"/>
          <w:sz w:val="28"/>
          <w:szCs w:val="28"/>
        </w:rPr>
        <w:t>”. Zgodnie z § 1 ust. 2 pkt 2 rozporządzenia przez powierzchnię zabudowy rozumie się powierzchnię terenu zajętą przez obiekty budowlane oraz pozostałą powierzchnię przeznaczoną do przekształcenia, w tym tymczasowego, w celu realizacji przedsięwzięcia.</w:t>
      </w:r>
    </w:p>
    <w:p w14:paraId="0318A57F" w14:textId="77777777" w:rsidR="00A11C68" w:rsidRPr="00A11C68" w:rsidRDefault="00A11C68" w:rsidP="00A11C68">
      <w:pPr>
        <w:spacing w:after="120" w:line="240" w:lineRule="auto"/>
        <w:ind w:firstLine="708"/>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 xml:space="preserve">Zgodnie z art. 64 ust. 1 ustawy Burmistrz Śremu, pismami z 04.04.2022 r., wystąpił do Państwowego Powiatowego Inspektora Sanitarnego w Śremie, Wielkopolskiego Państwowego Wojewódzkiego Inspektora Sanitarnego,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63919861" w14:textId="77777777" w:rsidR="00A11C68" w:rsidRPr="00A11C68" w:rsidRDefault="00A11C68" w:rsidP="00A11C68">
      <w:pPr>
        <w:spacing w:after="0" w:line="240" w:lineRule="auto"/>
        <w:jc w:val="both"/>
        <w:rPr>
          <w:rFonts w:ascii="Calibri" w:eastAsia="Times New Roman" w:hAnsi="Calibri" w:cs="Calibri"/>
          <w:bCs/>
          <w:sz w:val="28"/>
          <w:szCs w:val="28"/>
          <w:lang w:eastAsia="pl-PL"/>
        </w:rPr>
      </w:pPr>
      <w:r w:rsidRPr="00A11C68">
        <w:rPr>
          <w:rFonts w:ascii="Calibri" w:eastAsia="Times New Roman" w:hAnsi="Calibri" w:cs="Calibri"/>
          <w:bCs/>
          <w:sz w:val="28"/>
          <w:szCs w:val="28"/>
          <w:lang w:eastAsia="pl-PL"/>
        </w:rPr>
        <w:br w:type="page"/>
      </w:r>
    </w:p>
    <w:p w14:paraId="638FB7A0" w14:textId="77777777" w:rsidR="00A11C68" w:rsidRPr="00A11C68" w:rsidRDefault="00A11C68" w:rsidP="00A11C68">
      <w:pPr>
        <w:spacing w:after="120" w:line="240" w:lineRule="auto"/>
        <w:ind w:firstLine="708"/>
        <w:jc w:val="both"/>
        <w:rPr>
          <w:rFonts w:ascii="Calibri" w:eastAsia="Times New Roman" w:hAnsi="Calibri" w:cs="Calibri"/>
          <w:bCs/>
          <w:sz w:val="28"/>
          <w:szCs w:val="28"/>
          <w:lang w:eastAsia="pl-PL"/>
        </w:rPr>
      </w:pPr>
      <w:r w:rsidRPr="00A11C68">
        <w:rPr>
          <w:rFonts w:ascii="Calibri" w:eastAsia="Times New Roman" w:hAnsi="Calibri" w:cs="Calibri"/>
          <w:bCs/>
          <w:sz w:val="28"/>
          <w:szCs w:val="28"/>
          <w:lang w:eastAsia="pl-PL"/>
        </w:rPr>
        <w:lastRenderedPageBreak/>
        <w:t>Dyrektor Zarządu Zlewni Państwowego Gospodarstwa Wodnego Wody Polskie w Poznaniu, w piśmie 08.04.2022 r. znak PO.ZZŚ.4.435.206.2022.MS.1, nie stwierdził potrzeby przeprowadzenia oceny oddziaływania planowanego przedsięwzięcia na środowisko, wskazując, co następuje: „Mając na względzie charakter i skalę oddziaływania, zastosowane rozwiązania i technologie stwierdza się brak możliwości znaczącego oddziaływania na pozostające w zasięgu oddziaływania jednolite części wód i nie stwierdza się negatywnego oddziaływania przedmiotowego przedsięwzięcia, stwarzającego zagrożenie dla realizacji celów środowiskowych, o których mowa w art. 56, art. 57, art. 59 i art. 61 ustawy z dnia 20 lipca 2017 r. - Prawo wodne, a określonych dla tych części wód w „Planie gospodarowania wodami na obszarze dorzecza Odry”, przyjętym rozporządzeniem Rady Ministrów z dnia 18 października 2016 r. (Dz. U. z 2016 r., poz. 1967).”.</w:t>
      </w:r>
    </w:p>
    <w:p w14:paraId="1B8465AB" w14:textId="77777777" w:rsidR="00A11C68" w:rsidRPr="00A11C68" w:rsidRDefault="00A11C68" w:rsidP="00A11C68">
      <w:pPr>
        <w:spacing w:after="120" w:line="240" w:lineRule="auto"/>
        <w:ind w:firstLine="708"/>
        <w:jc w:val="both"/>
        <w:rPr>
          <w:rFonts w:ascii="Calibri" w:eastAsia="Times New Roman" w:hAnsi="Calibri" w:cs="Calibri"/>
          <w:bCs/>
          <w:sz w:val="28"/>
          <w:szCs w:val="28"/>
          <w:lang w:eastAsia="pl-PL"/>
        </w:rPr>
      </w:pPr>
      <w:r w:rsidRPr="00A11C68">
        <w:rPr>
          <w:rFonts w:ascii="Calibri" w:eastAsia="Times New Roman" w:hAnsi="Calibri" w:cs="Calibri"/>
          <w:bCs/>
          <w:sz w:val="28"/>
          <w:szCs w:val="28"/>
          <w:lang w:eastAsia="pl-PL"/>
        </w:rPr>
        <w:t xml:space="preserve">Wielkopolski Państwowy Wojewódzki Inspektor Sanitarny, w piśmie z 13.04.2022 r. znak DN-NS.9011.463.2022, wyraził opinię o braku konieczności przeprowadzenia oceny oddziaływania na środowisko, wskazując, że: „planowane przedsięwzięcie nie będzie stanowić zagrożenia dla zdrowia ludzi, ponieważ natężenie pola elektrycznego i magnetycznego nie przekroczy wartości określonych w rozporządzeniu Ministra Zdrowia z dnia 17 grudnia 2019 r. w sprawie dopuszczalnych poziomów elektromagnetycznych w środowisku (Dz. U. z 2019 r., poz. 2448).”. </w:t>
      </w:r>
    </w:p>
    <w:p w14:paraId="413D2438" w14:textId="77777777" w:rsidR="00A11C68" w:rsidRPr="00A11C68" w:rsidRDefault="00A11C68" w:rsidP="00A11C68">
      <w:pPr>
        <w:spacing w:after="120" w:line="240" w:lineRule="auto"/>
        <w:ind w:firstLine="708"/>
        <w:jc w:val="both"/>
        <w:rPr>
          <w:rFonts w:ascii="Calibri" w:eastAsia="Times New Roman" w:hAnsi="Calibri" w:cs="Calibri"/>
          <w:bCs/>
          <w:sz w:val="28"/>
          <w:szCs w:val="28"/>
          <w:lang w:eastAsia="pl-PL"/>
        </w:rPr>
      </w:pPr>
      <w:r w:rsidRPr="00A11C68">
        <w:rPr>
          <w:rFonts w:ascii="Calibri" w:eastAsia="Times New Roman" w:hAnsi="Calibri" w:cs="Calibri"/>
          <w:bCs/>
          <w:sz w:val="28"/>
          <w:szCs w:val="28"/>
          <w:lang w:eastAsia="pl-PL"/>
        </w:rPr>
        <w:t xml:space="preserve">Państwowy Powiatowy Inspektor Sanitarny w Śremie, w piśmie z 14.04.2021 r. znak ON-NS.9011.18.15.2022, wyraził opinię, że przeprowadzenie oceny oddziaływania na środowisko nie jest wymagane, wskazując, co następuje: „W związku z planowanym przedsięwzięciem nieuniknione jest wystąpienie emisji gazów i pyłów do powietrza, która będzie miała charakter czasowy i lokalny, a związana będzie jedynie z prowadzeniem prac montażowych oraz eksploatacji maszyn budowlanych i środków transportu. Ponadto prace inwestycyjne w czasie budowy będą źródłem emisji hałasu. Mając na uwadze ograniczenia wszelkich prac wyłącznie do pory dziennej, przestrzeganiu reżimu techniczno-technologicznego, przestrzeganiu zasad bezpieczeństwa i higieny pracy oraz wykorzystania sprawnego sprzętu uznać należy, że niedogodności te będą miały charakter krótkotrwały i przejściowy.”. </w:t>
      </w:r>
    </w:p>
    <w:p w14:paraId="61A33CAD" w14:textId="77777777" w:rsidR="00A11C68" w:rsidRPr="00A11C68" w:rsidRDefault="00A11C68" w:rsidP="00A11C68">
      <w:pPr>
        <w:spacing w:after="0" w:line="240" w:lineRule="auto"/>
        <w:jc w:val="both"/>
        <w:rPr>
          <w:rFonts w:ascii="Calibri" w:eastAsia="Times New Roman" w:hAnsi="Calibri" w:cs="Calibri"/>
          <w:bCs/>
          <w:sz w:val="28"/>
          <w:szCs w:val="28"/>
          <w:lang w:eastAsia="pl-PL"/>
        </w:rPr>
      </w:pPr>
      <w:r w:rsidRPr="00A11C68">
        <w:rPr>
          <w:rFonts w:ascii="Calibri" w:eastAsia="Times New Roman" w:hAnsi="Calibri" w:cs="Calibri"/>
          <w:bCs/>
          <w:sz w:val="28"/>
          <w:szCs w:val="28"/>
          <w:lang w:eastAsia="pl-PL"/>
        </w:rPr>
        <w:br w:type="page"/>
      </w:r>
    </w:p>
    <w:p w14:paraId="4E5BABDD" w14:textId="77777777" w:rsidR="00A11C68" w:rsidRPr="00A11C68" w:rsidRDefault="00A11C68" w:rsidP="00A11C68">
      <w:pPr>
        <w:spacing w:after="120" w:line="240" w:lineRule="auto"/>
        <w:ind w:firstLine="708"/>
        <w:jc w:val="both"/>
        <w:rPr>
          <w:rFonts w:ascii="Calibri" w:eastAsia="Times New Roman" w:hAnsi="Calibri" w:cs="Calibri"/>
          <w:bCs/>
          <w:sz w:val="28"/>
          <w:szCs w:val="28"/>
          <w:lang w:eastAsia="pl-PL"/>
        </w:rPr>
      </w:pPr>
      <w:r w:rsidRPr="00A11C68">
        <w:rPr>
          <w:rFonts w:ascii="Calibri" w:eastAsia="Times New Roman" w:hAnsi="Calibri" w:cs="Calibri"/>
          <w:bCs/>
          <w:sz w:val="28"/>
          <w:szCs w:val="28"/>
          <w:lang w:eastAsia="pl-PL"/>
        </w:rPr>
        <w:lastRenderedPageBreak/>
        <w:t>Regionalny Dyrektor Ochrony Środowiska w Poznaniu, w piśmie 05.05.2022 r. znak WOO-IV.4220.411.2022.GL.2, wyraził opinię, że dla planowanego przedsięwzięcia istnieje potrzeba przeprowadzenia oceny oddziaływania na środowisko i ustalił zakres raportu o oddziaływaniu na środowisko. Organ opiniujący wskazał między innymi, co następuje: „(…) istnieje duża rozpiętość przedsięwzięcia pod względem deklarowanych ilości magazynów energii planowanych do zamontowania – od 1 do 110. Biorąc pod uwagę wielkość i charakterystykę techniczną pojedynczego urządzenia tego typu, skala oddziaływania na środowisko jest między innymi uzależniona od ilości zainstalowanych na danym terenie magazynów energii. Opis przedsięwzięcia i jego oddziaływanie na środowisko zawarty w k.i.p.</w:t>
      </w:r>
      <w:r w:rsidRPr="00A11C68">
        <w:rPr>
          <w:rFonts w:ascii="Calibri" w:eastAsia="Times New Roman" w:hAnsi="Calibri" w:cs="Calibri"/>
          <w:bCs/>
          <w:sz w:val="28"/>
          <w:szCs w:val="28"/>
          <w:vertAlign w:val="superscript"/>
          <w:lang w:eastAsia="pl-PL"/>
        </w:rPr>
        <w:footnoteReference w:id="2"/>
      </w:r>
      <w:r w:rsidRPr="00A11C68">
        <w:rPr>
          <w:rFonts w:ascii="Calibri" w:eastAsia="Times New Roman" w:hAnsi="Calibri" w:cs="Calibri"/>
          <w:bCs/>
          <w:sz w:val="28"/>
          <w:szCs w:val="28"/>
          <w:lang w:eastAsia="pl-PL"/>
        </w:rPr>
        <w:t xml:space="preserve"> jest w związku z tym niepełny, dotyczy on raczej pojedynczego urządzenia a nie zakładanej, maksymalnej ilości planowanych magazynów energii. W związku z tym niemożliwe jest dokonanie analizy wpływu przedsięwzięcia na środowisko, która byłaby zgodna z art. 63 ust.1 ustawy ooś</w:t>
      </w:r>
      <w:r w:rsidRPr="00A11C68">
        <w:rPr>
          <w:rFonts w:ascii="Calibri" w:eastAsia="Times New Roman" w:hAnsi="Calibri" w:cs="Calibri"/>
          <w:bCs/>
          <w:sz w:val="28"/>
          <w:szCs w:val="28"/>
          <w:vertAlign w:val="superscript"/>
          <w:lang w:eastAsia="pl-PL"/>
        </w:rPr>
        <w:footnoteReference w:id="3"/>
      </w:r>
      <w:r w:rsidRPr="00A11C68">
        <w:rPr>
          <w:rFonts w:ascii="Calibri" w:eastAsia="Times New Roman" w:hAnsi="Calibri" w:cs="Calibri"/>
          <w:bCs/>
          <w:sz w:val="28"/>
          <w:szCs w:val="28"/>
          <w:lang w:eastAsia="pl-PL"/>
        </w:rPr>
        <w:t xml:space="preserve">, biorąc pod uwagę skalę przedsięwzięcia i wielkość zajmowanego terenu oraz ich wzajemnych proporcji, a także istotnych rozwiązań charakteryzujących przedsięwzięcie.”. </w:t>
      </w:r>
    </w:p>
    <w:p w14:paraId="2DDD1028" w14:textId="77777777" w:rsidR="00A11C68" w:rsidRPr="00A11C68" w:rsidRDefault="00A11C68" w:rsidP="00A11C68">
      <w:pPr>
        <w:spacing w:after="120" w:line="240" w:lineRule="auto"/>
        <w:ind w:firstLine="708"/>
        <w:jc w:val="both"/>
        <w:rPr>
          <w:rFonts w:ascii="Calibri" w:eastAsia="Times New Roman" w:hAnsi="Calibri" w:cs="Calibri"/>
          <w:bCs/>
          <w:sz w:val="28"/>
          <w:szCs w:val="28"/>
          <w:lang w:eastAsia="pl-PL"/>
        </w:rPr>
      </w:pPr>
      <w:r w:rsidRPr="00A11C68">
        <w:rPr>
          <w:rFonts w:ascii="Calibri" w:eastAsia="Times New Roman" w:hAnsi="Calibri" w:cs="Calibri"/>
          <w:bCs/>
          <w:sz w:val="28"/>
          <w:szCs w:val="28"/>
          <w:lang w:eastAsia="pl-PL"/>
        </w:rPr>
        <w:t>Zgodnie z art. 63 ust. 1 i art. 65 ustawy właściwy organ do wydania decyzji o środowiskowych uwarunkowaniach, po zasięgnięciu opinii organów współdziałających wymienionych w art. 64 ust. 1 ustawy, wydaje postanowienie o</w:t>
      </w:r>
      <w:bookmarkStart w:id="0" w:name="mip53179001"/>
      <w:bookmarkEnd w:id="0"/>
      <w:r w:rsidRPr="00A11C68">
        <w:rPr>
          <w:rFonts w:ascii="Calibri" w:eastAsia="Times New Roman" w:hAnsi="Calibri" w:cs="Calibri"/>
          <w:bCs/>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ustawy. </w:t>
      </w:r>
    </w:p>
    <w:p w14:paraId="14C1A454" w14:textId="77777777" w:rsidR="00A11C68" w:rsidRPr="00A11C68" w:rsidRDefault="00A11C68" w:rsidP="00A11C68">
      <w:pPr>
        <w:spacing w:after="120" w:line="240" w:lineRule="auto"/>
        <w:ind w:firstLine="708"/>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Stosowanie do art. 65 ust. 3 ustawy u</w:t>
      </w:r>
      <w:r w:rsidRPr="00A11C68">
        <w:rPr>
          <w:rFonts w:ascii="Calibri" w:eastAsia="Calibri" w:hAnsi="Calibri" w:cs="Calibri"/>
          <w:sz w:val="28"/>
          <w:szCs w:val="28"/>
        </w:rPr>
        <w:t>zasadnienie postanowienia, o którym mowa w art. 63 ust. 1, niezależnie od wymagań wynikających z Kodeksu postępowania administracyjnego, powinno zawierać informacje o uwarunkowaniach, o których mowa w art. 63 ust. 1, uwzględnionych przy wydaniu postanowienia</w:t>
      </w:r>
      <w:r w:rsidRPr="00A11C68">
        <w:rPr>
          <w:rFonts w:ascii="Calibri" w:eastAsia="Times New Roman" w:hAnsi="Calibri" w:cs="Calibri"/>
          <w:sz w:val="28"/>
          <w:szCs w:val="28"/>
          <w:lang w:eastAsia="pl-PL"/>
        </w:rPr>
        <w:t>.</w:t>
      </w:r>
    </w:p>
    <w:p w14:paraId="63C9DD2A" w14:textId="77777777" w:rsidR="00A11C68" w:rsidRPr="00A11C68" w:rsidRDefault="00A11C68" w:rsidP="00A11C68">
      <w:pPr>
        <w:spacing w:after="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br w:type="page"/>
      </w:r>
    </w:p>
    <w:p w14:paraId="52368C5E" w14:textId="77777777" w:rsidR="00A11C68" w:rsidRPr="00A11C68" w:rsidRDefault="00A11C68" w:rsidP="00A11C68">
      <w:pPr>
        <w:spacing w:after="120" w:line="240" w:lineRule="auto"/>
        <w:ind w:firstLine="708"/>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lastRenderedPageBreak/>
        <w:t xml:space="preserve">Wobec powyższego na podstawie karty informacyjnej przedsięwzięcia, opinii Organów współdziałających oraz posiadanych przez Urząd materiałów kartograficznych, w związku z art. 63 ust. 1 </w:t>
      </w:r>
      <w:r w:rsidRPr="00A11C68">
        <w:rPr>
          <w:rFonts w:ascii="Calibri" w:eastAsia="SimSun" w:hAnsi="Calibri" w:cs="Calibri"/>
          <w:kern w:val="1"/>
          <w:sz w:val="28"/>
          <w:szCs w:val="28"/>
          <w:lang w:eastAsia="hi-IN" w:bidi="hi-IN"/>
        </w:rPr>
        <w:t>ustawy,</w:t>
      </w:r>
      <w:r w:rsidRPr="00A11C68">
        <w:rPr>
          <w:rFonts w:ascii="Calibri" w:eastAsia="Times New Roman" w:hAnsi="Calibri" w:cs="Calibri"/>
          <w:sz w:val="28"/>
          <w:szCs w:val="28"/>
          <w:lang w:eastAsia="pl-PL"/>
        </w:rPr>
        <w:t xml:space="preserve"> przedstawia się co następuje:</w:t>
      </w:r>
    </w:p>
    <w:p w14:paraId="11B3D282" w14:textId="77777777" w:rsidR="00A11C68" w:rsidRPr="00A11C68" w:rsidRDefault="00A11C68" w:rsidP="00A11C68">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A11C68">
        <w:rPr>
          <w:rFonts w:ascii="Calibri" w:eastAsia="Times New Roman" w:hAnsi="Calibri" w:cs="Calibri"/>
          <w:bCs/>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A11C68">
        <w:rPr>
          <w:rFonts w:ascii="Calibri" w:eastAsia="SimSun" w:hAnsi="Calibri" w:cs="Calibri"/>
          <w:bCs/>
          <w:kern w:val="1"/>
          <w:sz w:val="28"/>
          <w:szCs w:val="28"/>
          <w:lang w:eastAsia="hi-IN" w:bidi="hi-IN"/>
        </w:rPr>
        <w:t>:</w:t>
      </w:r>
      <w:r w:rsidRPr="00A11C68">
        <w:rPr>
          <w:rFonts w:ascii="Calibri" w:eastAsia="SimSun" w:hAnsi="Calibri" w:cs="Calibri"/>
          <w:kern w:val="1"/>
          <w:sz w:val="28"/>
          <w:szCs w:val="28"/>
          <w:lang w:eastAsia="hi-IN" w:bidi="hi-IN"/>
        </w:rPr>
        <w:t xml:space="preserve"> </w:t>
      </w:r>
    </w:p>
    <w:p w14:paraId="3A9F8F55" w14:textId="77777777" w:rsidR="00A11C68" w:rsidRPr="00A11C68" w:rsidRDefault="00A11C68" w:rsidP="00A11C68">
      <w:pPr>
        <w:spacing w:after="120" w:line="240" w:lineRule="auto"/>
        <w:ind w:left="284"/>
        <w:jc w:val="both"/>
        <w:rPr>
          <w:rFonts w:ascii="Calibri" w:eastAsia="Times New Roman" w:hAnsi="Calibri" w:cs="Calibri"/>
          <w:sz w:val="28"/>
          <w:szCs w:val="28"/>
          <w:shd w:val="clear" w:color="auto" w:fill="FFFFFF"/>
          <w:lang w:eastAsia="pl-PL"/>
        </w:rPr>
      </w:pPr>
      <w:r w:rsidRPr="00A11C68">
        <w:rPr>
          <w:rFonts w:ascii="Calibri" w:eastAsia="Times New Roman" w:hAnsi="Calibri" w:cs="Calibri"/>
          <w:sz w:val="28"/>
          <w:szCs w:val="28"/>
          <w:shd w:val="clear" w:color="auto" w:fill="FFFFFF"/>
          <w:lang w:eastAsia="pl-PL"/>
        </w:rPr>
        <w:t>planowane przedsięwzięcie polegać będzie na budowie farmy fotowoltaicznej o mocy do 500 kW oraz trzech zespołów kontenerowych magazynów energii o mocy do 10 MW każdy i jednego zespołu kontenerowych magazynów energii o mocy do 80 MW wraz z infrastrukturą techniczną, na działce o numerze ewidencyjnym 421/4, obręb Mechlin, o powierzchni 2,8512 ha. Pod przedsięwzięcie planuje się przeznaczyć do 2,7 ha powierzchni działki, przy czym, z analizy karty informacyjnej przedsięwzięcia wynika, że powierzchnia przeznaczona pod zabudowę panelami fotowoltaicznymi wynosić ma około 0,5 ha, natomiast ponad 2 ha mają zajmować kontenerowe magazyny energii. W ramach przedsięwzięcia zaplanowano montaż: do 1667 sztuk paneli fotowoltaicznych o mocy pojedynczego panelu fotowoltaicznego od 300 Wp do 1500 Wp, jednej stacji transformatorowej, do 15 sztuk inwerterów, do 110 sztuk kontenerowych magazynów energii, o łącznej mocy do 110 MW, naziemnych i podziemnych linii energetyczno-światłowodowych oraz wykonanie drogi wewnętrznej i ogrodzenia. Panele fotowoltaiczne posadowione zostaną w rzędach, na aluminiowych lub stalowych stelażach wbitych w ziemię za pomocą kotew. Konstrukcje wsporcze, na których montuje się panele fotowoltaiczne i inwertery wyposażone będą w centralnie sterowany system nadążny, w którego skład wchodzi stacja pogodowa i jednoosiowe trackery, regulujące nachylenie paneli fotowoltaicznych w jednym kierunku. System obsługują silniki elektryczne, zasilane przez prąd wytwarzany w farmie fotowoltaicznej. Wysokość konstrukcji wraz z panelami fotowoltaicznymi nie przekroczy 5 m n.p.t. Panele fotowoltaiczne zostaną zamontowane pod kątem od 20 stopni do 90 stopni i pokryte będą powłoką antyrefleksyjną</w:t>
      </w:r>
      <w:r w:rsidRPr="00A11C68">
        <w:rPr>
          <w:rFonts w:ascii="Calibri" w:eastAsia="Times New Roman" w:hAnsi="Calibri" w:cs="Calibri"/>
          <w:sz w:val="28"/>
          <w:szCs w:val="28"/>
          <w:lang w:eastAsia="pl-PL"/>
        </w:rPr>
        <w:t xml:space="preserve">; </w:t>
      </w:r>
    </w:p>
    <w:p w14:paraId="164A7C02" w14:textId="77777777" w:rsidR="00A11C68" w:rsidRPr="00A11C68" w:rsidRDefault="00A11C68" w:rsidP="00A11C68">
      <w:pPr>
        <w:spacing w:after="0" w:line="240" w:lineRule="auto"/>
        <w:jc w:val="both"/>
        <w:rPr>
          <w:rFonts w:ascii="Calibri" w:eastAsia="Times New Roman" w:hAnsi="Calibri" w:cs="Calibri"/>
          <w:bCs/>
          <w:sz w:val="28"/>
          <w:szCs w:val="28"/>
          <w:lang w:eastAsia="pl-PL"/>
        </w:rPr>
      </w:pPr>
      <w:r w:rsidRPr="00A11C68">
        <w:rPr>
          <w:rFonts w:ascii="Calibri" w:eastAsia="Times New Roman" w:hAnsi="Calibri" w:cs="Calibri"/>
          <w:bCs/>
          <w:sz w:val="28"/>
          <w:szCs w:val="28"/>
          <w:lang w:eastAsia="pl-PL"/>
        </w:rPr>
        <w:br w:type="page"/>
      </w:r>
    </w:p>
    <w:p w14:paraId="4284212F" w14:textId="77777777" w:rsidR="00A11C68" w:rsidRPr="00A11C68" w:rsidRDefault="00A11C68" w:rsidP="00A11C68">
      <w:pPr>
        <w:numPr>
          <w:ilvl w:val="0"/>
          <w:numId w:val="6"/>
        </w:numPr>
        <w:spacing w:after="120" w:line="240" w:lineRule="auto"/>
        <w:ind w:left="284" w:hanging="284"/>
        <w:jc w:val="both"/>
        <w:rPr>
          <w:rFonts w:ascii="Calibri" w:eastAsia="Times New Roman" w:hAnsi="Calibri" w:cs="Calibri"/>
          <w:sz w:val="28"/>
          <w:szCs w:val="28"/>
          <w:lang w:eastAsia="pl-PL"/>
        </w:rPr>
      </w:pPr>
      <w:r w:rsidRPr="00A11C68">
        <w:rPr>
          <w:rFonts w:ascii="Calibri" w:eastAsia="Times New Roman" w:hAnsi="Calibri" w:cs="Calibri"/>
          <w:bCs/>
          <w:sz w:val="28"/>
          <w:szCs w:val="28"/>
          <w:lang w:eastAsia="pl-PL"/>
        </w:rPr>
        <w:lastRenderedPageBreak/>
        <w:t>rodzaj i charakterystyka przedsięwzięcia z uwzględnieniem różnorodności biologicznej, wykorzystywania zasobów naturalnych, w tym gleby, wody i powierzchni ziemi:</w:t>
      </w:r>
      <w:r w:rsidRPr="00A11C68">
        <w:rPr>
          <w:rFonts w:ascii="Calibri" w:eastAsia="Times New Roman" w:hAnsi="Calibri" w:cs="Calibri"/>
          <w:sz w:val="28"/>
          <w:szCs w:val="28"/>
          <w:lang w:eastAsia="pl-PL"/>
        </w:rPr>
        <w:t xml:space="preserve"> </w:t>
      </w:r>
    </w:p>
    <w:p w14:paraId="61F9D459" w14:textId="77777777" w:rsidR="00A11C68" w:rsidRPr="00A11C68" w:rsidRDefault="00A11C68" w:rsidP="00A11C68">
      <w:pPr>
        <w:spacing w:after="120" w:line="240" w:lineRule="auto"/>
        <w:ind w:left="284"/>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w karcie informacyjnej przedsięwzięcia wskazano, że wnioskowany teren użytkowany jest rolniczo. Oprócz gatunków roślin uprawnych na przedmiotowym terenie występują pospolite chwasty roślin zbożowych. W wyniku realizacji przedsięwzięcia nie będą usuwane żadne drzewa i krzewy. Na terenie przedsięwzięcia nie stwierdzono występowania chronionych gatunków roślin i grzybów ani nie zaobserwowano żerowania gęsi, żurawi czy tworzenia się sejmików bocianich. Jak wskazano w karcie informacyjnej przedsięwzięcia, pojedyncza stacja transformatorowa zajmuje powierzchnię około 25 m</w:t>
      </w:r>
      <w:r w:rsidRPr="00A11C68">
        <w:rPr>
          <w:rFonts w:ascii="Calibri" w:eastAsia="Times New Roman" w:hAnsi="Calibri" w:cs="Calibri"/>
          <w:sz w:val="28"/>
          <w:szCs w:val="28"/>
          <w:vertAlign w:val="superscript"/>
          <w:lang w:eastAsia="pl-PL"/>
        </w:rPr>
        <w:t>2</w:t>
      </w:r>
      <w:r w:rsidRPr="00A11C68">
        <w:rPr>
          <w:rFonts w:ascii="Calibri" w:eastAsia="Times New Roman" w:hAnsi="Calibri" w:cs="Calibri"/>
          <w:sz w:val="28"/>
          <w:szCs w:val="28"/>
          <w:lang w:eastAsia="pl-PL"/>
        </w:rPr>
        <w:t>, natomiast pojedynczy kontenerowy magazyn energii od około 15 m</w:t>
      </w:r>
      <w:r w:rsidRPr="00A11C68">
        <w:rPr>
          <w:rFonts w:ascii="Calibri" w:eastAsia="Times New Roman" w:hAnsi="Calibri" w:cs="Calibri"/>
          <w:sz w:val="28"/>
          <w:szCs w:val="28"/>
          <w:vertAlign w:val="superscript"/>
          <w:lang w:eastAsia="pl-PL"/>
        </w:rPr>
        <w:t>2</w:t>
      </w:r>
      <w:r w:rsidRPr="00A11C68">
        <w:rPr>
          <w:rFonts w:ascii="Calibri" w:eastAsia="Times New Roman" w:hAnsi="Calibri" w:cs="Calibri"/>
          <w:sz w:val="28"/>
          <w:szCs w:val="28"/>
          <w:lang w:eastAsia="pl-PL"/>
        </w:rPr>
        <w:t xml:space="preserve"> do 33 m</w:t>
      </w:r>
      <w:r w:rsidRPr="00A11C68">
        <w:rPr>
          <w:rFonts w:ascii="Calibri" w:eastAsia="Times New Roman" w:hAnsi="Calibri" w:cs="Calibri"/>
          <w:sz w:val="28"/>
          <w:szCs w:val="28"/>
          <w:vertAlign w:val="superscript"/>
          <w:lang w:eastAsia="pl-PL"/>
        </w:rPr>
        <w:t>2</w:t>
      </w:r>
      <w:r w:rsidRPr="00A11C68">
        <w:rPr>
          <w:rFonts w:ascii="Calibri" w:eastAsia="Times New Roman" w:hAnsi="Calibri" w:cs="Calibri"/>
          <w:sz w:val="28"/>
          <w:szCs w:val="28"/>
          <w:lang w:eastAsia="pl-PL"/>
        </w:rPr>
        <w:t xml:space="preserve"> (zależne jest to od producenta i mocy magazynu energii). Wnioskodawca planuje posadowić kontenerową stację transformatorową oraz kontenerowe magazyny energii na podsypce żwirowej zagłębionej w gruncie na około 40 cm bądź na płytach betonowych. Regionalny Dyrektor Ochrony Środowiska w Poznaniu, w postanowieniu z 05.05.2022 r., zwrócił uwagę, że szacunkowa ilość mas ziemnych, które będą musiały być usunięte w celu posadowienia 110 kontenerowych magazynów energii wynosi około 1 450 m</w:t>
      </w:r>
      <w:r w:rsidRPr="00A11C68">
        <w:rPr>
          <w:rFonts w:ascii="Calibri" w:eastAsia="Times New Roman" w:hAnsi="Calibri" w:cs="Calibri"/>
          <w:sz w:val="28"/>
          <w:szCs w:val="28"/>
          <w:vertAlign w:val="superscript"/>
          <w:lang w:eastAsia="pl-PL"/>
        </w:rPr>
        <w:t>3</w:t>
      </w:r>
      <w:r w:rsidRPr="00A11C68">
        <w:rPr>
          <w:rFonts w:ascii="Calibri" w:eastAsia="Times New Roman" w:hAnsi="Calibri" w:cs="Calibri"/>
          <w:sz w:val="28"/>
          <w:szCs w:val="28"/>
          <w:lang w:eastAsia="pl-PL"/>
        </w:rPr>
        <w:t xml:space="preserve"> czyli ponad 2000 Mg. Zdaniem Organu opiniującego jest to jednoznaczne z ingerencją w powierzchniową warstwę ziemi, przenoszeniem mas ziemnych i zniszczeniem gleby na zajmowanym obszarze;</w:t>
      </w:r>
    </w:p>
    <w:p w14:paraId="48545716" w14:textId="77777777" w:rsidR="00A11C68" w:rsidRPr="00A11C68" w:rsidRDefault="00A11C68" w:rsidP="00A11C68">
      <w:pPr>
        <w:numPr>
          <w:ilvl w:val="0"/>
          <w:numId w:val="6"/>
        </w:numPr>
        <w:spacing w:after="120" w:line="240" w:lineRule="auto"/>
        <w:ind w:left="284" w:hanging="284"/>
        <w:jc w:val="both"/>
        <w:rPr>
          <w:rFonts w:ascii="Calibri" w:eastAsia="Times New Roman" w:hAnsi="Calibri" w:cs="Calibri"/>
          <w:sz w:val="28"/>
          <w:szCs w:val="28"/>
          <w:lang w:eastAsia="pl-PL"/>
        </w:rPr>
      </w:pPr>
      <w:r w:rsidRPr="00A11C68">
        <w:rPr>
          <w:rFonts w:ascii="Calibri" w:eastAsia="Times New Roman" w:hAnsi="Calibri" w:cs="Calibri"/>
          <w:bCs/>
          <w:sz w:val="28"/>
          <w:szCs w:val="28"/>
          <w:lang w:eastAsia="pl-PL"/>
        </w:rPr>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r w:rsidRPr="00A11C68">
        <w:rPr>
          <w:rFonts w:ascii="Calibri" w:eastAsia="Times New Roman" w:hAnsi="Calibri" w:cs="Calibri"/>
          <w:sz w:val="28"/>
          <w:szCs w:val="28"/>
          <w:lang w:eastAsia="pl-PL"/>
        </w:rPr>
        <w:t xml:space="preserve"> </w:t>
      </w:r>
    </w:p>
    <w:p w14:paraId="669DD163" w14:textId="77777777" w:rsidR="00A11C68" w:rsidRPr="00A11C68" w:rsidRDefault="00A11C68" w:rsidP="00A11C68">
      <w:pPr>
        <w:spacing w:after="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br w:type="page"/>
      </w:r>
    </w:p>
    <w:p w14:paraId="4F76C078" w14:textId="77777777" w:rsidR="00A11C68" w:rsidRPr="00A11C68" w:rsidRDefault="00A11C68" w:rsidP="00A11C68">
      <w:pPr>
        <w:spacing w:after="120" w:line="240" w:lineRule="auto"/>
        <w:ind w:left="284"/>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lastRenderedPageBreak/>
        <w:t>Wnioskodawca uzyskał decyzję Burmistrza Śremu z 11.06.2021 r. znak PPSOŚ.6220.5.2021.BM o środowiskowych uwarunkowaniach na budowę farmy fotowoltaicznej o mocy do 8 MW i powierzchni zabudowy do 3,0 ha wraz z niezbędną infrastruktura techniczną na wnioskowanym terenie. Jest to przedsięwzięcie alternatywne. W sąsiedztwie terenu objętego wnioskiem nie znajdują się inne farmy fotowoltaiczne. Burmistrz Śremu ustalił, że najbliższa planowana elektrownia fotowoltaiczna, dla której została wydana decyzja o środowiskowych uwarunkowaniach, zostanie zlokalizowana w odległości około 310 m w kierunku południowym i południowo-zachodnim od planowanego przedsięwzięcia (działki o numerach ewidencyjnych: 1740/2; 2502/1; 2503/3; 2503/5; 2502/3, obręb Śrem oraz 19, obręb Pysząca). Nie przewiduje się znaczących powiązań planowanego przedsięwzięcia z innymi przedsięwzięciami, w szczególności ponadnormatywnego oddziaływania skumulowanego</w:t>
      </w:r>
      <w:r w:rsidRPr="00A11C68">
        <w:rPr>
          <w:rFonts w:ascii="Calibri" w:eastAsia="Times New Roman" w:hAnsi="Calibri" w:cs="Calibri"/>
          <w:sz w:val="28"/>
          <w:szCs w:val="28"/>
          <w:lang w:eastAsia="zh-CN"/>
        </w:rPr>
        <w:t>;</w:t>
      </w:r>
    </w:p>
    <w:p w14:paraId="19C29EF4" w14:textId="77777777" w:rsidR="00A11C68" w:rsidRPr="00A11C68" w:rsidRDefault="00A11C68" w:rsidP="00A11C68">
      <w:pPr>
        <w:numPr>
          <w:ilvl w:val="0"/>
          <w:numId w:val="6"/>
        </w:numPr>
        <w:spacing w:after="120" w:line="240" w:lineRule="auto"/>
        <w:ind w:left="284" w:hanging="284"/>
        <w:jc w:val="both"/>
        <w:rPr>
          <w:rFonts w:ascii="Calibri" w:eastAsia="Andale Sans UI" w:hAnsi="Calibri" w:cs="Calibri"/>
          <w:kern w:val="1"/>
          <w:sz w:val="28"/>
          <w:szCs w:val="28"/>
          <w:lang w:eastAsia="hi-IN" w:bidi="hi-IN"/>
        </w:rPr>
      </w:pPr>
      <w:r w:rsidRPr="00A11C68">
        <w:rPr>
          <w:rFonts w:ascii="Calibri" w:eastAsia="Andale Sans UI" w:hAnsi="Calibri" w:cs="Calibri"/>
          <w:bCs/>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A11C68">
        <w:rPr>
          <w:rFonts w:ascii="Calibri" w:eastAsia="Times New Roman" w:hAnsi="Calibri" w:cs="Calibri"/>
          <w:bCs/>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p>
    <w:p w14:paraId="5A58A492" w14:textId="77777777" w:rsidR="00A11C68" w:rsidRPr="00A11C68" w:rsidRDefault="00A11C68" w:rsidP="00A11C68">
      <w:pPr>
        <w:spacing w:after="120" w:line="240" w:lineRule="auto"/>
        <w:ind w:left="284"/>
        <w:jc w:val="both"/>
        <w:rPr>
          <w:rFonts w:ascii="Calibri" w:eastAsia="Andale Sans UI" w:hAnsi="Calibri" w:cs="Calibri"/>
          <w:kern w:val="1"/>
          <w:sz w:val="28"/>
          <w:szCs w:val="28"/>
          <w:lang w:eastAsia="hi-IN" w:bidi="hi-IN"/>
        </w:rPr>
      </w:pPr>
      <w:r w:rsidRPr="00A11C68">
        <w:rPr>
          <w:rFonts w:ascii="Calibri" w:eastAsia="Times New Roman" w:hAnsi="Calibri" w:cs="Calibri"/>
          <w:sz w:val="28"/>
          <w:szCs w:val="28"/>
          <w:lang w:eastAsia="pl-PL"/>
        </w:rPr>
        <w:t xml:space="preserve">najbliższe tereny z zabudową mieszkaniową znajdują są w odległości około 20 m od terenu przedsięwzięcia. Źródłem emisji hałasu na etapie realizacji przedsięwzięcia będą przede wszystkim urządzenia montażowe oraz pojazdy poruszające się po terenie zainwestowania. Będą to krótkotrwałe i odwracalne uciążliwości. </w:t>
      </w:r>
      <w:r w:rsidRPr="00A11C68">
        <w:rPr>
          <w:rFonts w:ascii="Calibri" w:eastAsia="Andale Sans UI" w:hAnsi="Calibri" w:cs="Calibri"/>
          <w:kern w:val="1"/>
          <w:sz w:val="28"/>
          <w:szCs w:val="28"/>
          <w:lang w:eastAsia="hi-IN" w:bidi="hi-IN"/>
        </w:rPr>
        <w:t xml:space="preserve">Na etapie eksploatacji przedsięwzięcia źródłami emisji hałasu do środowiska będą transformator, magazyny energii i inwertery. Jak wskazał Regionalny Dyrektor Ochrony Środowiska w Poznaniu, w postanowieniu z 05.05.2022 r., informacje zawarte w karcie informacyjnej przedsięwzięcia, dotyczące oddziaływania przedsięwzięcia na klimat akustyczny otoczenia i sformułowane na ich podstawie wnioski, nie są prawidłowe. </w:t>
      </w:r>
    </w:p>
    <w:p w14:paraId="15AE5C25" w14:textId="77777777" w:rsidR="00A11C68" w:rsidRPr="00A11C68" w:rsidRDefault="00A11C68" w:rsidP="00A11C68">
      <w:pPr>
        <w:spacing w:after="0" w:line="240" w:lineRule="auto"/>
        <w:jc w:val="both"/>
        <w:rPr>
          <w:rFonts w:ascii="Calibri" w:eastAsia="Andale Sans UI" w:hAnsi="Calibri" w:cs="Calibri"/>
          <w:kern w:val="1"/>
          <w:sz w:val="28"/>
          <w:szCs w:val="28"/>
          <w:lang w:eastAsia="hi-IN" w:bidi="hi-IN"/>
        </w:rPr>
      </w:pPr>
      <w:r w:rsidRPr="00A11C68">
        <w:rPr>
          <w:rFonts w:ascii="Calibri" w:eastAsia="Andale Sans UI" w:hAnsi="Calibri" w:cs="Calibri"/>
          <w:kern w:val="1"/>
          <w:sz w:val="28"/>
          <w:szCs w:val="28"/>
          <w:lang w:eastAsia="hi-IN" w:bidi="hi-IN"/>
        </w:rPr>
        <w:br w:type="page"/>
      </w:r>
    </w:p>
    <w:p w14:paraId="5D11A885" w14:textId="77777777" w:rsidR="00A11C68" w:rsidRPr="00A11C68" w:rsidRDefault="00A11C68" w:rsidP="00A11C68">
      <w:pPr>
        <w:spacing w:after="120" w:line="240" w:lineRule="auto"/>
        <w:ind w:left="284"/>
        <w:jc w:val="both"/>
        <w:rPr>
          <w:rFonts w:ascii="Calibri" w:eastAsia="Times New Roman" w:hAnsi="Calibri" w:cs="Calibri"/>
          <w:sz w:val="28"/>
          <w:szCs w:val="28"/>
          <w:lang w:eastAsia="pl-PL"/>
        </w:rPr>
      </w:pPr>
      <w:r w:rsidRPr="00A11C68">
        <w:rPr>
          <w:rFonts w:ascii="Calibri" w:eastAsia="Andale Sans UI" w:hAnsi="Calibri" w:cs="Calibri"/>
          <w:kern w:val="1"/>
          <w:sz w:val="28"/>
          <w:szCs w:val="28"/>
          <w:lang w:eastAsia="hi-IN" w:bidi="hi-IN"/>
        </w:rPr>
        <w:lastRenderedPageBreak/>
        <w:t xml:space="preserve">Organ opiniujący stwierdził, że: „W pobieżnej analizie oddziaływania akustycznego wzięto pod uwagę jedynie emisję dźwięku z jednego magazynu energii i na tej podstawie sformułowano wniosek o braku możliwości przekroczenia obowiązujących w tym zakresie norm. Należy zauważyć, że klimat akustyczny kształtowany przez działającą w maksymalnym zakresie elektrownię (110 magazynów energii) będzie się zasadniczo różnił od przyjętej wersji minimalnej czyli jednego magazynu energii. Należy więc uznać, iż wnioski przedstawione w k.i.p. są prawdopodobnie błędne.”. Elektrownie fotowoltaiczne w trakcie eksploatacji nie będą źródłem emisji substancji do środowiska i nie przewiduje się ich wpływu na stan jakości powietrza w rejonie zainwestowania. Jedynie na etapie realizacji przedsięwzięcia, źródłem emisji substancji do powietrza będą procesy spalania paliw w silnikach pojazdów pracujących na placu budowy. Będzie to jednak oddziaływanie okresowe, punktowe, które ustanie po zakończeniu prac budowlanych. </w:t>
      </w:r>
      <w:r w:rsidRPr="00A11C68">
        <w:rPr>
          <w:rFonts w:ascii="Calibri" w:eastAsia="Times New Roman" w:hAnsi="Calibri" w:cs="Calibri"/>
          <w:sz w:val="28"/>
          <w:szCs w:val="28"/>
          <w:lang w:eastAsia="pl-PL"/>
        </w:rPr>
        <w:t>Eksploatacja planowanego przedsięwzięcia nie będzie wiązała się ze stałym zapotrzebowaniem na wodę. Ewentualne mycie paneli przeprowadzane będzie czystą wodą bez użycia środków chemicznych. Wody opadowe i roztopowe nie będą ujmowane w systemy kanalizacyjne, lecz będą infiltrować w grunt w obrębie przedmiotowego terenu. Wnioskodawca planuje zastosować transformatory żywiczne lub olejowe. W przypadku zastosowania transformatorów olejowych, pod każdym transformatorem zostaną zamontowane szczelne misy, mogące zmagazynować całą objętość oleju</w:t>
      </w:r>
      <w:r w:rsidRPr="00A11C68">
        <w:rPr>
          <w:rFonts w:ascii="Calibri" w:eastAsia="Calibri" w:hAnsi="Calibri" w:cs="Calibri"/>
          <w:sz w:val="28"/>
          <w:szCs w:val="28"/>
        </w:rPr>
        <w:t xml:space="preserve"> znajdującego się w transformatorze</w:t>
      </w:r>
      <w:r w:rsidRPr="00A11C68">
        <w:rPr>
          <w:rFonts w:ascii="Calibri" w:eastAsia="Times New Roman" w:hAnsi="Calibri" w:cs="Calibri"/>
          <w:sz w:val="28"/>
          <w:szCs w:val="28"/>
          <w:lang w:eastAsia="zh-CN"/>
        </w:rPr>
        <w:t>;</w:t>
      </w:r>
    </w:p>
    <w:p w14:paraId="097ACF2F" w14:textId="77777777" w:rsidR="00A11C68" w:rsidRPr="00A11C68" w:rsidRDefault="00A11C68" w:rsidP="00A11C68">
      <w:pPr>
        <w:numPr>
          <w:ilvl w:val="0"/>
          <w:numId w:val="6"/>
        </w:numPr>
        <w:spacing w:after="120" w:line="240" w:lineRule="auto"/>
        <w:ind w:left="284" w:hanging="284"/>
        <w:jc w:val="both"/>
        <w:rPr>
          <w:rFonts w:ascii="Calibri" w:eastAsia="Times New Roman" w:hAnsi="Calibri" w:cs="Calibri"/>
          <w:sz w:val="28"/>
          <w:szCs w:val="28"/>
          <w:lang w:eastAsia="zh-CN"/>
        </w:rPr>
      </w:pPr>
      <w:r w:rsidRPr="00A11C68">
        <w:rPr>
          <w:rFonts w:ascii="Calibri" w:eastAsia="Times New Roman" w:hAnsi="Calibri" w:cs="Calibri"/>
          <w:bCs/>
          <w:sz w:val="28"/>
          <w:szCs w:val="28"/>
          <w:lang w:eastAsia="zh-CN"/>
        </w:rPr>
        <w:t xml:space="preserve">rodzaj i charakterystyka przedsięwzięcia z uwzględnieniem </w:t>
      </w:r>
      <w:r w:rsidRPr="00A11C68">
        <w:rPr>
          <w:rFonts w:ascii="Calibri" w:eastAsia="Times New Roman" w:hAnsi="Calibri" w:cs="Calibri"/>
          <w:bCs/>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A11C68">
        <w:rPr>
          <w:rFonts w:ascii="Calibri" w:eastAsia="Times New Roman" w:hAnsi="Calibri" w:cs="Calibri"/>
          <w:bCs/>
          <w:sz w:val="28"/>
          <w:szCs w:val="28"/>
          <w:lang w:eastAsia="zh-CN"/>
        </w:rPr>
        <w:t>:</w:t>
      </w:r>
    </w:p>
    <w:p w14:paraId="476B01E2" w14:textId="77777777" w:rsidR="00A11C68" w:rsidRPr="00A11C68" w:rsidRDefault="00A11C68" w:rsidP="00A11C68">
      <w:pPr>
        <w:spacing w:after="120" w:line="240" w:lineRule="auto"/>
        <w:ind w:left="284"/>
        <w:jc w:val="both"/>
        <w:rPr>
          <w:rFonts w:ascii="Calibri" w:eastAsia="Times New Roman" w:hAnsi="Calibri" w:cs="Calibri"/>
          <w:sz w:val="28"/>
          <w:szCs w:val="28"/>
          <w:lang w:eastAsia="zh-CN"/>
        </w:rPr>
      </w:pPr>
      <w:r w:rsidRPr="00A11C68">
        <w:rPr>
          <w:rFonts w:ascii="Calibri" w:eastAsia="Times New Roman" w:hAnsi="Calibri" w:cs="Calibri"/>
          <w:sz w:val="28"/>
          <w:szCs w:val="28"/>
          <w:lang w:eastAsia="zh-CN"/>
        </w:rPr>
        <w:t xml:space="preserve">teren planowanego przedsięwzięcia nie jest położony w strefach: zagrożenia powodziowego, możliwości wystąpienia osuwisk, ruchów skorupy ziemskiej i możliwych zdarzeń ekstremalnych. Od strony południowej przedmiotowa działka graniczy z wałem przeciwpowodziowym Warty i obszarami zagrożenia powodziowego. Uwzględniając realizację i eksploatację przedsięwzięcia zgodnie z obowiązującymi normami i przepisami, ryzyko wystąpienia katastrof budowlanych będzie ograniczone. </w:t>
      </w:r>
    </w:p>
    <w:p w14:paraId="6F3423B3" w14:textId="77777777" w:rsidR="00A11C68" w:rsidRPr="00A11C68" w:rsidRDefault="00A11C68" w:rsidP="00A11C68">
      <w:pPr>
        <w:spacing w:after="0" w:line="240" w:lineRule="auto"/>
        <w:jc w:val="both"/>
        <w:rPr>
          <w:rFonts w:ascii="Calibri" w:eastAsia="Times New Roman" w:hAnsi="Calibri" w:cs="Calibri"/>
          <w:sz w:val="28"/>
          <w:szCs w:val="28"/>
          <w:lang w:eastAsia="zh-CN"/>
        </w:rPr>
      </w:pPr>
      <w:r w:rsidRPr="00A11C68">
        <w:rPr>
          <w:rFonts w:ascii="Calibri" w:eastAsia="Times New Roman" w:hAnsi="Calibri" w:cs="Calibri"/>
          <w:sz w:val="28"/>
          <w:szCs w:val="28"/>
          <w:lang w:eastAsia="zh-CN"/>
        </w:rPr>
        <w:br w:type="page"/>
      </w:r>
    </w:p>
    <w:p w14:paraId="3E4A79BF" w14:textId="77777777" w:rsidR="00A11C68" w:rsidRPr="00A11C68" w:rsidRDefault="00A11C68" w:rsidP="00A11C68">
      <w:pPr>
        <w:spacing w:after="120" w:line="240" w:lineRule="auto"/>
        <w:ind w:left="284"/>
        <w:jc w:val="both"/>
        <w:rPr>
          <w:rFonts w:ascii="Calibri" w:eastAsia="Times New Roman" w:hAnsi="Calibri" w:cs="Calibri"/>
          <w:sz w:val="28"/>
          <w:szCs w:val="28"/>
          <w:lang w:eastAsia="zh-CN"/>
        </w:rPr>
      </w:pPr>
      <w:r w:rsidRPr="00A11C68">
        <w:rPr>
          <w:rFonts w:ascii="Calibri" w:eastAsia="Times New Roman" w:hAnsi="Calibri" w:cs="Calibri"/>
          <w:sz w:val="28"/>
          <w:szCs w:val="28"/>
          <w:lang w:eastAsia="zh-CN"/>
        </w:rPr>
        <w:lastRenderedPageBreak/>
        <w:t xml:space="preserve">Regionalny Dyrektor Ochrony Środowiska w Poznaniu, w postanowieniu z 05.05.2022 r., wskazał, że: „(…) nie można uznać za zgodne z prawdą twierdzenie zawarte w przedstawionym k.i.p., iż „Farma fotowoltaiczna wraz z magazynami energii nie jest miejscem przechowywania, wytwarzania czy transportu substancji niebezpiecznych.” (str. 45). Wnioskodawca co prawda nie przedstawił pełnej charakterystyki urządzeń, ale na podstawie ogólnodostępnych informacji można wnioskować, że planowane do zamontowania magazyny będą zawierać substancje stosowane w innych tego typu urządzeniach do przechowywania energii elektrycznej. Najczęściej stosowane są obecnie baterie litowo-jonowe, których składniki są uznawane za substancje niebezpieczne, a same baterie stanowią odpad niebezpieczny. Biorąc pod uwagę skalę przedsięwzięcia oraz jego lokalizację zdaniem tut. organu aspekt ten można uznawać za znaczący i wymagający oceny.”; </w:t>
      </w:r>
    </w:p>
    <w:p w14:paraId="4A2D67A2" w14:textId="77777777" w:rsidR="00A11C68" w:rsidRPr="00A11C68" w:rsidRDefault="00A11C68" w:rsidP="00A11C68">
      <w:pPr>
        <w:numPr>
          <w:ilvl w:val="0"/>
          <w:numId w:val="6"/>
        </w:numPr>
        <w:spacing w:after="120" w:line="240" w:lineRule="auto"/>
        <w:ind w:left="284" w:hanging="284"/>
        <w:jc w:val="both"/>
        <w:rPr>
          <w:rFonts w:ascii="Calibri" w:eastAsia="Times New Roman" w:hAnsi="Calibri" w:cs="Calibri"/>
          <w:bCs/>
          <w:sz w:val="28"/>
          <w:szCs w:val="28"/>
          <w:lang w:eastAsia="zh-CN"/>
        </w:rPr>
      </w:pPr>
      <w:r w:rsidRPr="00A11C68">
        <w:rPr>
          <w:rFonts w:ascii="Calibri" w:eastAsia="Times New Roman" w:hAnsi="Calibri" w:cs="Calibri"/>
          <w:sz w:val="28"/>
          <w:szCs w:val="28"/>
          <w:lang w:eastAsia="zh-CN"/>
        </w:rPr>
        <w:t xml:space="preserve">rodzaj i charakterystyka przedsięwzięcia z uwzględnieniem </w:t>
      </w:r>
      <w:r w:rsidRPr="00A11C68">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A11C68">
        <w:rPr>
          <w:rFonts w:ascii="Calibri" w:eastAsia="Times New Roman" w:hAnsi="Calibri" w:cs="Calibri"/>
          <w:sz w:val="28"/>
          <w:szCs w:val="28"/>
          <w:lang w:eastAsia="zh-CN"/>
        </w:rPr>
        <w:t>:</w:t>
      </w:r>
    </w:p>
    <w:p w14:paraId="4AED841F" w14:textId="77777777" w:rsidR="00A11C68" w:rsidRPr="00A11C68" w:rsidRDefault="00A11C68" w:rsidP="00A11C68">
      <w:pPr>
        <w:spacing w:after="120" w:line="240" w:lineRule="auto"/>
        <w:ind w:left="284"/>
        <w:jc w:val="both"/>
        <w:rPr>
          <w:rFonts w:ascii="Calibri" w:eastAsia="Times New Roman" w:hAnsi="Calibri" w:cs="Calibri"/>
          <w:bCs/>
          <w:sz w:val="28"/>
          <w:szCs w:val="28"/>
          <w:lang w:eastAsia="zh-CN"/>
        </w:rPr>
      </w:pPr>
      <w:r w:rsidRPr="00A11C68">
        <w:rPr>
          <w:rFonts w:ascii="Calibri" w:eastAsia="Times New Roman" w:hAnsi="Calibri" w:cs="Calibri"/>
          <w:bCs/>
          <w:sz w:val="28"/>
          <w:szCs w:val="28"/>
          <w:lang w:eastAsia="zh-CN"/>
        </w:rPr>
        <w:t>gospodarowanie odpadami na etapie realizacji i eksploatacji farmy fotowoltaicznej odbywać się będzie na zasadach określonych w przepisach szczegółowych. Na etapie prac budowlanych źródłem powstawania odpadów będą roboty ziemne oraz prace związane z montażem paneli fotowoltaicznych i magazynów energii. Wytworzone odpady gromadzone będą w kontenerach lub pojemnikach, w wyznaczonym miejscu na terenie przedsięwzięcia, a następnie przekazane uprawnionym podmiotom do dalszego zagospodarowania. Na etapie eksploatacji przedsięwzięcia mogą powstawać odpady związane z utrzymaniem i konserwacją paneli fotowoltaicznych;</w:t>
      </w:r>
    </w:p>
    <w:p w14:paraId="14F2840A" w14:textId="77777777" w:rsidR="00A11C68" w:rsidRPr="00A11C68" w:rsidRDefault="00A11C68" w:rsidP="00A11C68">
      <w:pPr>
        <w:spacing w:after="0" w:line="240" w:lineRule="auto"/>
        <w:jc w:val="both"/>
        <w:rPr>
          <w:rFonts w:ascii="Calibri" w:eastAsia="SimSun" w:hAnsi="Calibri" w:cs="Calibri"/>
          <w:bCs/>
          <w:kern w:val="1"/>
          <w:sz w:val="28"/>
          <w:szCs w:val="28"/>
          <w:lang w:eastAsia="hi-IN" w:bidi="hi-IN"/>
        </w:rPr>
      </w:pPr>
      <w:r w:rsidRPr="00A11C68">
        <w:rPr>
          <w:rFonts w:ascii="Calibri" w:eastAsia="SimSun" w:hAnsi="Calibri" w:cs="Calibri"/>
          <w:bCs/>
          <w:kern w:val="1"/>
          <w:sz w:val="28"/>
          <w:szCs w:val="28"/>
          <w:lang w:eastAsia="hi-IN" w:bidi="hi-IN"/>
        </w:rPr>
        <w:br w:type="page"/>
      </w:r>
    </w:p>
    <w:p w14:paraId="36C020E4" w14:textId="77777777" w:rsidR="00A11C68" w:rsidRPr="00A11C68" w:rsidRDefault="00A11C68" w:rsidP="00A11C68">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A11C68">
        <w:rPr>
          <w:rFonts w:ascii="Calibri" w:eastAsia="SimSun" w:hAnsi="Calibri" w:cs="Calibri"/>
          <w:bCs/>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A11C68">
        <w:rPr>
          <w:rFonts w:ascii="Calibri" w:eastAsia="Times New Roman" w:hAnsi="Calibri" w:cs="Calibri"/>
          <w:bCs/>
          <w:sz w:val="28"/>
          <w:szCs w:val="28"/>
          <w:lang w:eastAsia="pl-PL"/>
        </w:rPr>
        <w:t>obszary wodno-błotne, inne obszary o płytkim zaleganiu wód podziemnych, w tym siedliska łęgowe oraz ujścia rzek, obszary wybrzeży i środowisko morskie, obszary górskie lub leśne,</w:t>
      </w:r>
      <w:r w:rsidRPr="00A11C68">
        <w:rPr>
          <w:rFonts w:ascii="Calibri" w:eastAsia="SimSun" w:hAnsi="Calibri" w:cs="Calibri"/>
          <w:bCs/>
          <w:kern w:val="1"/>
          <w:sz w:val="28"/>
          <w:szCs w:val="28"/>
          <w:lang w:eastAsia="hi-IN" w:bidi="hi-IN"/>
        </w:rPr>
        <w:t xml:space="preserve"> </w:t>
      </w:r>
      <w:r w:rsidRPr="00A11C68">
        <w:rPr>
          <w:rFonts w:ascii="Calibri" w:eastAsia="Times New Roman" w:hAnsi="Calibri" w:cs="Calibri"/>
          <w:bCs/>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p>
    <w:p w14:paraId="03BA9995" w14:textId="77777777" w:rsidR="00A11C68" w:rsidRPr="00A11C68" w:rsidRDefault="00A11C68" w:rsidP="00A11C68">
      <w:pPr>
        <w:spacing w:after="120" w:line="240" w:lineRule="auto"/>
        <w:ind w:left="284"/>
        <w:jc w:val="both"/>
        <w:rPr>
          <w:rFonts w:ascii="Calibri" w:eastAsia="SimSun" w:hAnsi="Calibri" w:cs="Calibri"/>
          <w:kern w:val="1"/>
          <w:sz w:val="28"/>
          <w:szCs w:val="28"/>
          <w:lang w:eastAsia="hi-IN" w:bidi="hi-IN"/>
        </w:rPr>
      </w:pPr>
      <w:r w:rsidRPr="00A11C68">
        <w:rPr>
          <w:rFonts w:ascii="Calibri" w:eastAsia="Times New Roman" w:hAnsi="Calibri" w:cs="Calibri"/>
          <w:sz w:val="28"/>
          <w:szCs w:val="28"/>
          <w:lang w:eastAsia="zh-CN"/>
        </w:rPr>
        <w:t>w otoczeniu przedsięwzięcia znajdują się grunty rolne, zabudowa mieszkaniowa, lasy, rzeka Warta przepływająca w odległości 50 m oraz w odległości do 1 km zbiorniki wodne. Teren przedsięwzięcia nie jest zlokalizowany na obszarach wodno-błotnych i innych obszarach o płytkim poziomie zalegania wód podziemnych, w tym obszarach siedlisk łęgowych oraz ujściach rzek, ani w strefach ochronnych ujęć wód i obszarach ochronnych zbiorników wód śródlądowych. Przedsięwzięcie realizowane będzie poza obszarami wybrzeży i środowiska morskiego, górskimi, leśnymi, przylegającymi do jezior. Przedsięwzięcie nie będzie znajdować się na obszarach o krajobrazie mającym znaczenie historyczne i kulturowe. Przedsięwzięcie nie będzie zlokalizowane na obszarach o dużej gęstości zaludnienia oraz uzdrowiskowych i ochrony uzdrowiskowej. Z karty informacyjnej przedsięwzięcia nie wynika, aby przedsięwzięcie znajdowało się w rejonie obszarów, na których standardy środowiska zostały przekroczone, ani nie przewiduje się ich przekroczenia w związku z realizacją i eksploatacją planowanego przedsięwzięcia</w:t>
      </w:r>
      <w:r w:rsidRPr="00A11C68">
        <w:rPr>
          <w:rFonts w:ascii="Calibri" w:eastAsia="SimSun" w:hAnsi="Calibri" w:cs="Calibri"/>
          <w:kern w:val="1"/>
          <w:sz w:val="28"/>
          <w:szCs w:val="28"/>
          <w:lang w:eastAsia="hi-IN" w:bidi="hi-IN"/>
        </w:rPr>
        <w:t xml:space="preserve">; </w:t>
      </w:r>
    </w:p>
    <w:p w14:paraId="28A298EF" w14:textId="77777777" w:rsidR="00A11C68" w:rsidRPr="00A11C68" w:rsidRDefault="00A11C68" w:rsidP="00A11C68">
      <w:pPr>
        <w:spacing w:after="0" w:line="240" w:lineRule="auto"/>
        <w:jc w:val="both"/>
        <w:rPr>
          <w:rFonts w:ascii="Calibri" w:eastAsia="SimSun" w:hAnsi="Calibri" w:cs="Calibri"/>
          <w:bCs/>
          <w:kern w:val="1"/>
          <w:sz w:val="28"/>
          <w:szCs w:val="28"/>
          <w:lang w:eastAsia="hi-IN" w:bidi="hi-IN"/>
        </w:rPr>
      </w:pPr>
    </w:p>
    <w:p w14:paraId="00D1DE52" w14:textId="77777777" w:rsidR="00A11C68" w:rsidRPr="00A11C68" w:rsidRDefault="00A11C68" w:rsidP="00A11C68">
      <w:pPr>
        <w:spacing w:after="0" w:line="240" w:lineRule="auto"/>
        <w:jc w:val="both"/>
        <w:rPr>
          <w:rFonts w:ascii="Calibri" w:eastAsia="SimSun" w:hAnsi="Calibri" w:cs="Calibri"/>
          <w:bCs/>
          <w:kern w:val="1"/>
          <w:sz w:val="28"/>
          <w:szCs w:val="28"/>
          <w:lang w:eastAsia="hi-IN" w:bidi="hi-IN"/>
        </w:rPr>
      </w:pPr>
      <w:r w:rsidRPr="00A11C68">
        <w:rPr>
          <w:rFonts w:ascii="Calibri" w:eastAsia="SimSun" w:hAnsi="Calibri" w:cs="Calibri"/>
          <w:bCs/>
          <w:kern w:val="1"/>
          <w:sz w:val="28"/>
          <w:szCs w:val="28"/>
          <w:lang w:eastAsia="hi-IN" w:bidi="hi-IN"/>
        </w:rPr>
        <w:br w:type="page"/>
      </w:r>
    </w:p>
    <w:p w14:paraId="0E4AACEF" w14:textId="77777777" w:rsidR="00A11C68" w:rsidRPr="00A11C68" w:rsidRDefault="00A11C68" w:rsidP="00A11C68">
      <w:pPr>
        <w:numPr>
          <w:ilvl w:val="0"/>
          <w:numId w:val="6"/>
        </w:numPr>
        <w:spacing w:after="120" w:line="240" w:lineRule="auto"/>
        <w:ind w:left="284" w:hanging="284"/>
        <w:jc w:val="both"/>
        <w:rPr>
          <w:rFonts w:ascii="Calibri" w:eastAsia="Times New Roman" w:hAnsi="Calibri" w:cs="Calibri"/>
          <w:sz w:val="28"/>
          <w:szCs w:val="28"/>
          <w:lang w:eastAsia="zh-CN"/>
        </w:rPr>
      </w:pPr>
      <w:r w:rsidRPr="00A11C68">
        <w:rPr>
          <w:rFonts w:ascii="Calibri" w:eastAsia="SimSun" w:hAnsi="Calibri" w:cs="Calibri"/>
          <w:bCs/>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A11C68">
        <w:rPr>
          <w:rFonts w:ascii="Calibri" w:eastAsia="Times New Roman" w:hAnsi="Calibri" w:cs="Calibri"/>
          <w:bCs/>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A11C68">
        <w:rPr>
          <w:rFonts w:ascii="Calibri" w:eastAsia="SimSun" w:hAnsi="Calibri" w:cs="Calibri"/>
          <w:b/>
          <w:kern w:val="1"/>
          <w:sz w:val="28"/>
          <w:szCs w:val="28"/>
          <w:lang w:eastAsia="hi-IN" w:bidi="hi-IN"/>
        </w:rPr>
        <w:t xml:space="preserve"> </w:t>
      </w:r>
    </w:p>
    <w:p w14:paraId="61D908B1" w14:textId="77777777" w:rsidR="00A11C68" w:rsidRPr="00A11C68" w:rsidRDefault="00A11C68" w:rsidP="00A11C68">
      <w:pPr>
        <w:spacing w:after="120" w:line="240" w:lineRule="auto"/>
        <w:ind w:left="284"/>
        <w:jc w:val="both"/>
        <w:rPr>
          <w:rFonts w:ascii="Calibri" w:eastAsia="Times New Roman" w:hAnsi="Calibri" w:cs="Calibri"/>
          <w:sz w:val="28"/>
          <w:szCs w:val="28"/>
          <w:lang w:eastAsia="zh-CN"/>
        </w:rPr>
      </w:pPr>
      <w:r w:rsidRPr="00A11C68">
        <w:rPr>
          <w:rFonts w:ascii="Calibri" w:eastAsia="Times New Roman" w:hAnsi="Calibri" w:cs="Calibri"/>
          <w:sz w:val="28"/>
          <w:szCs w:val="28"/>
          <w:lang w:eastAsia="zh-CN"/>
        </w:rPr>
        <w:t>teren przeznaczony pod przedsięwzięcie zlokalizowany jest poza obszarami chronionymi na podstawie ustawy z dnia 16 kwietnia 2004 r. o ochronie przyrody (Dz. U. z 2022 r. poz. 916). Południowo-wschodni fragment analizowanej działki znajduje się na obszarze Natura 2000: Rogalińska Dolina Warty PLH300012, jednak obszar ten jest wyłączony spod realizacji przedsięwzięcia. Wyłączona część działki jest zadrzewiona. Realizacja przedsięwzięcia nie będzie wiązać się z wycinką drzew i krzewów. Teren przedsięwzięcia znajduje się w ponadregionalnym korytarzu ekologicznym „Dolina Warty” KPnC-22A.;</w:t>
      </w:r>
    </w:p>
    <w:p w14:paraId="5E2F58A9" w14:textId="77777777" w:rsidR="00A11C68" w:rsidRPr="00A11C68" w:rsidRDefault="00A11C68" w:rsidP="00A11C68">
      <w:pPr>
        <w:numPr>
          <w:ilvl w:val="0"/>
          <w:numId w:val="6"/>
        </w:numPr>
        <w:spacing w:after="120" w:line="240" w:lineRule="auto"/>
        <w:ind w:left="284" w:hanging="284"/>
        <w:jc w:val="both"/>
        <w:rPr>
          <w:rFonts w:ascii="Calibri" w:eastAsia="Times New Roman" w:hAnsi="Calibri" w:cs="Calibri"/>
          <w:sz w:val="28"/>
          <w:szCs w:val="28"/>
          <w:lang w:eastAsia="zh-CN"/>
        </w:rPr>
      </w:pPr>
      <w:r w:rsidRPr="00A11C68">
        <w:rPr>
          <w:rFonts w:ascii="Calibri" w:eastAsia="SimSun" w:hAnsi="Calibri" w:cs="Calibri"/>
          <w:bCs/>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A11C68">
        <w:rPr>
          <w:rFonts w:ascii="Calibri" w:eastAsia="Times New Roman" w:hAnsi="Calibri" w:cs="Calibri"/>
          <w:bCs/>
          <w:sz w:val="28"/>
          <w:szCs w:val="28"/>
          <w:lang w:eastAsia="pl-PL"/>
        </w:rPr>
        <w:t xml:space="preserve"> wody i obowiązujące dla nich cele środowiskowe:</w:t>
      </w:r>
    </w:p>
    <w:p w14:paraId="59693232" w14:textId="77777777" w:rsidR="00A11C68" w:rsidRPr="00A11C68" w:rsidRDefault="00A11C68" w:rsidP="00A11C68">
      <w:pPr>
        <w:spacing w:after="120" w:line="240" w:lineRule="auto"/>
        <w:ind w:left="284"/>
        <w:jc w:val="both"/>
        <w:rPr>
          <w:rFonts w:ascii="Calibri" w:eastAsia="Times New Roman" w:hAnsi="Calibri" w:cs="Calibri"/>
          <w:sz w:val="28"/>
          <w:szCs w:val="28"/>
          <w:lang w:eastAsia="zh-CN"/>
        </w:rPr>
      </w:pPr>
      <w:r w:rsidRPr="00A11C68">
        <w:rPr>
          <w:rFonts w:ascii="Calibri" w:eastAsia="Times New Roman" w:hAnsi="Calibri" w:cs="Calibri"/>
          <w:bCs/>
          <w:sz w:val="28"/>
          <w:szCs w:val="28"/>
          <w:lang w:eastAsia="pl-PL"/>
        </w:rPr>
        <w:t>planowane przedsięwzięcie zlokalizowane jest w granicach Głównego Zbiornika Wód Podziemnych nr 150 Pradolina Warszawa - Berlin. Według charakterystyki jednolitych części wód planowane przedsięwzięcie zlokalizowane jest w granicach jednolitej części wód podziemnych (jcwpd) o kodzie PLGW600060 oraz jednolitej części wód powierzchniowych (jcwp) o kodzie PLRW600017185552 Młynisko. Zgodnie z obowiązującym „Planem gospodarowania wodami na obszarze dorzecza Odry” jcwpd o kodzie PLGW600060 charakteryzuje się dobrym stanem ilościowym oraz chemicznym, a w odniesieniu do ryzyka nieosiągnięcia celów środowiskowych została uznana za niezagrożoną. Jcwp o kodzie PLRW600017185552 posiada status naturalnej części wód, a jej stan aktualnie jest zły, jednak zgodnie z oceną ryzyka nieosiągnięcia celów środowiskowych uznana została za niezagrożoną</w:t>
      </w:r>
      <w:r w:rsidRPr="00A11C68">
        <w:rPr>
          <w:rFonts w:ascii="Calibri" w:eastAsia="Times New Roman" w:hAnsi="Calibri" w:cs="Calibri"/>
          <w:sz w:val="28"/>
          <w:szCs w:val="28"/>
          <w:lang w:eastAsia="zh-CN"/>
        </w:rPr>
        <w:t>;</w:t>
      </w:r>
      <w:r w:rsidRPr="00A11C68">
        <w:rPr>
          <w:rFonts w:ascii="Calibri" w:eastAsia="Times New Roman" w:hAnsi="Calibri" w:cs="Calibri"/>
          <w:bCs/>
          <w:sz w:val="28"/>
          <w:szCs w:val="28"/>
          <w:lang w:eastAsia="pl-PL"/>
        </w:rPr>
        <w:t xml:space="preserve"> </w:t>
      </w:r>
    </w:p>
    <w:p w14:paraId="33B78A19" w14:textId="77777777" w:rsidR="00A11C68" w:rsidRPr="00A11C68" w:rsidRDefault="00A11C68" w:rsidP="00A11C68">
      <w:pPr>
        <w:spacing w:after="0" w:line="240" w:lineRule="auto"/>
        <w:jc w:val="both"/>
        <w:rPr>
          <w:rFonts w:ascii="Calibri" w:eastAsia="Times New Roman" w:hAnsi="Calibri" w:cs="Calibri"/>
          <w:bCs/>
          <w:sz w:val="28"/>
          <w:szCs w:val="28"/>
          <w:lang w:eastAsia="pl-PL"/>
        </w:rPr>
      </w:pPr>
      <w:r w:rsidRPr="00A11C68">
        <w:rPr>
          <w:rFonts w:ascii="Calibri" w:eastAsia="Times New Roman" w:hAnsi="Calibri" w:cs="Calibri"/>
          <w:bCs/>
          <w:sz w:val="28"/>
          <w:szCs w:val="28"/>
          <w:lang w:eastAsia="pl-PL"/>
        </w:rPr>
        <w:br w:type="page"/>
      </w:r>
    </w:p>
    <w:p w14:paraId="2339A412" w14:textId="77777777" w:rsidR="00A11C68" w:rsidRPr="00A11C68" w:rsidRDefault="00A11C68" w:rsidP="00A11C68">
      <w:pPr>
        <w:numPr>
          <w:ilvl w:val="0"/>
          <w:numId w:val="6"/>
        </w:numPr>
        <w:tabs>
          <w:tab w:val="left" w:pos="426"/>
        </w:tabs>
        <w:spacing w:after="120" w:line="240" w:lineRule="auto"/>
        <w:ind w:left="284" w:hanging="284"/>
        <w:jc w:val="both"/>
        <w:rPr>
          <w:rFonts w:ascii="Calibri" w:eastAsia="Times New Roman" w:hAnsi="Calibri" w:cs="Calibri"/>
          <w:bCs/>
          <w:sz w:val="28"/>
          <w:szCs w:val="28"/>
          <w:lang w:eastAsia="zh-CN"/>
        </w:rPr>
      </w:pPr>
      <w:r w:rsidRPr="00A11C68">
        <w:rPr>
          <w:rFonts w:ascii="Calibri" w:eastAsia="Times New Roman" w:hAnsi="Calibri" w:cs="Calibri"/>
          <w:bCs/>
          <w:sz w:val="28"/>
          <w:szCs w:val="28"/>
          <w:lang w:eastAsia="pl-PL"/>
        </w:rPr>
        <w:lastRenderedPageBreak/>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A11C68">
        <w:rPr>
          <w:rFonts w:ascii="Calibri" w:eastAsia="Times New Roman" w:hAnsi="Calibri" w:cs="Calibri"/>
          <w:sz w:val="28"/>
          <w:szCs w:val="28"/>
          <w:lang w:eastAsia="zh-CN"/>
        </w:rPr>
        <w:t xml:space="preserve"> </w:t>
      </w:r>
    </w:p>
    <w:p w14:paraId="755808D9" w14:textId="77777777" w:rsidR="00A11C68" w:rsidRPr="00A11C68" w:rsidRDefault="00A11C68" w:rsidP="00A11C68">
      <w:pPr>
        <w:tabs>
          <w:tab w:val="left" w:pos="426"/>
        </w:tabs>
        <w:spacing w:after="120" w:line="240" w:lineRule="auto"/>
        <w:ind w:left="284"/>
        <w:jc w:val="both"/>
        <w:rPr>
          <w:rFonts w:ascii="Calibri" w:eastAsia="Times New Roman" w:hAnsi="Calibri" w:cs="Calibri"/>
          <w:bCs/>
          <w:sz w:val="28"/>
          <w:szCs w:val="28"/>
          <w:lang w:eastAsia="zh-CN"/>
        </w:rPr>
      </w:pPr>
      <w:r w:rsidRPr="00A11C68">
        <w:rPr>
          <w:rFonts w:ascii="Calibri" w:eastAsia="Times New Roman" w:hAnsi="Calibri" w:cs="Calibri"/>
          <w:sz w:val="28"/>
          <w:szCs w:val="28"/>
          <w:lang w:eastAsia="zh-CN"/>
        </w:rPr>
        <w:t xml:space="preserve">przedmiotowe przedsięwzięcie nie będzie transgranicznie oddziaływać na środowisko. </w:t>
      </w:r>
    </w:p>
    <w:p w14:paraId="4D586385" w14:textId="77777777" w:rsidR="00A11C68" w:rsidRPr="00A11C68" w:rsidRDefault="00A11C68" w:rsidP="00A11C68">
      <w:pPr>
        <w:tabs>
          <w:tab w:val="left" w:pos="426"/>
        </w:tabs>
        <w:spacing w:after="120" w:line="240" w:lineRule="auto"/>
        <w:jc w:val="both"/>
        <w:rPr>
          <w:rFonts w:ascii="Calibri" w:eastAsia="Times New Roman" w:hAnsi="Calibri" w:cs="Calibri"/>
          <w:bCs/>
          <w:sz w:val="28"/>
          <w:szCs w:val="28"/>
          <w:lang w:eastAsia="zh-CN"/>
        </w:rPr>
      </w:pPr>
      <w:r w:rsidRPr="00A11C68">
        <w:rPr>
          <w:rFonts w:ascii="Calibri" w:eastAsia="Times New Roman" w:hAnsi="Calibri" w:cs="Calibri"/>
          <w:b/>
          <w:sz w:val="28"/>
          <w:szCs w:val="28"/>
          <w:lang w:eastAsia="pl-PL"/>
        </w:rPr>
        <w:tab/>
      </w:r>
      <w:r w:rsidRPr="00A11C68">
        <w:rPr>
          <w:rFonts w:ascii="Calibri" w:eastAsia="Times New Roman" w:hAnsi="Calibri" w:cs="Calibri"/>
          <w:b/>
          <w:sz w:val="28"/>
          <w:szCs w:val="28"/>
          <w:lang w:eastAsia="pl-PL"/>
        </w:rPr>
        <w:tab/>
      </w:r>
      <w:r w:rsidRPr="00A11C68">
        <w:rPr>
          <w:rFonts w:ascii="Calibri" w:eastAsia="Times New Roman" w:hAnsi="Calibri" w:cs="Calibri"/>
          <w:sz w:val="28"/>
          <w:szCs w:val="28"/>
          <w:lang w:eastAsia="pl-PL"/>
        </w:rPr>
        <w:t xml:space="preserve">Po przeanalizowaniu stanowisk Organów opiniujących (jeden Organ spośród czterech wyraził opinię o potrzebie przeprowadzenia oceny oddziaływania na środowisko), informacji zawartych w karcie informacyjnej przedsięwzięcia oraz uwzględniając łącznie kryteria wskazane w art. 63 ust. 1 ustawy, </w:t>
      </w:r>
      <w:r w:rsidRPr="00A11C68">
        <w:rPr>
          <w:rFonts w:ascii="Calibri" w:eastAsia="Times New Roman" w:hAnsi="Calibri" w:cs="Calibri"/>
          <w:bCs/>
          <w:sz w:val="28"/>
          <w:szCs w:val="28"/>
          <w:lang w:eastAsia="pl-PL"/>
        </w:rPr>
        <w:t xml:space="preserve">Burmistrz Śremu stwierdził obowiązek przeprowadzenia oceny oddziaływania przedsięwzięcia na środowisko i sporządzenia raportu. </w:t>
      </w:r>
    </w:p>
    <w:p w14:paraId="52EEB45D" w14:textId="77777777" w:rsidR="00A11C68" w:rsidRPr="00A11C68" w:rsidRDefault="00A11C68" w:rsidP="00A11C68">
      <w:pPr>
        <w:spacing w:after="120" w:line="240" w:lineRule="auto"/>
        <w:ind w:firstLine="708"/>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 xml:space="preserve">Tutejszy organ podziela argumenty Regionalnego Dyrektora Ochrony Środowiska w Poznaniu przemawiające za koniecznością przeprowadzenia oceny oddziaływania na środowisko dla projektowanego przedsięwzięcia. </w:t>
      </w:r>
    </w:p>
    <w:p w14:paraId="2A8A45D4" w14:textId="77777777" w:rsidR="00A11C68" w:rsidRPr="00A11C68" w:rsidRDefault="00A11C68" w:rsidP="00A11C68">
      <w:pPr>
        <w:spacing w:after="120" w:line="240" w:lineRule="auto"/>
        <w:ind w:firstLine="708"/>
        <w:jc w:val="both"/>
        <w:rPr>
          <w:rFonts w:ascii="Calibri" w:eastAsia="Times New Roman" w:hAnsi="Calibri" w:cs="Calibri"/>
          <w:bCs/>
          <w:sz w:val="28"/>
          <w:szCs w:val="28"/>
          <w:lang w:eastAsia="pl-PL"/>
        </w:rPr>
      </w:pPr>
      <w:r w:rsidRPr="00A11C68">
        <w:rPr>
          <w:rFonts w:ascii="Calibri" w:eastAsia="Times New Roman" w:hAnsi="Calibri" w:cs="Calibri"/>
          <w:sz w:val="28"/>
          <w:szCs w:val="28"/>
          <w:lang w:eastAsia="pl-PL"/>
        </w:rPr>
        <w:t xml:space="preserve">Analiza parametrów eksploatacyjnych farmy fotowoltaicznej i magazynów energii, warunków środowiskowych i terenowych przedstawionych w raporcie o oddziaływaniu planowanego przedsięwzięcia na środowisko jest niezbędna w celu dokładnego określenia wpływu przedsięwzięcia na środowisko. </w:t>
      </w:r>
      <w:r w:rsidRPr="00A11C68">
        <w:rPr>
          <w:rFonts w:ascii="Calibri" w:eastAsia="Times New Roman" w:hAnsi="Calibri" w:cs="Calibri"/>
          <w:bCs/>
          <w:sz w:val="28"/>
          <w:szCs w:val="28"/>
          <w:lang w:eastAsia="pl-PL"/>
        </w:rPr>
        <w:t xml:space="preserve">Raport stanowi bowiem podstawowy dowód w sprawach dotyczących ustalenia środowiskowych uwarunkowań dla danego przedsięwzięcia. </w:t>
      </w:r>
    </w:p>
    <w:p w14:paraId="15A59B07" w14:textId="77777777" w:rsidR="00A11C68" w:rsidRPr="00A11C68" w:rsidRDefault="00A11C68" w:rsidP="00A11C68">
      <w:pPr>
        <w:spacing w:after="120" w:line="240" w:lineRule="auto"/>
        <w:ind w:firstLine="708"/>
        <w:jc w:val="both"/>
        <w:rPr>
          <w:rFonts w:ascii="Calibri" w:eastAsia="Times New Roman" w:hAnsi="Calibri" w:cs="Calibri"/>
          <w:sz w:val="28"/>
          <w:szCs w:val="28"/>
          <w:lang w:eastAsia="pl-PL"/>
        </w:rPr>
      </w:pPr>
      <w:r w:rsidRPr="00A11C68">
        <w:rPr>
          <w:rFonts w:ascii="Calibri" w:eastAsia="Times New Roman" w:hAnsi="Calibri" w:cs="Calibri"/>
          <w:b/>
          <w:bCs/>
          <w:sz w:val="28"/>
          <w:szCs w:val="28"/>
          <w:lang w:eastAsia="pl-PL"/>
        </w:rPr>
        <w:t>Raport o oddziaływaniu przedsięwzięcia na środowisko powinien być wykonany zgodnie z art. 66 ustawy</w:t>
      </w:r>
      <w:r w:rsidRPr="00A11C68">
        <w:rPr>
          <w:rFonts w:ascii="Calibri" w:eastAsia="Times New Roman" w:hAnsi="Calibri" w:cs="Calibri"/>
          <w:sz w:val="28"/>
          <w:szCs w:val="28"/>
          <w:lang w:eastAsia="pl-PL"/>
        </w:rPr>
        <w:t>. W niniejszym postanowieniu wskazano także na przedstawienie zagadnień z zakresu ochrony przed hałasem, ochrony powierzchni ziemi, ochrony klimatu, ochrony przyrody i bioróżnorodności, które powinny być szczegółowo przeanalizowane w raporcie. Ze względu na skalę przedsięwzięcia, rodzaj urządzeń i lokalizację przedsięwzięcia w raporcie należy uwzględnić w szerszym zakresie możliwość wystąpienia poważnych awarii oraz narażenia na katastrofy naturalne szczególnie powodzie. Ponadto w raporcie należy przedstawić działania zmniejszające możliwe konflikty społeczne, w związku z lokalizacją przedsięwzięcia w sąsiedztwie terenów zamieszkałych.</w:t>
      </w:r>
    </w:p>
    <w:p w14:paraId="0D391A30" w14:textId="77777777" w:rsidR="00A11C68" w:rsidRPr="00A11C68" w:rsidRDefault="00A11C68" w:rsidP="00A11C68">
      <w:pPr>
        <w:spacing w:after="120" w:line="240" w:lineRule="auto"/>
        <w:ind w:firstLine="708"/>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Mając powyższe na uwadze należało orzec jak w sentencji postanowienia.</w:t>
      </w:r>
    </w:p>
    <w:p w14:paraId="62AE5138" w14:textId="77777777" w:rsidR="00A11C68" w:rsidRPr="00A11C68" w:rsidRDefault="00A11C68" w:rsidP="00A11C68">
      <w:pPr>
        <w:spacing w:after="0" w:line="240" w:lineRule="auto"/>
        <w:jc w:val="both"/>
        <w:rPr>
          <w:rFonts w:ascii="Calibri" w:eastAsia="Times New Roman" w:hAnsi="Calibri" w:cs="Calibri"/>
          <w:bCs/>
          <w:sz w:val="28"/>
          <w:szCs w:val="28"/>
          <w:lang w:eastAsia="pl-PL"/>
        </w:rPr>
      </w:pPr>
      <w:r w:rsidRPr="00A11C68">
        <w:rPr>
          <w:rFonts w:ascii="Calibri" w:eastAsia="Times New Roman" w:hAnsi="Calibri" w:cs="Calibri"/>
          <w:bCs/>
          <w:sz w:val="28"/>
          <w:szCs w:val="28"/>
          <w:lang w:eastAsia="pl-PL"/>
        </w:rPr>
        <w:br w:type="page"/>
      </w:r>
    </w:p>
    <w:p w14:paraId="546EAA82" w14:textId="77777777" w:rsidR="00A11C68" w:rsidRPr="00A11C68" w:rsidRDefault="00A11C68" w:rsidP="00A11C68">
      <w:pPr>
        <w:spacing w:after="120" w:line="240" w:lineRule="auto"/>
        <w:jc w:val="center"/>
        <w:rPr>
          <w:rFonts w:ascii="Calibri" w:eastAsia="Times New Roman" w:hAnsi="Calibri" w:cs="Calibri"/>
          <w:bCs/>
          <w:sz w:val="28"/>
          <w:szCs w:val="28"/>
          <w:lang w:eastAsia="pl-PL"/>
        </w:rPr>
      </w:pPr>
      <w:r w:rsidRPr="00A11C68">
        <w:rPr>
          <w:rFonts w:ascii="Calibri" w:eastAsia="Times New Roman" w:hAnsi="Calibri" w:cs="Calibri"/>
          <w:bCs/>
          <w:sz w:val="28"/>
          <w:szCs w:val="28"/>
          <w:lang w:eastAsia="pl-PL"/>
        </w:rPr>
        <w:lastRenderedPageBreak/>
        <w:t>Pouczenie</w:t>
      </w:r>
    </w:p>
    <w:p w14:paraId="34901CE9" w14:textId="77777777" w:rsidR="00A11C68" w:rsidRPr="00A11C68" w:rsidRDefault="00A11C68" w:rsidP="00A11C68">
      <w:pPr>
        <w:spacing w:after="120" w:line="240" w:lineRule="auto"/>
        <w:ind w:firstLine="708"/>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Na niniejsze postanowienie przysługuje stronie zażalenie do Samorządowego Kolegium Odwoławczego w Poznaniu za moim pośrednictwem, w terminie 7 dni od dnia doręczenia postanowienia.</w:t>
      </w:r>
    </w:p>
    <w:p w14:paraId="17B1EEC3" w14:textId="7D8C9D75" w:rsidR="00A11C68" w:rsidRPr="00A11C68" w:rsidRDefault="00A11C68" w:rsidP="00A11C68">
      <w:pPr>
        <w:spacing w:after="0" w:line="240" w:lineRule="auto"/>
        <w:ind w:left="2832"/>
        <w:jc w:val="center"/>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z up. BURMISTRZA</w:t>
      </w:r>
    </w:p>
    <w:p w14:paraId="202179B2" w14:textId="77777777" w:rsidR="00A11C68" w:rsidRPr="00A11C68" w:rsidRDefault="00A11C68" w:rsidP="00A11C68">
      <w:pPr>
        <w:spacing w:after="0" w:line="240" w:lineRule="auto"/>
        <w:ind w:left="2832"/>
        <w:jc w:val="center"/>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Katarzyna Bednarowicz</w:t>
      </w:r>
    </w:p>
    <w:p w14:paraId="3F4666C0" w14:textId="77777777" w:rsidR="00A11C68" w:rsidRPr="00A11C68" w:rsidRDefault="00A11C68" w:rsidP="00A11C68">
      <w:pPr>
        <w:spacing w:after="0" w:line="240" w:lineRule="auto"/>
        <w:ind w:left="2832"/>
        <w:jc w:val="center"/>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naczelnik Pionu Gospodarowania</w:t>
      </w:r>
    </w:p>
    <w:p w14:paraId="0AE0995D" w14:textId="77777777" w:rsidR="00A11C68" w:rsidRPr="00A11C68" w:rsidRDefault="00A11C68" w:rsidP="00A11C68">
      <w:pPr>
        <w:spacing w:after="0" w:line="240" w:lineRule="auto"/>
        <w:ind w:left="2832"/>
        <w:jc w:val="center"/>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Przestrzenią i Środowiskiem</w:t>
      </w:r>
    </w:p>
    <w:p w14:paraId="0183982A" w14:textId="77777777" w:rsidR="00A11C68" w:rsidRDefault="00A11C68" w:rsidP="00A11C68">
      <w:pPr>
        <w:spacing w:after="0" w:line="240" w:lineRule="auto"/>
        <w:jc w:val="both"/>
        <w:rPr>
          <w:rFonts w:ascii="Calibri" w:eastAsia="Times New Roman" w:hAnsi="Calibri" w:cs="Calibri"/>
          <w:sz w:val="28"/>
          <w:szCs w:val="28"/>
          <w:lang w:eastAsia="pl-PL"/>
        </w:rPr>
      </w:pPr>
    </w:p>
    <w:p w14:paraId="412700CD" w14:textId="168182CC" w:rsidR="00A11C68" w:rsidRPr="00A11C68" w:rsidRDefault="00A11C68" w:rsidP="00A11C68">
      <w:pPr>
        <w:spacing w:after="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Sprawę prowadzi:</w:t>
      </w:r>
    </w:p>
    <w:p w14:paraId="1056A259" w14:textId="77777777" w:rsidR="00A11C68" w:rsidRPr="00A11C68" w:rsidRDefault="00A11C68" w:rsidP="00A11C68">
      <w:pPr>
        <w:spacing w:after="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Małgorzata Borowska</w:t>
      </w:r>
    </w:p>
    <w:p w14:paraId="669EFD0E" w14:textId="77777777" w:rsidR="00A11C68" w:rsidRPr="00A11C68" w:rsidRDefault="00A11C68" w:rsidP="00A11C68">
      <w:pPr>
        <w:spacing w:after="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inspektor</w:t>
      </w:r>
    </w:p>
    <w:p w14:paraId="7C5F0249" w14:textId="77777777" w:rsidR="00A11C68" w:rsidRPr="00A11C68" w:rsidRDefault="00A11C68" w:rsidP="00A11C68">
      <w:pPr>
        <w:spacing w:after="12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tel. 61 28 47 140</w:t>
      </w:r>
    </w:p>
    <w:p w14:paraId="63E7A28E" w14:textId="77777777" w:rsidR="00A11C68" w:rsidRPr="00A11C68" w:rsidRDefault="00A11C68" w:rsidP="00A11C68">
      <w:pPr>
        <w:spacing w:after="120" w:line="240" w:lineRule="auto"/>
        <w:jc w:val="both"/>
        <w:rPr>
          <w:rFonts w:ascii="Calibri" w:eastAsia="Times New Roman" w:hAnsi="Calibri" w:cs="Calibri"/>
          <w:sz w:val="28"/>
          <w:szCs w:val="28"/>
          <w:lang w:eastAsia="pl-PL"/>
        </w:rPr>
      </w:pPr>
    </w:p>
    <w:p w14:paraId="4853FB20" w14:textId="77777777" w:rsidR="00A11C68" w:rsidRPr="00A11C68" w:rsidRDefault="00A11C68" w:rsidP="00A11C68">
      <w:pPr>
        <w:spacing w:after="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Otrzymują:</w:t>
      </w:r>
    </w:p>
    <w:p w14:paraId="58D5D6C9" w14:textId="77777777" w:rsidR="00A11C68" w:rsidRPr="00A11C68" w:rsidRDefault="00A11C68" w:rsidP="00A11C68">
      <w:pPr>
        <w:spacing w:after="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I. Strony postępowania:</w:t>
      </w:r>
    </w:p>
    <w:p w14:paraId="1E9DC6E5" w14:textId="77777777" w:rsidR="00A11C68" w:rsidRPr="00A11C68" w:rsidRDefault="00A11C68" w:rsidP="00A11C68">
      <w:pPr>
        <w:numPr>
          <w:ilvl w:val="0"/>
          <w:numId w:val="18"/>
        </w:numPr>
        <w:spacing w:after="0" w:line="240" w:lineRule="auto"/>
        <w:ind w:left="567" w:hanging="283"/>
        <w:contextualSpacing/>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Green Capital Spółka Akcyjna z siedzibą w Warszawie, Aleje Jerozolimskie 85/21, 02-001 Warszawa</w:t>
      </w:r>
    </w:p>
    <w:p w14:paraId="25E40BEB" w14:textId="77777777" w:rsidR="00A11C68" w:rsidRPr="00A11C68" w:rsidRDefault="00A11C68" w:rsidP="00A11C68">
      <w:pPr>
        <w:spacing w:after="0" w:line="240" w:lineRule="auto"/>
        <w:ind w:left="567"/>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pełnomocnik: Pani Sylwia Kupc, ul. Juliusza Słowackiego 59, 87-700 Aleksandrów Kujawski</w:t>
      </w:r>
    </w:p>
    <w:p w14:paraId="38AA1036" w14:textId="77777777" w:rsidR="00A11C68" w:rsidRPr="00A11C68" w:rsidRDefault="00A11C68" w:rsidP="00A11C68">
      <w:pPr>
        <w:numPr>
          <w:ilvl w:val="0"/>
          <w:numId w:val="18"/>
        </w:numPr>
        <w:spacing w:after="0" w:line="240" w:lineRule="auto"/>
        <w:contextualSpacing/>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 xml:space="preserve">Pozostałe strony postępowania przez obwieszczenie, zgodnie z art. 74 ust. 3 ustawy </w:t>
      </w:r>
    </w:p>
    <w:p w14:paraId="6F3CB949" w14:textId="77777777" w:rsidR="00A11C68" w:rsidRPr="00A11C68" w:rsidRDefault="00A11C68" w:rsidP="00A11C68">
      <w:pPr>
        <w:spacing w:after="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II. aa</w:t>
      </w:r>
    </w:p>
    <w:p w14:paraId="079D2547" w14:textId="77777777" w:rsidR="00A11C68" w:rsidRPr="00A11C68" w:rsidRDefault="00A11C68" w:rsidP="00A11C68">
      <w:pPr>
        <w:spacing w:after="120" w:line="240" w:lineRule="auto"/>
        <w:jc w:val="both"/>
        <w:rPr>
          <w:rFonts w:ascii="Calibri" w:eastAsia="Times New Roman" w:hAnsi="Calibri" w:cs="Calibri"/>
          <w:sz w:val="28"/>
          <w:szCs w:val="28"/>
          <w:lang w:eastAsia="pl-PL"/>
        </w:rPr>
      </w:pPr>
    </w:p>
    <w:p w14:paraId="32ABBCBB" w14:textId="77777777" w:rsidR="00A11C68" w:rsidRPr="00A11C68" w:rsidRDefault="00A11C68" w:rsidP="00A11C68">
      <w:pPr>
        <w:spacing w:after="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Do wiadomości:</w:t>
      </w:r>
    </w:p>
    <w:p w14:paraId="017424A9" w14:textId="77777777" w:rsidR="00A11C68" w:rsidRPr="00A11C68" w:rsidRDefault="00A11C68" w:rsidP="00A11C68">
      <w:pPr>
        <w:numPr>
          <w:ilvl w:val="0"/>
          <w:numId w:val="2"/>
        </w:numPr>
        <w:tabs>
          <w:tab w:val="left" w:pos="300"/>
        </w:tabs>
        <w:spacing w:after="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Regionalny Dyrektor Ochrony Środowiska w Poznaniu (ePUAP)</w:t>
      </w:r>
    </w:p>
    <w:p w14:paraId="5FAF08E3" w14:textId="77777777" w:rsidR="00A11C68" w:rsidRPr="00A11C68" w:rsidRDefault="00A11C68" w:rsidP="00A11C68">
      <w:pPr>
        <w:numPr>
          <w:ilvl w:val="0"/>
          <w:numId w:val="2"/>
        </w:numPr>
        <w:tabs>
          <w:tab w:val="left" w:pos="300"/>
        </w:tabs>
        <w:spacing w:after="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Państwowy Powiatowy Inspektor Sanitarny w Śremie (ePUAP)</w:t>
      </w:r>
    </w:p>
    <w:p w14:paraId="58F4CDB9" w14:textId="77777777" w:rsidR="00A11C68" w:rsidRPr="00A11C68" w:rsidRDefault="00A11C68" w:rsidP="00A11C68">
      <w:pPr>
        <w:numPr>
          <w:ilvl w:val="0"/>
          <w:numId w:val="2"/>
        </w:numPr>
        <w:tabs>
          <w:tab w:val="left" w:pos="300"/>
        </w:tabs>
        <w:spacing w:after="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Dyrektor Zarządu Zlewni Państwowego Gospodarstwa Wodnego Wody Polskie w Poznaniu (ePUAP)</w:t>
      </w:r>
    </w:p>
    <w:p w14:paraId="42850EAB" w14:textId="77777777" w:rsidR="00A11C68" w:rsidRPr="00A11C68" w:rsidRDefault="00A11C68" w:rsidP="00A11C68">
      <w:pPr>
        <w:numPr>
          <w:ilvl w:val="0"/>
          <w:numId w:val="2"/>
        </w:numPr>
        <w:tabs>
          <w:tab w:val="left" w:pos="300"/>
        </w:tabs>
        <w:spacing w:after="0" w:line="240" w:lineRule="auto"/>
        <w:jc w:val="both"/>
        <w:rPr>
          <w:rFonts w:ascii="Calibri" w:eastAsia="Times New Roman" w:hAnsi="Calibri" w:cs="Calibri"/>
          <w:sz w:val="28"/>
          <w:szCs w:val="28"/>
          <w:lang w:eastAsia="pl-PL"/>
        </w:rPr>
      </w:pPr>
      <w:r w:rsidRPr="00A11C68">
        <w:rPr>
          <w:rFonts w:ascii="Calibri" w:eastAsia="Times New Roman" w:hAnsi="Calibri" w:cs="Calibri"/>
          <w:sz w:val="28"/>
          <w:szCs w:val="28"/>
          <w:lang w:eastAsia="pl-PL"/>
        </w:rPr>
        <w:t>Wielkopolski Państwowy Wojewódzki Inspektor Sanitarny (ePUAP)</w:t>
      </w:r>
    </w:p>
    <w:p w14:paraId="05909582" w14:textId="77777777" w:rsidR="00A11C68" w:rsidRPr="00A11C68" w:rsidRDefault="00A11C68" w:rsidP="00A11C68">
      <w:pPr>
        <w:spacing w:after="0" w:line="240" w:lineRule="auto"/>
        <w:jc w:val="both"/>
        <w:rPr>
          <w:rFonts w:ascii="Calibri" w:eastAsia="Times New Roman" w:hAnsi="Calibri" w:cs="Calibri"/>
          <w:sz w:val="28"/>
          <w:szCs w:val="28"/>
          <w:lang w:eastAsia="pl-PL"/>
        </w:rPr>
      </w:pPr>
    </w:p>
    <w:p w14:paraId="4BD9058B" w14:textId="6B8A91F5" w:rsidR="004922DB" w:rsidRPr="00D96D0F" w:rsidRDefault="004922DB" w:rsidP="00A11C68">
      <w:pPr>
        <w:spacing w:after="0" w:line="240" w:lineRule="auto"/>
        <w:ind w:right="5668"/>
        <w:jc w:val="center"/>
        <w:rPr>
          <w:rFonts w:ascii="Calibri" w:eastAsia="Times New Roman" w:hAnsi="Calibri" w:cs="Calibri"/>
          <w:bCs/>
          <w:sz w:val="28"/>
          <w:szCs w:val="28"/>
          <w:lang w:eastAsia="pl-PL"/>
        </w:rPr>
      </w:pPr>
    </w:p>
    <w:sectPr w:rsidR="004922DB" w:rsidRPr="00D96D0F" w:rsidSect="00D066E1">
      <w:headerReference w:type="default" r:id="rId8"/>
      <w:footerReference w:type="even" r:id="rId9"/>
      <w:footerReference w:type="default" r:id="rId10"/>
      <w:headerReference w:type="first" r:id="rId11"/>
      <w:footerReference w:type="first" r:id="rId12"/>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4DBA7" w14:textId="77777777" w:rsidR="0077177A" w:rsidRDefault="0077177A" w:rsidP="00053E5A">
      <w:pPr>
        <w:spacing w:after="0" w:line="240" w:lineRule="auto"/>
      </w:pPr>
      <w:r>
        <w:separator/>
      </w:r>
    </w:p>
  </w:endnote>
  <w:endnote w:type="continuationSeparator" w:id="0">
    <w:p w14:paraId="5D79F2E4" w14:textId="77777777" w:rsidR="0077177A" w:rsidRDefault="0077177A"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4F7C49B4" w:rsidR="00722E64" w:rsidRDefault="00722E64" w:rsidP="00722E64">
    <w:pPr>
      <w:pStyle w:val="Stopka"/>
      <w:jc w:val="center"/>
    </w:pPr>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E22B9" w14:textId="77777777" w:rsidR="0077177A" w:rsidRDefault="0077177A" w:rsidP="00053E5A">
      <w:pPr>
        <w:spacing w:after="0" w:line="240" w:lineRule="auto"/>
      </w:pPr>
      <w:r>
        <w:separator/>
      </w:r>
    </w:p>
  </w:footnote>
  <w:footnote w:type="continuationSeparator" w:id="0">
    <w:p w14:paraId="0735A361" w14:textId="77777777" w:rsidR="0077177A" w:rsidRDefault="0077177A" w:rsidP="00053E5A">
      <w:pPr>
        <w:spacing w:after="0" w:line="240" w:lineRule="auto"/>
      </w:pPr>
      <w:r>
        <w:continuationSeparator/>
      </w:r>
    </w:p>
  </w:footnote>
  <w:footnote w:id="1">
    <w:p w14:paraId="16C45879" w14:textId="77777777" w:rsidR="00A11C68" w:rsidRPr="00E55BA5" w:rsidRDefault="00A11C68" w:rsidP="00A11C68">
      <w:pPr>
        <w:pStyle w:val="Tekstprzypisudolnego1"/>
        <w:rPr>
          <w:sz w:val="28"/>
        </w:rPr>
      </w:pPr>
      <w:r w:rsidRPr="00E55BA5">
        <w:rPr>
          <w:rStyle w:val="Odwoanieprzypisudolnego"/>
          <w:sz w:val="28"/>
        </w:rPr>
        <w:footnoteRef/>
      </w:r>
      <w:r w:rsidRPr="00E55BA5">
        <w:rPr>
          <w:sz w:val="28"/>
        </w:rPr>
        <w:t xml:space="preserve"> zabudowa przemysłowa, w tym zabudowa systemami fotowoltaicznymi, lub magazynowa, wraz z towarzyszącą jej infrastrukturą, o powierzchni zabudowy nie mniejszej niż 0,5 ha na obszarach objętych formami ochrony przyrody, o</w:t>
      </w:r>
      <w:r>
        <w:rPr>
          <w:sz w:val="28"/>
        </w:rPr>
        <w:t> </w:t>
      </w:r>
      <w:r w:rsidRPr="00E55BA5">
        <w:rPr>
          <w:sz w:val="28"/>
        </w:rPr>
        <w:t>których mowa w art. 6 ust. 1 pkt 1-5, 8 i 9 ustawy z dnia 16 kwietnia 2004 r. o ochronie przyrody, lub w otulinach form ochrony przyrody, o których mowa w art. 6 ust. 1 pkt 1-3 tej ustawy</w:t>
      </w:r>
    </w:p>
  </w:footnote>
  <w:footnote w:id="2">
    <w:p w14:paraId="0582CEEF" w14:textId="77777777" w:rsidR="00A11C68" w:rsidRPr="00E50037" w:rsidRDefault="00A11C68" w:rsidP="00A11C68">
      <w:pPr>
        <w:pStyle w:val="Tekstprzypisudolnego1"/>
        <w:rPr>
          <w:sz w:val="28"/>
          <w:szCs w:val="28"/>
        </w:rPr>
      </w:pPr>
      <w:r w:rsidRPr="00E50037">
        <w:rPr>
          <w:rStyle w:val="Odwoanieprzypisudolnego"/>
          <w:sz w:val="28"/>
          <w:szCs w:val="28"/>
        </w:rPr>
        <w:footnoteRef/>
      </w:r>
      <w:r w:rsidRPr="00E50037">
        <w:rPr>
          <w:sz w:val="28"/>
          <w:szCs w:val="28"/>
        </w:rPr>
        <w:t xml:space="preserve"> </w:t>
      </w:r>
      <w:r>
        <w:rPr>
          <w:sz w:val="28"/>
          <w:szCs w:val="28"/>
        </w:rPr>
        <w:t>k</w:t>
      </w:r>
      <w:r w:rsidRPr="00E50037">
        <w:rPr>
          <w:sz w:val="28"/>
          <w:szCs w:val="28"/>
        </w:rPr>
        <w:t>arta informacyjna przedsięwzięcia</w:t>
      </w:r>
    </w:p>
  </w:footnote>
  <w:footnote w:id="3">
    <w:p w14:paraId="06496A6A" w14:textId="77777777" w:rsidR="00A11C68" w:rsidRDefault="00A11C68" w:rsidP="00A11C68">
      <w:pPr>
        <w:pStyle w:val="Tekstprzypisudolnego1"/>
      </w:pPr>
      <w:r w:rsidRPr="00E50037">
        <w:rPr>
          <w:rStyle w:val="Odwoanieprzypisudolnego"/>
          <w:sz w:val="28"/>
          <w:szCs w:val="28"/>
        </w:rPr>
        <w:footnoteRef/>
      </w:r>
      <w:r w:rsidRPr="00E50037">
        <w:rPr>
          <w:sz w:val="28"/>
          <w:szCs w:val="28"/>
        </w:rPr>
        <w:t xml:space="preserve"> ustawa z dnia 3 października 2008 r. o udostępnianiu informacji o środowisku i jego ochronie, udziale społeczeństwa w ochronie środowiska oraz o ocenach oddziaływania na środowisko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2E877E0"/>
    <w:multiLevelType w:val="hybridMultilevel"/>
    <w:tmpl w:val="59EE53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694873"/>
    <w:multiLevelType w:val="hybridMultilevel"/>
    <w:tmpl w:val="800234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0810066"/>
    <w:multiLevelType w:val="hybridMultilevel"/>
    <w:tmpl w:val="FBCA0694"/>
    <w:lvl w:ilvl="0" w:tplc="04150011">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6"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5F533B51"/>
    <w:multiLevelType w:val="hybridMultilevel"/>
    <w:tmpl w:val="E482DCE6"/>
    <w:lvl w:ilvl="0" w:tplc="00A05F6E">
      <w:start w:val="1"/>
      <w:numFmt w:val="decimal"/>
      <w:lvlText w:val="%1."/>
      <w:lvlJc w:val="left"/>
      <w:pPr>
        <w:ind w:left="786"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04508DC"/>
    <w:multiLevelType w:val="hybridMultilevel"/>
    <w:tmpl w:val="0DBC2CFE"/>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48D266D"/>
    <w:multiLevelType w:val="hybridMultilevel"/>
    <w:tmpl w:val="985A2C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DF748FB"/>
    <w:multiLevelType w:val="hybridMultilevel"/>
    <w:tmpl w:val="386AC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8880067">
    <w:abstractNumId w:val="10"/>
  </w:num>
  <w:num w:numId="2" w16cid:durableId="442186739">
    <w:abstractNumId w:val="15"/>
  </w:num>
  <w:num w:numId="3" w16cid:durableId="400937">
    <w:abstractNumId w:val="3"/>
  </w:num>
  <w:num w:numId="4" w16cid:durableId="1623227404">
    <w:abstractNumId w:val="7"/>
  </w:num>
  <w:num w:numId="5" w16cid:durableId="1271202988">
    <w:abstractNumId w:val="6"/>
  </w:num>
  <w:num w:numId="6" w16cid:durableId="736971683">
    <w:abstractNumId w:val="8"/>
  </w:num>
  <w:num w:numId="7" w16cid:durableId="821048280">
    <w:abstractNumId w:val="0"/>
  </w:num>
  <w:num w:numId="8" w16cid:durableId="944113419">
    <w:abstractNumId w:val="9"/>
  </w:num>
  <w:num w:numId="9" w16cid:durableId="841622664">
    <w:abstractNumId w:val="1"/>
  </w:num>
  <w:num w:numId="10" w16cid:durableId="657272061">
    <w:abstractNumId w:val="13"/>
  </w:num>
  <w:num w:numId="11" w16cid:durableId="2005041004">
    <w:abstractNumId w:val="16"/>
  </w:num>
  <w:num w:numId="12" w16cid:durableId="1351643919">
    <w:abstractNumId w:val="17"/>
  </w:num>
  <w:num w:numId="13" w16cid:durableId="850024568">
    <w:abstractNumId w:val="2"/>
  </w:num>
  <w:num w:numId="14" w16cid:durableId="652760337">
    <w:abstractNumId w:val="14"/>
  </w:num>
  <w:num w:numId="15" w16cid:durableId="1870488570">
    <w:abstractNumId w:val="11"/>
  </w:num>
  <w:num w:numId="16" w16cid:durableId="861357376">
    <w:abstractNumId w:val="12"/>
  </w:num>
  <w:num w:numId="17" w16cid:durableId="1734159182">
    <w:abstractNumId w:val="5"/>
  </w:num>
  <w:num w:numId="18" w16cid:durableId="3250112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20EF4"/>
    <w:rsid w:val="00053E5A"/>
    <w:rsid w:val="000C0935"/>
    <w:rsid w:val="0010000E"/>
    <w:rsid w:val="001E45F7"/>
    <w:rsid w:val="00250690"/>
    <w:rsid w:val="00296D46"/>
    <w:rsid w:val="0031777D"/>
    <w:rsid w:val="00341A2E"/>
    <w:rsid w:val="003625F3"/>
    <w:rsid w:val="003650B3"/>
    <w:rsid w:val="00401359"/>
    <w:rsid w:val="004266A8"/>
    <w:rsid w:val="004519AC"/>
    <w:rsid w:val="0048459B"/>
    <w:rsid w:val="004922DB"/>
    <w:rsid w:val="004B3F8A"/>
    <w:rsid w:val="00525346"/>
    <w:rsid w:val="00547B25"/>
    <w:rsid w:val="00575C7A"/>
    <w:rsid w:val="00582CAF"/>
    <w:rsid w:val="005A07CF"/>
    <w:rsid w:val="005B4C37"/>
    <w:rsid w:val="005E5887"/>
    <w:rsid w:val="006463C1"/>
    <w:rsid w:val="00677A8F"/>
    <w:rsid w:val="006A6F3E"/>
    <w:rsid w:val="00722E64"/>
    <w:rsid w:val="0077177A"/>
    <w:rsid w:val="00775A53"/>
    <w:rsid w:val="00801B47"/>
    <w:rsid w:val="0081559F"/>
    <w:rsid w:val="00825443"/>
    <w:rsid w:val="00883567"/>
    <w:rsid w:val="008A4EA9"/>
    <w:rsid w:val="009014D5"/>
    <w:rsid w:val="00917C21"/>
    <w:rsid w:val="009614DC"/>
    <w:rsid w:val="00977946"/>
    <w:rsid w:val="00984072"/>
    <w:rsid w:val="009937A8"/>
    <w:rsid w:val="00A11C68"/>
    <w:rsid w:val="00A80570"/>
    <w:rsid w:val="00C636CE"/>
    <w:rsid w:val="00C74A10"/>
    <w:rsid w:val="00D066E1"/>
    <w:rsid w:val="00D91D83"/>
    <w:rsid w:val="00D96D0F"/>
    <w:rsid w:val="00DA51B2"/>
    <w:rsid w:val="00DE0591"/>
    <w:rsid w:val="00E43A7B"/>
    <w:rsid w:val="00E560F8"/>
    <w:rsid w:val="00E81680"/>
    <w:rsid w:val="00E94009"/>
    <w:rsid w:val="00EA313B"/>
    <w:rsid w:val="00F11BA4"/>
    <w:rsid w:val="00FA3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 w:type="paragraph" w:customStyle="1" w:styleId="Tekstprzypisudolnego1">
    <w:name w:val="Tekst przypisu dolnego1"/>
    <w:basedOn w:val="Normalny"/>
    <w:next w:val="Tekstprzypisudolnego"/>
    <w:link w:val="TekstprzypisudolnegoZnak"/>
    <w:uiPriority w:val="99"/>
    <w:semiHidden/>
    <w:unhideWhenUsed/>
    <w:rsid w:val="00A11C68"/>
    <w:pPr>
      <w:spacing w:after="0" w:line="240" w:lineRule="auto"/>
      <w:jc w:val="both"/>
    </w:pPr>
    <w:rPr>
      <w:rFonts w:ascii="Calibri" w:hAnsi="Calibri" w:cs="Times New Roman"/>
      <w:sz w:val="20"/>
      <w:szCs w:val="20"/>
    </w:rPr>
  </w:style>
  <w:style w:type="character" w:customStyle="1" w:styleId="TekstprzypisudolnegoZnak">
    <w:name w:val="Tekst przypisu dolnego Znak"/>
    <w:basedOn w:val="Domylnaczcionkaakapitu"/>
    <w:link w:val="Tekstprzypisudolnego1"/>
    <w:uiPriority w:val="99"/>
    <w:semiHidden/>
    <w:rsid w:val="00A11C68"/>
    <w:rPr>
      <w:rFonts w:ascii="Calibri" w:hAnsi="Calibri" w:cs="Times New Roman"/>
      <w:sz w:val="20"/>
      <w:szCs w:val="20"/>
    </w:rPr>
  </w:style>
  <w:style w:type="character" w:styleId="Odwoanieprzypisudolnego">
    <w:name w:val="footnote reference"/>
    <w:basedOn w:val="Domylnaczcionkaakapitu"/>
    <w:uiPriority w:val="99"/>
    <w:semiHidden/>
    <w:unhideWhenUsed/>
    <w:rsid w:val="00A11C68"/>
    <w:rPr>
      <w:vertAlign w:val="superscript"/>
    </w:rPr>
  </w:style>
  <w:style w:type="paragraph" w:styleId="Tekstprzypisudolnego">
    <w:name w:val="footnote text"/>
    <w:basedOn w:val="Normalny"/>
    <w:link w:val="TekstprzypisudolnegoZnak1"/>
    <w:uiPriority w:val="99"/>
    <w:semiHidden/>
    <w:unhideWhenUsed/>
    <w:rsid w:val="00A11C68"/>
    <w:pPr>
      <w:spacing w:after="0" w:line="240" w:lineRule="auto"/>
    </w:pPr>
    <w:rPr>
      <w:sz w:val="20"/>
      <w:szCs w:val="20"/>
    </w:rPr>
  </w:style>
  <w:style w:type="character" w:customStyle="1" w:styleId="TekstprzypisudolnegoZnak1">
    <w:name w:val="Tekst przypisu dolnego Znak1"/>
    <w:basedOn w:val="Domylnaczcionkaakapitu"/>
    <w:link w:val="Tekstprzypisudolnego"/>
    <w:uiPriority w:val="99"/>
    <w:semiHidden/>
    <w:rsid w:val="00A11C6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17</Pages>
  <Words>4671</Words>
  <Characters>28027</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5</cp:revision>
  <cp:lastPrinted>2020-02-11T13:09:00Z</cp:lastPrinted>
  <dcterms:created xsi:type="dcterms:W3CDTF">2022-05-09T13:02:00Z</dcterms:created>
  <dcterms:modified xsi:type="dcterms:W3CDTF">2022-05-10T07:26:00Z</dcterms:modified>
</cp:coreProperties>
</file>