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296FB"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Burmistrz Śremu</w:t>
      </w:r>
    </w:p>
    <w:p w14:paraId="0556FEB1"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40247F5C" w14:textId="13C47F1C" w:rsidR="0040322B"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63 – 100 Śrem</w:t>
      </w:r>
    </w:p>
    <w:p w14:paraId="28508B46" w14:textId="5FD64B8A" w:rsidR="005A07CF" w:rsidRPr="005A07CF" w:rsidRDefault="005A07CF" w:rsidP="005A07CF">
      <w:pPr>
        <w:spacing w:after="120" w:line="240" w:lineRule="auto"/>
        <w:jc w:val="right"/>
        <w:rPr>
          <w:rFonts w:eastAsia="Calibri" w:cstheme="minorHAnsi"/>
          <w:sz w:val="28"/>
          <w:szCs w:val="28"/>
        </w:rPr>
      </w:pPr>
      <w:r w:rsidRPr="005A07CF">
        <w:rPr>
          <w:rFonts w:eastAsia="Calibri" w:cstheme="minorHAnsi"/>
          <w:sz w:val="28"/>
          <w:szCs w:val="28"/>
        </w:rPr>
        <w:t xml:space="preserve">Śrem, </w:t>
      </w:r>
      <w:r w:rsidR="00E7593C">
        <w:rPr>
          <w:rFonts w:eastAsia="Calibri" w:cstheme="minorHAnsi"/>
          <w:sz w:val="28"/>
          <w:szCs w:val="28"/>
        </w:rPr>
        <w:t>19</w:t>
      </w:r>
      <w:r w:rsidRPr="005A07CF">
        <w:rPr>
          <w:rFonts w:eastAsia="Calibri" w:cstheme="minorHAnsi"/>
          <w:sz w:val="28"/>
          <w:szCs w:val="28"/>
        </w:rPr>
        <w:t xml:space="preserve"> </w:t>
      </w:r>
      <w:r w:rsidR="00B468AF">
        <w:rPr>
          <w:rFonts w:eastAsia="Calibri" w:cstheme="minorHAnsi"/>
          <w:sz w:val="28"/>
          <w:szCs w:val="28"/>
        </w:rPr>
        <w:t>maja</w:t>
      </w:r>
      <w:r w:rsidRPr="005A07CF">
        <w:rPr>
          <w:rFonts w:eastAsia="Calibri" w:cstheme="minorHAnsi"/>
          <w:sz w:val="28"/>
          <w:szCs w:val="28"/>
        </w:rPr>
        <w:t xml:space="preserve"> 2022 r</w:t>
      </w:r>
      <w:r w:rsidR="004918B2">
        <w:rPr>
          <w:rFonts w:eastAsia="Calibri" w:cstheme="minorHAnsi"/>
          <w:sz w:val="28"/>
          <w:szCs w:val="28"/>
        </w:rPr>
        <w:t>.</w:t>
      </w:r>
    </w:p>
    <w:p w14:paraId="34FBB9F2" w14:textId="73F06FCE"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PPS</w:t>
      </w:r>
      <w:r w:rsidR="00DE0A88">
        <w:rPr>
          <w:rFonts w:eastAsia="Calibri" w:cstheme="minorHAnsi"/>
          <w:sz w:val="28"/>
          <w:szCs w:val="28"/>
        </w:rPr>
        <w:t>PP</w:t>
      </w:r>
      <w:r w:rsidRPr="005A07CF">
        <w:rPr>
          <w:rFonts w:eastAsia="Calibri" w:cstheme="minorHAnsi"/>
          <w:sz w:val="28"/>
          <w:szCs w:val="28"/>
        </w:rPr>
        <w:t>.6</w:t>
      </w:r>
      <w:r w:rsidR="00DE0A88">
        <w:rPr>
          <w:rFonts w:eastAsia="Calibri" w:cstheme="minorHAnsi"/>
          <w:sz w:val="28"/>
          <w:szCs w:val="28"/>
        </w:rPr>
        <w:t>73</w:t>
      </w:r>
      <w:r w:rsidR="00740DC5">
        <w:rPr>
          <w:rFonts w:eastAsia="Calibri" w:cstheme="minorHAnsi"/>
          <w:sz w:val="28"/>
          <w:szCs w:val="28"/>
        </w:rPr>
        <w:t>0</w:t>
      </w:r>
      <w:r w:rsidRPr="005A07CF">
        <w:rPr>
          <w:rFonts w:eastAsia="Calibri" w:cstheme="minorHAnsi"/>
          <w:sz w:val="28"/>
          <w:szCs w:val="28"/>
        </w:rPr>
        <w:t>.</w:t>
      </w:r>
      <w:r w:rsidR="00B468AF">
        <w:rPr>
          <w:rFonts w:eastAsia="Calibri" w:cstheme="minorHAnsi"/>
          <w:sz w:val="28"/>
          <w:szCs w:val="28"/>
        </w:rPr>
        <w:t>173</w:t>
      </w:r>
      <w:r w:rsidRPr="005A07CF">
        <w:rPr>
          <w:rFonts w:eastAsia="Calibri" w:cstheme="minorHAnsi"/>
          <w:sz w:val="28"/>
          <w:szCs w:val="28"/>
        </w:rPr>
        <w:t>.202</w:t>
      </w:r>
      <w:r w:rsidR="00DA34B7">
        <w:rPr>
          <w:rFonts w:eastAsia="Calibri" w:cstheme="minorHAnsi"/>
          <w:sz w:val="28"/>
          <w:szCs w:val="28"/>
        </w:rPr>
        <w:t>1</w:t>
      </w:r>
      <w:r w:rsidRPr="005A07CF">
        <w:rPr>
          <w:rFonts w:eastAsia="Calibri" w:cstheme="minorHAnsi"/>
          <w:sz w:val="28"/>
          <w:szCs w:val="28"/>
        </w:rPr>
        <w:t>.</w:t>
      </w:r>
      <w:r w:rsidR="00740DC5">
        <w:rPr>
          <w:rFonts w:eastAsia="Calibri" w:cstheme="minorHAnsi"/>
          <w:sz w:val="28"/>
          <w:szCs w:val="28"/>
        </w:rPr>
        <w:t>NMAG</w:t>
      </w:r>
    </w:p>
    <w:p w14:paraId="3F435F61" w14:textId="7CB24CA0" w:rsidR="005A07CF" w:rsidRPr="00AF1F86" w:rsidRDefault="005A07CF" w:rsidP="00740DC5">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sidR="009F091A">
        <w:rPr>
          <w:rFonts w:eastAsia="Times New Roman" w:cstheme="minorHAnsi"/>
          <w:sz w:val="28"/>
          <w:szCs w:val="28"/>
        </w:rPr>
        <w:br/>
        <w:t xml:space="preserve"> </w:t>
      </w:r>
      <w:r w:rsidR="001E4E5D" w:rsidRPr="001E4E5D">
        <w:rPr>
          <w:rFonts w:eastAsia="Times New Roman" w:cstheme="minorHAnsi"/>
          <w:sz w:val="28"/>
          <w:szCs w:val="28"/>
        </w:rPr>
        <w:t>o wydaniu decyzji o warunkach zabudowy</w:t>
      </w:r>
    </w:p>
    <w:p w14:paraId="4E19DA3A" w14:textId="10E53C57" w:rsidR="006B3990" w:rsidRDefault="00740DC5" w:rsidP="00377C2A">
      <w:pPr>
        <w:spacing w:after="120" w:line="240" w:lineRule="auto"/>
        <w:ind w:firstLine="567"/>
        <w:jc w:val="both"/>
        <w:rPr>
          <w:rFonts w:cstheme="minorHAnsi"/>
          <w:sz w:val="28"/>
          <w:szCs w:val="28"/>
        </w:rPr>
      </w:pPr>
      <w:r w:rsidRPr="00740DC5">
        <w:rPr>
          <w:sz w:val="28"/>
          <w:szCs w:val="28"/>
        </w:rPr>
        <w:t xml:space="preserve">Na podstawie art. 49a </w:t>
      </w:r>
      <w:r w:rsidR="00DA34B7">
        <w:rPr>
          <w:sz w:val="28"/>
          <w:szCs w:val="28"/>
        </w:rPr>
        <w:t>i</w:t>
      </w:r>
      <w:r w:rsidRPr="00740DC5">
        <w:rPr>
          <w:sz w:val="28"/>
          <w:szCs w:val="28"/>
        </w:rPr>
        <w:t xml:space="preserve"> art. </w:t>
      </w:r>
      <w:r w:rsidR="00DA34B7">
        <w:rPr>
          <w:sz w:val="28"/>
          <w:szCs w:val="28"/>
        </w:rPr>
        <w:t>104</w:t>
      </w:r>
      <w:r w:rsidRPr="00740DC5">
        <w:rPr>
          <w:sz w:val="28"/>
          <w:szCs w:val="28"/>
        </w:rPr>
        <w:t xml:space="preserve"> ustawy z dnia 14 czerwca 1960 r. </w:t>
      </w:r>
      <w:r w:rsidR="00207356">
        <w:rPr>
          <w:sz w:val="28"/>
          <w:szCs w:val="28"/>
        </w:rPr>
        <w:t xml:space="preserve">- </w:t>
      </w:r>
      <w:r w:rsidRPr="00740DC5">
        <w:rPr>
          <w:sz w:val="28"/>
          <w:szCs w:val="28"/>
        </w:rPr>
        <w:t>Kodeks postępowania administracyjnego (Dz. U. z 2021 r. poz. 735</w:t>
      </w:r>
      <w:r>
        <w:rPr>
          <w:sz w:val="28"/>
          <w:szCs w:val="28"/>
        </w:rPr>
        <w:t>, z późn. zm.</w:t>
      </w:r>
      <w:r w:rsidRPr="00740DC5">
        <w:rPr>
          <w:sz w:val="28"/>
          <w:szCs w:val="28"/>
        </w:rPr>
        <w:t>)</w:t>
      </w:r>
      <w:r w:rsidR="00DA34B7">
        <w:rPr>
          <w:sz w:val="28"/>
          <w:szCs w:val="28"/>
        </w:rPr>
        <w:t xml:space="preserve"> oraz </w:t>
      </w:r>
      <w:r w:rsidR="00DA34B7" w:rsidRPr="00DA34B7">
        <w:rPr>
          <w:sz w:val="28"/>
          <w:szCs w:val="28"/>
        </w:rPr>
        <w:t>art. 4 ust. 2 pkt 2 w związku z art. 59 ust. 1 i ust. 2 i ust. 2a, art. 60 ust. 1 i ust. 1a ustawy z dnia 27 marca 2003 r. o planowaniu i zagospodarowaniu przestrzennym (Dz. U. z 2022 r. poz. 503)</w:t>
      </w:r>
      <w:r w:rsidRPr="00740DC5">
        <w:rPr>
          <w:sz w:val="28"/>
          <w:szCs w:val="28"/>
        </w:rPr>
        <w:t xml:space="preserve"> zawiadamiam o </w:t>
      </w:r>
      <w:r w:rsidR="00E07703">
        <w:rPr>
          <w:sz w:val="28"/>
          <w:szCs w:val="28"/>
        </w:rPr>
        <w:t>wydaniu</w:t>
      </w:r>
      <w:r w:rsidR="00207356">
        <w:rPr>
          <w:sz w:val="28"/>
          <w:szCs w:val="28"/>
        </w:rPr>
        <w:t>,</w:t>
      </w:r>
      <w:r w:rsidR="00E07703">
        <w:rPr>
          <w:sz w:val="28"/>
          <w:szCs w:val="28"/>
        </w:rPr>
        <w:t xml:space="preserve"> </w:t>
      </w:r>
      <w:r w:rsidR="00B468AF">
        <w:rPr>
          <w:sz w:val="28"/>
          <w:szCs w:val="28"/>
        </w:rPr>
        <w:t>18</w:t>
      </w:r>
      <w:r w:rsidR="00207356">
        <w:rPr>
          <w:sz w:val="28"/>
          <w:szCs w:val="28"/>
        </w:rPr>
        <w:t>.0</w:t>
      </w:r>
      <w:r w:rsidR="00B468AF">
        <w:rPr>
          <w:sz w:val="28"/>
          <w:szCs w:val="28"/>
        </w:rPr>
        <w:t>5</w:t>
      </w:r>
      <w:r w:rsidR="00207356">
        <w:rPr>
          <w:sz w:val="28"/>
          <w:szCs w:val="28"/>
        </w:rPr>
        <w:t>.2022</w:t>
      </w:r>
      <w:r w:rsidR="00DA34B7">
        <w:rPr>
          <w:sz w:val="28"/>
          <w:szCs w:val="28"/>
        </w:rPr>
        <w:t> </w:t>
      </w:r>
      <w:r w:rsidR="00207356">
        <w:rPr>
          <w:sz w:val="28"/>
          <w:szCs w:val="28"/>
        </w:rPr>
        <w:t xml:space="preserve">r., </w:t>
      </w:r>
      <w:r w:rsidR="00E07703">
        <w:rPr>
          <w:sz w:val="28"/>
          <w:szCs w:val="28"/>
        </w:rPr>
        <w:t>przez</w:t>
      </w:r>
      <w:r w:rsidR="002317AB" w:rsidRPr="002317AB">
        <w:rPr>
          <w:sz w:val="28"/>
          <w:szCs w:val="28"/>
        </w:rPr>
        <w:t xml:space="preserve"> Burmistrza Śremu </w:t>
      </w:r>
      <w:r w:rsidR="00E07703">
        <w:rPr>
          <w:sz w:val="28"/>
          <w:szCs w:val="28"/>
        </w:rPr>
        <w:t xml:space="preserve">decyzji </w:t>
      </w:r>
      <w:r w:rsidR="00AF5295" w:rsidRPr="00AF5295">
        <w:rPr>
          <w:sz w:val="28"/>
          <w:szCs w:val="28"/>
        </w:rPr>
        <w:t xml:space="preserve">nr </w:t>
      </w:r>
      <w:r w:rsidR="00B468AF">
        <w:rPr>
          <w:sz w:val="28"/>
          <w:szCs w:val="28"/>
        </w:rPr>
        <w:t>40</w:t>
      </w:r>
      <w:r w:rsidR="00AF5295" w:rsidRPr="00AF5295">
        <w:rPr>
          <w:sz w:val="28"/>
          <w:szCs w:val="28"/>
        </w:rPr>
        <w:t>/20</w:t>
      </w:r>
      <w:r w:rsidR="00DA34B7">
        <w:rPr>
          <w:sz w:val="28"/>
          <w:szCs w:val="28"/>
        </w:rPr>
        <w:t>22</w:t>
      </w:r>
      <w:r w:rsidR="00AF5295" w:rsidRPr="00AF5295">
        <w:rPr>
          <w:sz w:val="28"/>
          <w:szCs w:val="28"/>
        </w:rPr>
        <w:t xml:space="preserve"> </w:t>
      </w:r>
      <w:r w:rsidR="002317AB" w:rsidRPr="002317AB">
        <w:rPr>
          <w:sz w:val="28"/>
          <w:szCs w:val="28"/>
        </w:rPr>
        <w:t>o</w:t>
      </w:r>
      <w:r w:rsidR="00D06C2D">
        <w:rPr>
          <w:sz w:val="28"/>
          <w:szCs w:val="28"/>
        </w:rPr>
        <w:t> </w:t>
      </w:r>
      <w:r w:rsidR="002317AB" w:rsidRPr="002317AB">
        <w:rPr>
          <w:sz w:val="28"/>
          <w:szCs w:val="28"/>
        </w:rPr>
        <w:t xml:space="preserve">warunkach zabudowy dla przedsięwzięcia: </w:t>
      </w:r>
      <w:r w:rsidR="00B468AF" w:rsidRPr="00B468AF">
        <w:rPr>
          <w:sz w:val="28"/>
          <w:szCs w:val="28"/>
        </w:rPr>
        <w:t>rozbudowa budynku mieszkalnego wielorodzinnego, na terenie działki o nr ewid. 110, obręb Błociszewo</w:t>
      </w:r>
      <w:r w:rsidRPr="00740DC5">
        <w:rPr>
          <w:sz w:val="28"/>
          <w:szCs w:val="28"/>
        </w:rPr>
        <w:t>.</w:t>
      </w:r>
    </w:p>
    <w:p w14:paraId="228EBD5B" w14:textId="0CE1E3BB" w:rsidR="00AF0A61" w:rsidRPr="00AF0A61" w:rsidRDefault="00AF0A61" w:rsidP="00AF0A61">
      <w:pPr>
        <w:spacing w:after="120" w:line="240" w:lineRule="auto"/>
        <w:ind w:right="-1" w:firstLine="567"/>
        <w:jc w:val="both"/>
        <w:rPr>
          <w:sz w:val="28"/>
          <w:szCs w:val="28"/>
        </w:rPr>
      </w:pPr>
      <w:r w:rsidRPr="00AF0A61">
        <w:rPr>
          <w:sz w:val="28"/>
          <w:szCs w:val="28"/>
        </w:rPr>
        <w:tab/>
      </w:r>
      <w:r w:rsidR="00337537" w:rsidRPr="00337537">
        <w:rPr>
          <w:sz w:val="28"/>
          <w:szCs w:val="28"/>
        </w:rPr>
        <w:t>W związku z powyższym zainteresowani mogą zapoznać się osobiście lub przez pełnomocnika z treścią decyzji dotyczącej przedmiotowej inwestycji oraz zgłosić swoje uwagi</w:t>
      </w:r>
      <w:r w:rsidR="00337537">
        <w:rPr>
          <w:sz w:val="28"/>
          <w:szCs w:val="28"/>
        </w:rPr>
        <w:t xml:space="preserve"> </w:t>
      </w:r>
      <w:r w:rsidR="00337537" w:rsidRPr="00D06C2D">
        <w:rPr>
          <w:sz w:val="28"/>
          <w:szCs w:val="28"/>
        </w:rPr>
        <w:t xml:space="preserve">w Zespole Planowania Przestrzennego (biuro nr 34, III piętro) </w:t>
      </w:r>
      <w:r w:rsidR="00337537" w:rsidRPr="00AF0A61">
        <w:rPr>
          <w:sz w:val="28"/>
          <w:szCs w:val="28"/>
        </w:rPr>
        <w:t>Urzędu Miejskiego w</w:t>
      </w:r>
      <w:r w:rsidR="00337537">
        <w:rPr>
          <w:sz w:val="28"/>
          <w:szCs w:val="28"/>
        </w:rPr>
        <w:t> </w:t>
      </w:r>
      <w:r w:rsidR="00337537" w:rsidRPr="00AF0A61">
        <w:rPr>
          <w:sz w:val="28"/>
          <w:szCs w:val="28"/>
        </w:rPr>
        <w:t>Śremie</w:t>
      </w:r>
      <w:r w:rsidR="00337537">
        <w:rPr>
          <w:sz w:val="28"/>
          <w:szCs w:val="28"/>
        </w:rPr>
        <w:t xml:space="preserve">, </w:t>
      </w:r>
      <w:r w:rsidR="00337537" w:rsidRPr="00AF0A61">
        <w:rPr>
          <w:sz w:val="28"/>
          <w:szCs w:val="28"/>
        </w:rPr>
        <w:t>ul. Plac 20 Października 1,</w:t>
      </w:r>
      <w:r w:rsidR="00B468AF">
        <w:rPr>
          <w:sz w:val="28"/>
          <w:szCs w:val="28"/>
        </w:rPr>
        <w:br/>
      </w:r>
      <w:r w:rsidR="00337537" w:rsidRPr="00AF0A61">
        <w:rPr>
          <w:sz w:val="28"/>
          <w:szCs w:val="28"/>
        </w:rPr>
        <w:t>63 – 100 Śrem</w:t>
      </w:r>
      <w:r w:rsidR="00337537" w:rsidRPr="00D06C2D">
        <w:rPr>
          <w:sz w:val="28"/>
          <w:szCs w:val="28"/>
        </w:rPr>
        <w:t xml:space="preserve"> w godzinach od 7.00 do 15.00</w:t>
      </w:r>
      <w:r w:rsidR="00337537" w:rsidRPr="00337537">
        <w:rPr>
          <w:sz w:val="28"/>
          <w:szCs w:val="28"/>
        </w:rPr>
        <w:t>.</w:t>
      </w:r>
    </w:p>
    <w:p w14:paraId="1F604FC1" w14:textId="0F64E8E2" w:rsidR="00AF1F86" w:rsidRDefault="00AF1F86" w:rsidP="00AF0A61">
      <w:pPr>
        <w:spacing w:after="120" w:line="240" w:lineRule="auto"/>
        <w:ind w:right="-1" w:firstLine="567"/>
        <w:jc w:val="both"/>
        <w:rPr>
          <w:sz w:val="28"/>
          <w:szCs w:val="28"/>
        </w:rPr>
      </w:pPr>
      <w:r w:rsidRPr="00AF1F86">
        <w:rPr>
          <w:sz w:val="28"/>
          <w:szCs w:val="28"/>
        </w:rPr>
        <w:t>Zawiadomienie przez obwieszczenie uważa się za dokonane po upływie 14 dni od dnia publicznego ogłoszenia stosownie do art. 49 ustawy z dnia 14 czerwca 1960 r. – Kodeks postępowania administracyjnego.</w:t>
      </w:r>
    </w:p>
    <w:p w14:paraId="65B8164D" w14:textId="77777777" w:rsidR="00A87869" w:rsidRDefault="00A87869" w:rsidP="00615D44">
      <w:pPr>
        <w:spacing w:after="0" w:line="240" w:lineRule="auto"/>
        <w:ind w:firstLine="5387"/>
        <w:jc w:val="center"/>
        <w:rPr>
          <w:rFonts w:eastAsia="Times New Roman" w:cstheme="minorHAnsi"/>
          <w:sz w:val="28"/>
          <w:szCs w:val="28"/>
          <w:lang w:eastAsia="pl-PL"/>
        </w:rPr>
      </w:pPr>
    </w:p>
    <w:p w14:paraId="41AADEE0" w14:textId="63C05CE1"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Adam Lewandowski</w:t>
      </w:r>
    </w:p>
    <w:p w14:paraId="53351C61" w14:textId="77777777"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Burmistrz Śremu</w:t>
      </w:r>
    </w:p>
    <w:p w14:paraId="6B8FF1DE" w14:textId="4D14A8A0" w:rsidR="005A07CF" w:rsidRPr="005A07CF" w:rsidRDefault="005A07CF" w:rsidP="002339DC">
      <w:pPr>
        <w:spacing w:after="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2339DC">
        <w:rPr>
          <w:rFonts w:eastAsia="Times New Roman" w:cstheme="minorHAnsi"/>
          <w:sz w:val="28"/>
          <w:szCs w:val="28"/>
          <w:lang w:eastAsia="pl-PL"/>
        </w:rPr>
        <w:t>…………………..</w:t>
      </w:r>
    </w:p>
    <w:p w14:paraId="4829B85E" w14:textId="68D03065" w:rsidR="00196CF8" w:rsidRDefault="005A07CF" w:rsidP="002339DC">
      <w:pPr>
        <w:spacing w:after="120" w:line="240" w:lineRule="auto"/>
        <w:jc w:val="both"/>
        <w:rPr>
          <w:rFonts w:eastAsia="Calibri" w:cstheme="minorHAnsi"/>
          <w:sz w:val="28"/>
          <w:szCs w:val="28"/>
        </w:rPr>
      </w:pPr>
      <w:r w:rsidRPr="005A07CF">
        <w:rPr>
          <w:rFonts w:eastAsia="Calibri" w:cstheme="minorHAnsi"/>
          <w:sz w:val="28"/>
          <w:szCs w:val="28"/>
        </w:rPr>
        <w:t>Zdjęto:</w:t>
      </w:r>
      <w:r w:rsidR="00787261">
        <w:rPr>
          <w:rFonts w:eastAsia="Calibri" w:cstheme="minorHAnsi"/>
          <w:sz w:val="28"/>
          <w:szCs w:val="28"/>
        </w:rPr>
        <w:t xml:space="preserve"> </w:t>
      </w:r>
      <w:r w:rsidR="002339DC">
        <w:rPr>
          <w:rFonts w:eastAsia="Calibri" w:cstheme="minorHAnsi"/>
          <w:sz w:val="28"/>
          <w:szCs w:val="28"/>
        </w:rPr>
        <w:t>……………………………..</w:t>
      </w:r>
    </w:p>
    <w:p w14:paraId="24D01D0F" w14:textId="77777777" w:rsidR="009A5751" w:rsidRDefault="009A5751" w:rsidP="002339DC">
      <w:pPr>
        <w:spacing w:after="120" w:line="240" w:lineRule="auto"/>
        <w:jc w:val="both"/>
        <w:rPr>
          <w:rFonts w:eastAsia="Calibri" w:cstheme="minorHAnsi"/>
          <w:sz w:val="28"/>
          <w:szCs w:val="28"/>
        </w:rPr>
        <w:sectPr w:rsidR="009A5751" w:rsidSect="00E305B2">
          <w:footerReference w:type="even"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10786A97" w14:textId="77777777" w:rsidR="009A5751" w:rsidRPr="00615D44" w:rsidRDefault="009A5751" w:rsidP="009A5751">
      <w:pPr>
        <w:spacing w:after="0" w:line="240" w:lineRule="auto"/>
        <w:ind w:right="5810"/>
        <w:jc w:val="center"/>
        <w:rPr>
          <w:rFonts w:eastAsia="Calibri" w:cstheme="minorHAnsi"/>
          <w:bCs/>
          <w:sz w:val="28"/>
          <w:szCs w:val="28"/>
        </w:rPr>
      </w:pPr>
      <w:r w:rsidRPr="00615D44">
        <w:rPr>
          <w:rFonts w:eastAsia="Calibri" w:cstheme="minorHAnsi"/>
          <w:bCs/>
          <w:sz w:val="28"/>
          <w:szCs w:val="28"/>
        </w:rPr>
        <w:lastRenderedPageBreak/>
        <w:t>Burmistrz Śremu</w:t>
      </w:r>
    </w:p>
    <w:p w14:paraId="6A8E1BDF" w14:textId="77777777" w:rsidR="009A5751" w:rsidRDefault="009A5751" w:rsidP="009A5751">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6D3E776C" w14:textId="1C044314" w:rsidR="009A5751" w:rsidRDefault="009A5751" w:rsidP="009A5751">
      <w:pPr>
        <w:spacing w:after="0" w:line="240" w:lineRule="auto"/>
        <w:ind w:right="5810"/>
        <w:jc w:val="center"/>
        <w:rPr>
          <w:rFonts w:cstheme="minorHAnsi"/>
          <w:sz w:val="28"/>
          <w:szCs w:val="28"/>
        </w:rPr>
      </w:pPr>
      <w:r w:rsidRPr="00615D44">
        <w:rPr>
          <w:rFonts w:eastAsia="Calibri" w:cstheme="minorHAnsi"/>
          <w:bCs/>
          <w:sz w:val="28"/>
          <w:szCs w:val="28"/>
        </w:rPr>
        <w:t>63 – 100 Śrem</w:t>
      </w:r>
    </w:p>
    <w:p w14:paraId="7E33A1FF" w14:textId="608BC62C" w:rsidR="00B82ABE" w:rsidRPr="00B82ABE" w:rsidRDefault="00B82ABE" w:rsidP="00B82ABE">
      <w:pPr>
        <w:spacing w:after="120" w:line="240" w:lineRule="auto"/>
        <w:jc w:val="right"/>
        <w:rPr>
          <w:rFonts w:cstheme="minorHAnsi"/>
          <w:sz w:val="28"/>
          <w:szCs w:val="28"/>
        </w:rPr>
      </w:pPr>
      <w:r w:rsidRPr="00B82ABE">
        <w:rPr>
          <w:rFonts w:cstheme="minorHAnsi"/>
          <w:sz w:val="28"/>
          <w:szCs w:val="28"/>
        </w:rPr>
        <w:t>Śrem, 18 maja 2022 r.</w:t>
      </w:r>
    </w:p>
    <w:p w14:paraId="1DDA9F3C" w14:textId="77777777" w:rsidR="00B82ABE" w:rsidRPr="00B82ABE" w:rsidRDefault="00B82ABE" w:rsidP="00B82ABE">
      <w:pPr>
        <w:spacing w:after="120" w:line="240" w:lineRule="auto"/>
        <w:jc w:val="both"/>
        <w:rPr>
          <w:rFonts w:cstheme="minorHAnsi"/>
          <w:sz w:val="28"/>
          <w:szCs w:val="28"/>
        </w:rPr>
      </w:pPr>
      <w:r w:rsidRPr="00B82ABE">
        <w:rPr>
          <w:rFonts w:cstheme="minorHAnsi"/>
          <w:sz w:val="28"/>
          <w:szCs w:val="28"/>
        </w:rPr>
        <w:t>PPSPP.6730.173.2021.NMAG</w:t>
      </w:r>
    </w:p>
    <w:p w14:paraId="671B9457"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Decyzja nr 40/2022</w:t>
      </w:r>
      <w:r w:rsidRPr="00B82ABE">
        <w:rPr>
          <w:rFonts w:cstheme="minorHAnsi"/>
          <w:sz w:val="28"/>
          <w:szCs w:val="28"/>
        </w:rPr>
        <w:br/>
        <w:t xml:space="preserve"> o warunkach zabudowy</w:t>
      </w:r>
    </w:p>
    <w:p w14:paraId="2816BBC0"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Na podstawie art. 4 ust. 2 pkt 2 w związku z art. 59 ust. 1 i ust. 2, art. 60 ust. 1 i ust. 1a ustawy z dnia 27 marca 2003 r. o planowaniu i zagospodarowaniu przestrzennym (Dz. U. z 2022 r. poz. 503) oraz art. 104 ustawy z dnia 14 czerwca 1960 r. – Kodeks postępowania administracyjnego (Dz. U. z 2021 r. poz. 735, z późn. zm.), po rozpatrzeniu wniosku złożonego 20.10.2021 r., przez:</w:t>
      </w:r>
    </w:p>
    <w:p w14:paraId="0B2D8F0B"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Pana Rafała Adamczyka</w:t>
      </w:r>
    </w:p>
    <w:p w14:paraId="6DD547C0" w14:textId="77777777" w:rsidR="00B82ABE" w:rsidRPr="00B82ABE" w:rsidRDefault="00B82ABE" w:rsidP="00B82ABE">
      <w:pPr>
        <w:spacing w:after="120" w:line="240" w:lineRule="auto"/>
        <w:jc w:val="both"/>
        <w:rPr>
          <w:rFonts w:cstheme="minorHAnsi"/>
          <w:sz w:val="28"/>
          <w:szCs w:val="28"/>
        </w:rPr>
      </w:pPr>
      <w:r w:rsidRPr="00B82ABE">
        <w:rPr>
          <w:rFonts w:cstheme="minorHAnsi"/>
          <w:sz w:val="28"/>
          <w:szCs w:val="28"/>
        </w:rPr>
        <w:t>w sprawie ustalenia warunków zabudowy dla przedsięwzięcia: rozbudowa budynku mieszkalnego wielorodzinnego, na terenie działki o nr ewid. 110, obręb Błociszewo,</w:t>
      </w:r>
    </w:p>
    <w:p w14:paraId="2A2E77C7"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ustalam na rzecz Wnioskodawcy</w:t>
      </w:r>
      <w:r w:rsidRPr="00B82ABE">
        <w:rPr>
          <w:rFonts w:cstheme="minorHAnsi"/>
          <w:sz w:val="28"/>
          <w:szCs w:val="28"/>
        </w:rPr>
        <w:br/>
        <w:t>następujące warunki zabudowy i zagospodarowania terenu:</w:t>
      </w:r>
    </w:p>
    <w:p w14:paraId="53B5DDD7" w14:textId="77777777" w:rsidR="00B82ABE" w:rsidRPr="00B82ABE" w:rsidRDefault="00B82ABE" w:rsidP="00B82ABE">
      <w:pPr>
        <w:tabs>
          <w:tab w:val="left" w:pos="426"/>
        </w:tabs>
        <w:spacing w:after="120" w:line="240" w:lineRule="auto"/>
        <w:jc w:val="both"/>
        <w:rPr>
          <w:rFonts w:cstheme="minorHAnsi"/>
          <w:sz w:val="28"/>
          <w:szCs w:val="28"/>
        </w:rPr>
      </w:pPr>
      <w:r w:rsidRPr="00B82ABE">
        <w:rPr>
          <w:rFonts w:cstheme="minorHAnsi"/>
          <w:sz w:val="28"/>
          <w:szCs w:val="28"/>
        </w:rPr>
        <w:t>1.</w:t>
      </w:r>
      <w:r w:rsidRPr="00B82ABE">
        <w:rPr>
          <w:rFonts w:cstheme="minorHAnsi"/>
          <w:sz w:val="28"/>
          <w:szCs w:val="28"/>
        </w:rPr>
        <w:tab/>
        <w:t>Opis inwestycji:</w:t>
      </w:r>
    </w:p>
    <w:p w14:paraId="030C6510" w14:textId="77777777" w:rsidR="00B82ABE" w:rsidRPr="00B82ABE" w:rsidRDefault="00B82ABE" w:rsidP="00B82ABE">
      <w:pPr>
        <w:numPr>
          <w:ilvl w:val="0"/>
          <w:numId w:val="3"/>
        </w:numPr>
        <w:tabs>
          <w:tab w:val="left" w:pos="567"/>
        </w:tabs>
        <w:spacing w:after="120" w:line="240" w:lineRule="auto"/>
        <w:ind w:left="567"/>
        <w:contextualSpacing/>
        <w:jc w:val="both"/>
        <w:rPr>
          <w:rFonts w:cstheme="minorHAnsi"/>
          <w:sz w:val="28"/>
          <w:szCs w:val="28"/>
        </w:rPr>
      </w:pPr>
      <w:r w:rsidRPr="00B82ABE">
        <w:rPr>
          <w:rFonts w:cstheme="minorHAnsi"/>
          <w:sz w:val="28"/>
          <w:szCs w:val="28"/>
        </w:rPr>
        <w:t>rodzaj: budynek mieszkalny wielorodzinny;</w:t>
      </w:r>
    </w:p>
    <w:p w14:paraId="0D8DD621" w14:textId="77777777" w:rsidR="00B82ABE" w:rsidRPr="00B82ABE" w:rsidRDefault="00B82ABE" w:rsidP="00B82ABE">
      <w:pPr>
        <w:numPr>
          <w:ilvl w:val="0"/>
          <w:numId w:val="3"/>
        </w:numPr>
        <w:tabs>
          <w:tab w:val="left" w:pos="567"/>
        </w:tabs>
        <w:spacing w:after="120" w:line="240" w:lineRule="auto"/>
        <w:ind w:left="567"/>
        <w:contextualSpacing/>
        <w:jc w:val="both"/>
        <w:rPr>
          <w:rFonts w:cstheme="minorHAnsi"/>
          <w:sz w:val="28"/>
          <w:szCs w:val="28"/>
        </w:rPr>
      </w:pPr>
      <w:r w:rsidRPr="00B82ABE">
        <w:rPr>
          <w:rFonts w:cstheme="minorHAnsi"/>
          <w:sz w:val="28"/>
          <w:szCs w:val="28"/>
        </w:rPr>
        <w:t>lokalizacja: działka o nr ewid. 110, obręb Błociszewo, zgodnie z liniami rozgraniczającymi teren inwestycji wyznaczonymi na mapie, stanowiącej załącznik nr 1 do decyzji;</w:t>
      </w:r>
    </w:p>
    <w:p w14:paraId="155C7620" w14:textId="77777777" w:rsidR="00B82ABE" w:rsidRPr="00B82ABE" w:rsidRDefault="00B82ABE" w:rsidP="00B82ABE">
      <w:pPr>
        <w:numPr>
          <w:ilvl w:val="0"/>
          <w:numId w:val="3"/>
        </w:numPr>
        <w:tabs>
          <w:tab w:val="left" w:pos="567"/>
        </w:tabs>
        <w:spacing w:after="120" w:line="240" w:lineRule="auto"/>
        <w:ind w:left="567"/>
        <w:contextualSpacing/>
        <w:jc w:val="both"/>
        <w:rPr>
          <w:rFonts w:cstheme="minorHAnsi"/>
          <w:sz w:val="28"/>
          <w:szCs w:val="28"/>
        </w:rPr>
      </w:pPr>
      <w:r w:rsidRPr="00B82ABE">
        <w:rPr>
          <w:rFonts w:cstheme="minorHAnsi"/>
          <w:sz w:val="28"/>
          <w:szCs w:val="28"/>
        </w:rPr>
        <w:t>funkcja zabudowy i zagospodarowania terenu: mieszkaniowa.</w:t>
      </w:r>
    </w:p>
    <w:p w14:paraId="172C74B5" w14:textId="77777777" w:rsidR="00B82ABE" w:rsidRPr="00B82ABE" w:rsidRDefault="00B82ABE" w:rsidP="00B82ABE">
      <w:pPr>
        <w:tabs>
          <w:tab w:val="left" w:pos="426"/>
        </w:tabs>
        <w:spacing w:after="120" w:line="240" w:lineRule="auto"/>
        <w:jc w:val="both"/>
        <w:rPr>
          <w:rFonts w:cstheme="minorHAnsi"/>
          <w:sz w:val="28"/>
          <w:szCs w:val="28"/>
        </w:rPr>
      </w:pPr>
      <w:r w:rsidRPr="00B82ABE">
        <w:rPr>
          <w:rFonts w:cstheme="minorHAnsi"/>
          <w:sz w:val="28"/>
          <w:szCs w:val="28"/>
        </w:rPr>
        <w:t>2.</w:t>
      </w:r>
      <w:r w:rsidRPr="00B82ABE">
        <w:rPr>
          <w:rFonts w:cstheme="minorHAnsi"/>
          <w:sz w:val="28"/>
          <w:szCs w:val="28"/>
        </w:rPr>
        <w:tab/>
        <w:t>Warunki i szczegółowe zasady zagospodarowania terenu oraz jego zabudowy wynikające z przepisów odrębnych w zakresie:</w:t>
      </w:r>
    </w:p>
    <w:p w14:paraId="1F85F762" w14:textId="77777777" w:rsidR="00B82ABE" w:rsidRPr="00B82ABE" w:rsidRDefault="00B82ABE" w:rsidP="00B82ABE">
      <w:pPr>
        <w:numPr>
          <w:ilvl w:val="0"/>
          <w:numId w:val="4"/>
        </w:numPr>
        <w:tabs>
          <w:tab w:val="left" w:pos="567"/>
        </w:tabs>
        <w:spacing w:after="120" w:line="240" w:lineRule="auto"/>
        <w:ind w:left="567"/>
        <w:contextualSpacing/>
        <w:jc w:val="both"/>
        <w:rPr>
          <w:rFonts w:cstheme="minorHAnsi"/>
          <w:sz w:val="28"/>
          <w:szCs w:val="28"/>
        </w:rPr>
      </w:pPr>
      <w:r w:rsidRPr="00B82ABE">
        <w:rPr>
          <w:rFonts w:cstheme="minorHAnsi"/>
          <w:sz w:val="28"/>
          <w:szCs w:val="28"/>
        </w:rPr>
        <w:t>warunków i wymagań ochrony i kształtowania ładu przestrzennego:</w:t>
      </w:r>
    </w:p>
    <w:p w14:paraId="717023D8" w14:textId="56463B42"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linia zabudowy: wyznaczona jako nieprzekraczalna i oznaczająca linię wyznaczającą najmniejszą odległość, w której może zostać zlokalizowany budynek, ustalona w linii istniejącego budynku mieszkalnego na działce objętej wnioskiem od granicy z drogami wewnętrznymi – działkami o nr ewid. 100 i 123, obręb Błociszewo, będącymi w zarządzie gminy Śrem, zgodnie z załącznikiem nr 1 do decyzji,</w:t>
      </w:r>
    </w:p>
    <w:p w14:paraId="761C0CFA"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lastRenderedPageBreak/>
        <w:t>wskaźnik powierzchni zabudowy (istniejącej i projektowanej): od 13,0 % do 15,0 % powierzchni działki,</w:t>
      </w:r>
    </w:p>
    <w:p w14:paraId="2D2AC83C"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powierzchnia biologicznie czynna: minimum 50 % powierzchni działki,</w:t>
      </w:r>
    </w:p>
    <w:p w14:paraId="5D50718C"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szerokość elewacji frontowej</w:t>
      </w:r>
      <w:r w:rsidRPr="00B82ABE">
        <w:rPr>
          <w:rFonts w:cstheme="minorHAnsi"/>
          <w:sz w:val="28"/>
          <w:szCs w:val="28"/>
          <w:vertAlign w:val="superscript"/>
        </w:rPr>
        <w:footnoteReference w:id="1"/>
      </w:r>
      <w:r w:rsidRPr="00B82ABE">
        <w:rPr>
          <w:rFonts w:cstheme="minorHAnsi"/>
          <w:sz w:val="28"/>
          <w:szCs w:val="28"/>
        </w:rPr>
        <w:t xml:space="preserve"> budynku: bez zmian,</w:t>
      </w:r>
    </w:p>
    <w:p w14:paraId="7220FA32"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wysokość górnej krawędzi elewacji frontowej rozbudowywanej części budynku: od 7,5 m do 9,0 m,</w:t>
      </w:r>
    </w:p>
    <w:p w14:paraId="762B5768"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liczba kondygnacji nadziemnych rozbudowywanej części budynku: 2,</w:t>
      </w:r>
    </w:p>
    <w:p w14:paraId="77C52BBC" w14:textId="77777777" w:rsidR="00B82ABE" w:rsidRPr="00B82ABE" w:rsidRDefault="00B82ABE" w:rsidP="00B82ABE">
      <w:pPr>
        <w:numPr>
          <w:ilvl w:val="0"/>
          <w:numId w:val="18"/>
        </w:numPr>
        <w:spacing w:after="120" w:line="240" w:lineRule="auto"/>
        <w:contextualSpacing/>
        <w:jc w:val="both"/>
        <w:rPr>
          <w:rFonts w:cstheme="minorHAnsi"/>
          <w:sz w:val="28"/>
          <w:szCs w:val="28"/>
        </w:rPr>
      </w:pPr>
      <w:r w:rsidRPr="00B82ABE">
        <w:rPr>
          <w:rFonts w:cstheme="minorHAnsi"/>
          <w:sz w:val="28"/>
          <w:szCs w:val="28"/>
        </w:rPr>
        <w:t>geometria dachu rozbudowy budynku:</w:t>
      </w:r>
    </w:p>
    <w:p w14:paraId="622BCE58" w14:textId="77777777" w:rsidR="00B82ABE" w:rsidRPr="00B82ABE" w:rsidRDefault="00B82ABE" w:rsidP="00B82ABE">
      <w:pPr>
        <w:numPr>
          <w:ilvl w:val="0"/>
          <w:numId w:val="19"/>
        </w:numPr>
        <w:spacing w:after="120" w:line="240" w:lineRule="auto"/>
        <w:ind w:left="993"/>
        <w:contextualSpacing/>
        <w:jc w:val="both"/>
        <w:rPr>
          <w:rFonts w:cstheme="minorHAnsi"/>
          <w:sz w:val="28"/>
          <w:szCs w:val="28"/>
        </w:rPr>
      </w:pPr>
      <w:r w:rsidRPr="00B82ABE">
        <w:rPr>
          <w:rFonts w:cstheme="minorHAnsi"/>
          <w:sz w:val="28"/>
          <w:szCs w:val="28"/>
        </w:rPr>
        <w:t>kąt nachylenia głównych połaci dachu: do 12°,</w:t>
      </w:r>
    </w:p>
    <w:p w14:paraId="4597FA55" w14:textId="77777777" w:rsidR="00B82ABE" w:rsidRPr="00B82ABE" w:rsidRDefault="00B82ABE" w:rsidP="00B82ABE">
      <w:pPr>
        <w:numPr>
          <w:ilvl w:val="0"/>
          <w:numId w:val="19"/>
        </w:numPr>
        <w:spacing w:after="120" w:line="240" w:lineRule="auto"/>
        <w:ind w:left="993"/>
        <w:contextualSpacing/>
        <w:jc w:val="both"/>
        <w:rPr>
          <w:rFonts w:cstheme="minorHAnsi"/>
          <w:sz w:val="28"/>
          <w:szCs w:val="28"/>
        </w:rPr>
      </w:pPr>
      <w:r w:rsidRPr="00B82ABE">
        <w:rPr>
          <w:rFonts w:cstheme="minorHAnsi"/>
          <w:sz w:val="28"/>
          <w:szCs w:val="28"/>
        </w:rPr>
        <w:t>wysokość całkowita budynku: od 7,5 m do 9,0 m,</w:t>
      </w:r>
    </w:p>
    <w:p w14:paraId="726B6C16" w14:textId="77777777" w:rsidR="00B82ABE" w:rsidRPr="00B82ABE" w:rsidRDefault="00B82ABE" w:rsidP="00B82ABE">
      <w:pPr>
        <w:numPr>
          <w:ilvl w:val="0"/>
          <w:numId w:val="19"/>
        </w:numPr>
        <w:spacing w:after="120" w:line="240" w:lineRule="auto"/>
        <w:ind w:left="993"/>
        <w:contextualSpacing/>
        <w:jc w:val="both"/>
        <w:rPr>
          <w:rFonts w:cstheme="minorHAnsi"/>
          <w:sz w:val="28"/>
          <w:szCs w:val="28"/>
        </w:rPr>
      </w:pPr>
      <w:r w:rsidRPr="00B82ABE">
        <w:rPr>
          <w:rFonts w:cstheme="minorHAnsi"/>
          <w:sz w:val="28"/>
          <w:szCs w:val="28"/>
        </w:rPr>
        <w:t>układ głównych połaci dachowych: jednospadowy lub dwuspadowy;</w:t>
      </w:r>
    </w:p>
    <w:p w14:paraId="1E1E86B3" w14:textId="77777777" w:rsidR="00B82ABE" w:rsidRPr="00B82ABE" w:rsidRDefault="00B82ABE" w:rsidP="00B82ABE">
      <w:pPr>
        <w:numPr>
          <w:ilvl w:val="0"/>
          <w:numId w:val="4"/>
        </w:numPr>
        <w:spacing w:after="120" w:line="240" w:lineRule="auto"/>
        <w:ind w:left="567"/>
        <w:contextualSpacing/>
        <w:jc w:val="both"/>
        <w:rPr>
          <w:rFonts w:cstheme="minorHAnsi"/>
          <w:sz w:val="28"/>
          <w:szCs w:val="28"/>
        </w:rPr>
      </w:pPr>
      <w:r w:rsidRPr="00B82ABE">
        <w:rPr>
          <w:rFonts w:cstheme="minorHAnsi"/>
          <w:sz w:val="28"/>
          <w:szCs w:val="28"/>
        </w:rPr>
        <w:t>ochrony środowiska i zdrowia ludzi oraz dziedzictwa kulturowego i zabytków oraz dóbr kultury współczesnej: ograniczenia wynikające z ustanowienia w trybie ustawy z dnia 16 kwietnia 2004 r. o ochronie przyrody (Dz. U. z 2022 r. poz. 916) form ochrony przyrody oraz ustaleń obowiązujących planów ochrony w związku z położeniem działki w granicach Parku Krajobrazowego im. gen. Dezyderego Chłapowskiego, uchwalonego uchwałą Nr XLIV/85/14 Sejmiku Województwa Wielkopolskiego z dnia 28 kwietnia 2014 r. w sprawie utworzenia Parku Krajobrazowego im. gen. Dezyderego Chłapowskiego (Dz. Urz. Woj. Wielk. poz. 3258), zmienionej uchwałą Nr XLVIII/1087/18 Sejmiku Województwa Wielkopolskiego z dnia 23 lipca 2018 r. (Dz. Urz. Woj. Wielk. poz. 6103);</w:t>
      </w:r>
    </w:p>
    <w:p w14:paraId="14223A80" w14:textId="77777777" w:rsidR="00B82ABE" w:rsidRPr="00B82ABE" w:rsidRDefault="00B82ABE" w:rsidP="00B82ABE">
      <w:pPr>
        <w:numPr>
          <w:ilvl w:val="0"/>
          <w:numId w:val="4"/>
        </w:numPr>
        <w:spacing w:after="120" w:line="240" w:lineRule="auto"/>
        <w:ind w:left="567"/>
        <w:contextualSpacing/>
        <w:jc w:val="both"/>
        <w:rPr>
          <w:rFonts w:cstheme="minorHAnsi"/>
          <w:sz w:val="28"/>
          <w:szCs w:val="28"/>
        </w:rPr>
      </w:pPr>
      <w:r w:rsidRPr="00B82ABE">
        <w:rPr>
          <w:rFonts w:cstheme="minorHAnsi"/>
          <w:sz w:val="28"/>
          <w:szCs w:val="28"/>
        </w:rPr>
        <w:t>obsługi w zakresie infrastruktury technicznej i komunikacji:</w:t>
      </w:r>
    </w:p>
    <w:p w14:paraId="002B0031"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sposób zaopatrzenia w wodę: sieć wodociągowa, z istniejącego przyłącza do sieci,</w:t>
      </w:r>
    </w:p>
    <w:p w14:paraId="0CB31A6A"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sposób zaopatrzenia w energię elektryczną: istniejąca sieć elektroenergetyczna, z istniejącego przyłącza do sieci,</w:t>
      </w:r>
    </w:p>
    <w:p w14:paraId="4E091A58"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sposób zaopatrzenia w energię cieplną: zgodnie z przepisami odrębnymi,</w:t>
      </w:r>
    </w:p>
    <w:p w14:paraId="4E446EE9" w14:textId="133B25AC" w:rsid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odprowadzanie ścieków bytowych: sieć kanalizacji sanitarnej, do istniejącego przyłącza do sieci,</w:t>
      </w:r>
    </w:p>
    <w:p w14:paraId="1E598F06"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lastRenderedPageBreak/>
        <w:t>należy uwzględnić ograniczenia wynikające z występowania uzbrojenia technicznego, uzyskać stosowne oświadczenia i warunki od właściwych jednostek oraz wykonać inwestycję w sposób zapewniający zachowanie sprawności użytkowej urządzeń,</w:t>
      </w:r>
    </w:p>
    <w:p w14:paraId="6CD08A08"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gospodarowanie odpadami: zgodnie z przepisami odrębnymi,</w:t>
      </w:r>
    </w:p>
    <w:p w14:paraId="174C3F3B"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dostęp do drogi publicznej: pośredni do drogi powiatowej (ul. Parkowej), poprzez drogę wewnętrzną, będącą w zarządzie gminy Śrem – ul. Ogrodową (działkę o nr ewid. 100);</w:t>
      </w:r>
    </w:p>
    <w:p w14:paraId="63228AAE" w14:textId="77777777" w:rsidR="00B82ABE" w:rsidRPr="00B82ABE" w:rsidRDefault="00B82ABE" w:rsidP="00B82ABE">
      <w:pPr>
        <w:numPr>
          <w:ilvl w:val="0"/>
          <w:numId w:val="5"/>
        </w:numPr>
        <w:tabs>
          <w:tab w:val="left" w:pos="709"/>
        </w:tabs>
        <w:spacing w:after="120" w:line="240" w:lineRule="auto"/>
        <w:contextualSpacing/>
        <w:jc w:val="both"/>
        <w:rPr>
          <w:rFonts w:cstheme="minorHAnsi"/>
          <w:sz w:val="28"/>
          <w:szCs w:val="28"/>
        </w:rPr>
      </w:pPr>
      <w:r w:rsidRPr="00B82ABE">
        <w:rPr>
          <w:rFonts w:cstheme="minorHAnsi"/>
          <w:sz w:val="28"/>
          <w:szCs w:val="28"/>
        </w:rPr>
        <w:t xml:space="preserve">liczba miejsc parkingowych: bez zmian; </w:t>
      </w:r>
    </w:p>
    <w:p w14:paraId="3F2F23A8" w14:textId="77777777" w:rsidR="00B82ABE" w:rsidRPr="00B82ABE" w:rsidRDefault="00B82ABE" w:rsidP="00B82ABE">
      <w:pPr>
        <w:numPr>
          <w:ilvl w:val="0"/>
          <w:numId w:val="4"/>
        </w:numPr>
        <w:spacing w:after="120" w:line="240" w:lineRule="auto"/>
        <w:ind w:left="567" w:hanging="425"/>
        <w:contextualSpacing/>
        <w:jc w:val="both"/>
        <w:rPr>
          <w:rFonts w:cstheme="minorHAnsi"/>
          <w:sz w:val="28"/>
          <w:szCs w:val="28"/>
        </w:rPr>
      </w:pPr>
      <w:r w:rsidRPr="00B82ABE">
        <w:rPr>
          <w:rFonts w:cstheme="minorHAnsi"/>
          <w:sz w:val="28"/>
          <w:szCs w:val="28"/>
        </w:rPr>
        <w:t>wymagań dotyczących ochrony interesów osób trzecich:</w:t>
      </w:r>
    </w:p>
    <w:p w14:paraId="0E77B3D5" w14:textId="77777777" w:rsidR="00B82ABE" w:rsidRPr="00B82ABE" w:rsidRDefault="00B82ABE" w:rsidP="00B82ABE">
      <w:pPr>
        <w:numPr>
          <w:ilvl w:val="0"/>
          <w:numId w:val="6"/>
        </w:numPr>
        <w:spacing w:after="120" w:line="240" w:lineRule="auto"/>
        <w:contextualSpacing/>
        <w:jc w:val="both"/>
        <w:rPr>
          <w:rFonts w:cstheme="minorHAnsi"/>
          <w:sz w:val="28"/>
          <w:szCs w:val="28"/>
        </w:rPr>
      </w:pPr>
      <w:r w:rsidRPr="00B82ABE">
        <w:rPr>
          <w:rFonts w:cstheme="minorHAnsi"/>
          <w:sz w:val="28"/>
          <w:szCs w:val="28"/>
        </w:rPr>
        <w:t xml:space="preserve">warunki ochrony przed pozbawieniem: </w:t>
      </w:r>
    </w:p>
    <w:p w14:paraId="213AB704" w14:textId="77777777" w:rsidR="00B82ABE" w:rsidRPr="00B82ABE" w:rsidRDefault="00B82ABE" w:rsidP="00B82ABE">
      <w:pPr>
        <w:numPr>
          <w:ilvl w:val="0"/>
          <w:numId w:val="7"/>
        </w:numPr>
        <w:spacing w:after="120" w:line="240" w:lineRule="auto"/>
        <w:ind w:left="993" w:hanging="426"/>
        <w:contextualSpacing/>
        <w:jc w:val="both"/>
        <w:rPr>
          <w:rFonts w:cstheme="minorHAnsi"/>
          <w:sz w:val="28"/>
          <w:szCs w:val="28"/>
        </w:rPr>
      </w:pPr>
      <w:r w:rsidRPr="00B82ABE">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648BD69D" w14:textId="77777777" w:rsidR="00B82ABE" w:rsidRPr="00B82ABE" w:rsidRDefault="00B82ABE" w:rsidP="00B82ABE">
      <w:pPr>
        <w:numPr>
          <w:ilvl w:val="0"/>
          <w:numId w:val="7"/>
        </w:numPr>
        <w:spacing w:after="120" w:line="240" w:lineRule="auto"/>
        <w:ind w:left="993" w:hanging="426"/>
        <w:contextualSpacing/>
        <w:jc w:val="both"/>
        <w:rPr>
          <w:rFonts w:cstheme="minorHAnsi"/>
          <w:sz w:val="28"/>
          <w:szCs w:val="28"/>
        </w:rPr>
      </w:pPr>
      <w:r w:rsidRPr="00B82ABE">
        <w:rPr>
          <w:rFonts w:cstheme="minorHAns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63B52DC8" w14:textId="77777777" w:rsidR="00B82ABE" w:rsidRPr="00B82ABE" w:rsidRDefault="00B82ABE" w:rsidP="00B82ABE">
      <w:pPr>
        <w:numPr>
          <w:ilvl w:val="0"/>
          <w:numId w:val="6"/>
        </w:numPr>
        <w:spacing w:after="120" w:line="240" w:lineRule="auto"/>
        <w:contextualSpacing/>
        <w:jc w:val="both"/>
        <w:rPr>
          <w:rFonts w:cstheme="minorHAnsi"/>
          <w:sz w:val="28"/>
          <w:szCs w:val="28"/>
        </w:rPr>
      </w:pPr>
      <w:r w:rsidRPr="00B82ABE">
        <w:rPr>
          <w:rFonts w:cstheme="minorHAnsi"/>
          <w:sz w:val="28"/>
          <w:szCs w:val="28"/>
        </w:rPr>
        <w:t xml:space="preserve">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 </w:t>
      </w:r>
    </w:p>
    <w:p w14:paraId="38AA4F50" w14:textId="77777777" w:rsidR="00B82ABE" w:rsidRPr="00B82ABE" w:rsidRDefault="00B82ABE" w:rsidP="00B82ABE">
      <w:pPr>
        <w:tabs>
          <w:tab w:val="left" w:pos="426"/>
        </w:tabs>
        <w:spacing w:after="120" w:line="240" w:lineRule="auto"/>
        <w:jc w:val="both"/>
        <w:rPr>
          <w:rFonts w:cstheme="minorHAnsi"/>
          <w:sz w:val="28"/>
          <w:szCs w:val="28"/>
        </w:rPr>
      </w:pPr>
      <w:r w:rsidRPr="00B82ABE">
        <w:rPr>
          <w:rFonts w:cstheme="minorHAnsi"/>
          <w:sz w:val="28"/>
          <w:szCs w:val="28"/>
        </w:rPr>
        <w:t>3.</w:t>
      </w:r>
      <w:r w:rsidRPr="00B82ABE">
        <w:rPr>
          <w:rFonts w:cstheme="minorHAnsi"/>
          <w:sz w:val="28"/>
          <w:szCs w:val="28"/>
        </w:rPr>
        <w:tab/>
        <w:t>Linie rozgraniczające teren inwestycji wyznaczone na mapie zasadniczej w skali 1:1000.</w:t>
      </w:r>
    </w:p>
    <w:p w14:paraId="78B17AFD"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Uzasadnienie</w:t>
      </w:r>
    </w:p>
    <w:p w14:paraId="4BC82E53"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4324168C" w14:textId="77777777" w:rsidR="00FE03E1" w:rsidRDefault="00FE03E1" w:rsidP="00B82ABE">
      <w:pPr>
        <w:spacing w:after="120" w:line="240" w:lineRule="auto"/>
        <w:ind w:firstLine="567"/>
        <w:jc w:val="both"/>
        <w:rPr>
          <w:rFonts w:cstheme="minorHAnsi"/>
          <w:sz w:val="28"/>
          <w:szCs w:val="28"/>
        </w:rPr>
      </w:pPr>
    </w:p>
    <w:p w14:paraId="5276ECA2" w14:textId="5D272E32"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lastRenderedPageBreak/>
        <w:t>W myśl art. 59 przywołanej ustawy:</w:t>
      </w:r>
    </w:p>
    <w:p w14:paraId="3760D4C0" w14:textId="77777777" w:rsidR="00B82ABE" w:rsidRPr="00B82ABE" w:rsidRDefault="00B82ABE" w:rsidP="00B82ABE">
      <w:pPr>
        <w:numPr>
          <w:ilvl w:val="0"/>
          <w:numId w:val="8"/>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18CE91AF" w14:textId="77777777" w:rsidR="00B82ABE" w:rsidRPr="00B82ABE" w:rsidRDefault="00B82ABE" w:rsidP="00B82ABE">
      <w:pPr>
        <w:numPr>
          <w:ilvl w:val="0"/>
          <w:numId w:val="8"/>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powyższy przepis stosuje się również do zmiany zagospodarowania terenu, która nie wymaga pozwolenia na budowę, z wyjątkiem tymczasowej, jednorazowej zmiany zagospodarowania terenu, trwającej do roku;</w:t>
      </w:r>
    </w:p>
    <w:p w14:paraId="47B7A870" w14:textId="77777777" w:rsidR="00B82ABE" w:rsidRPr="00B82ABE" w:rsidRDefault="00B82ABE" w:rsidP="00B82ABE">
      <w:pPr>
        <w:numPr>
          <w:ilvl w:val="0"/>
          <w:numId w:val="8"/>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w przypadku braku miejscowego planu zagospodarowania przestrzennego, budowa obiektów budowlanych, o których mowa w art. 29 ust. 1 pkt 1 i 3 ustawy z dnia 7 lipca 1994 r. – Prawo budowlane wymaga uzyskania decyzji o warunkach zabudowy i zagospodarowania terenu.</w:t>
      </w:r>
    </w:p>
    <w:p w14:paraId="6BC59D90"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 xml:space="preserve">Do wniosku o ustalenie warunków zabudowy Wnioskodawca załączył charakterystykę zabudowy i zagospodarowania terenu, w tym przeznaczenia i gabarytów projektowanych obiektów budowlanych oraz powierzchni terenu podlegającej przekształceniu,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był zatem kompletny. </w:t>
      </w:r>
    </w:p>
    <w:p w14:paraId="173A8517" w14:textId="0D53AE50" w:rsid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Planowana inwestycja polega na rozbudowie budynku mieszkalnego wielorodzinnego o ca 30 m</w:t>
      </w:r>
      <w:r w:rsidRPr="00B82ABE">
        <w:rPr>
          <w:rFonts w:cstheme="minorHAnsi"/>
          <w:sz w:val="28"/>
          <w:szCs w:val="28"/>
          <w:vertAlign w:val="superscript"/>
        </w:rPr>
        <w:t>2</w:t>
      </w:r>
      <w:r w:rsidRPr="00B82ABE">
        <w:rPr>
          <w:rFonts w:cstheme="minorHAnsi"/>
          <w:sz w:val="28"/>
          <w:szCs w:val="28"/>
        </w:rPr>
        <w:t>, na terenie działki o nr ewid. 110, obręb Błociszewo.</w:t>
      </w:r>
    </w:p>
    <w:p w14:paraId="3B108CDC"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Przedmiotowa działka zlokalizowana jest przy ul. Ogrodowej w Błociszewie. Zgodnie z prowadzoną przez Starostę Śremskiego ewidencją gruntów i budynków stanowi w części grunty orne klasy IVa oraz tereny mieszkaniowe oznaczone symbolem B. Działka jest zabudowana budynkiem mieszkalnym wielorodzinnym oraz budynkiem gospodarczym i garażem. Graniczy od północy i wschodu z drogami wewnętrznymi, będącymi w zarządzie gminy Śrem, a od południa i zachodu z zabudową mieszkaniową wielorodzinną.</w:t>
      </w:r>
    </w:p>
    <w:p w14:paraId="04F8B508" w14:textId="63B57CFF" w:rsid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44892A43" w14:textId="77777777" w:rsidR="00FE03E1" w:rsidRPr="00B82ABE" w:rsidRDefault="00FE03E1" w:rsidP="00B82ABE">
      <w:pPr>
        <w:tabs>
          <w:tab w:val="left" w:pos="993"/>
        </w:tabs>
        <w:spacing w:after="120" w:line="240" w:lineRule="auto"/>
        <w:ind w:firstLine="567"/>
        <w:jc w:val="both"/>
        <w:rPr>
          <w:rFonts w:cstheme="minorHAnsi"/>
          <w:sz w:val="28"/>
          <w:szCs w:val="28"/>
        </w:rPr>
      </w:pPr>
    </w:p>
    <w:p w14:paraId="5445B6F7"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lastRenderedPageBreak/>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11891160"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Zgodnie z art. 60 ust. 4 przywołanej ustawy sporządzenie projektu decyzji o warunkach zabudowy powierzono osobie spełniającej warunki określone w art. 5 pkt 4. Projekt decyzji znajduje się w aktach sprawy.</w:t>
      </w:r>
    </w:p>
    <w:p w14:paraId="526C5C14"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W projekcie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22153AB1" w14:textId="77777777" w:rsidR="00B82ABE" w:rsidRPr="00B82ABE" w:rsidRDefault="00B82ABE" w:rsidP="00B82ABE">
      <w:pPr>
        <w:numPr>
          <w:ilvl w:val="0"/>
          <w:numId w:val="9"/>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występowaniem złóż kopalin oraz obecnych i przyszłych potrzeb eksploatacji tych złóż;</w:t>
      </w:r>
    </w:p>
    <w:p w14:paraId="23796075" w14:textId="77777777" w:rsidR="00B82ABE" w:rsidRPr="00B82ABE" w:rsidRDefault="00B82ABE" w:rsidP="00B82ABE">
      <w:pPr>
        <w:numPr>
          <w:ilvl w:val="0"/>
          <w:numId w:val="9"/>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ochroną wód, gleby i ziemi przed zanieczyszczeniem w związku z prowadzeniem gospodarki rolnej;</w:t>
      </w:r>
    </w:p>
    <w:p w14:paraId="02763F46" w14:textId="77777777" w:rsidR="00B82ABE" w:rsidRPr="00B82ABE" w:rsidRDefault="00B82ABE" w:rsidP="00B82ABE">
      <w:pPr>
        <w:numPr>
          <w:ilvl w:val="0"/>
          <w:numId w:val="9"/>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potrzebami w zakresie zapobiegania ruchom masowym ziemi i ich skutkom;</w:t>
      </w:r>
    </w:p>
    <w:p w14:paraId="0D6620F2" w14:textId="0F40E63C" w:rsidR="00B82ABE" w:rsidRDefault="00B82ABE" w:rsidP="00B82ABE">
      <w:pPr>
        <w:numPr>
          <w:ilvl w:val="0"/>
          <w:numId w:val="9"/>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innymi potrzebami w zakresie ochrony powietrza, wód, gleby, ziemi, ochrony przed hałasem, wibracjami i polami elektromagnetycznymi;</w:t>
      </w:r>
    </w:p>
    <w:p w14:paraId="47CD4471" w14:textId="77777777" w:rsidR="00835C8E" w:rsidRPr="00B82ABE" w:rsidRDefault="00835C8E" w:rsidP="00835C8E">
      <w:pPr>
        <w:tabs>
          <w:tab w:val="left" w:pos="993"/>
        </w:tabs>
        <w:spacing w:after="120" w:line="240" w:lineRule="auto"/>
        <w:ind w:left="567"/>
        <w:contextualSpacing/>
        <w:jc w:val="both"/>
        <w:rPr>
          <w:rFonts w:cstheme="minorHAnsi"/>
          <w:sz w:val="28"/>
          <w:szCs w:val="28"/>
        </w:rPr>
      </w:pPr>
    </w:p>
    <w:p w14:paraId="220AA674" w14:textId="77777777" w:rsidR="00B82ABE" w:rsidRPr="00B82ABE" w:rsidRDefault="00B82ABE" w:rsidP="00B82ABE">
      <w:pPr>
        <w:numPr>
          <w:ilvl w:val="0"/>
          <w:numId w:val="9"/>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0DA08603" w14:textId="77777777" w:rsidR="00B82ABE" w:rsidRPr="00B82ABE" w:rsidRDefault="00B82ABE" w:rsidP="00B82ABE">
      <w:pPr>
        <w:widowControl w:val="0"/>
        <w:numPr>
          <w:ilvl w:val="0"/>
          <w:numId w:val="9"/>
        </w:numPr>
        <w:tabs>
          <w:tab w:val="left" w:pos="993"/>
        </w:tabs>
        <w:autoSpaceDE w:val="0"/>
        <w:spacing w:after="120" w:line="240" w:lineRule="auto"/>
        <w:ind w:left="0" w:firstLine="567"/>
        <w:contextualSpacing/>
        <w:jc w:val="both"/>
        <w:rPr>
          <w:rFonts w:cstheme="minorHAnsi"/>
          <w:sz w:val="28"/>
          <w:szCs w:val="28"/>
        </w:rPr>
      </w:pPr>
      <w:r w:rsidRPr="00B82ABE">
        <w:rPr>
          <w:rFonts w:cstheme="minorHAnsi"/>
          <w:sz w:val="28"/>
          <w:szCs w:val="28"/>
        </w:rPr>
        <w:t xml:space="preserve">ograniczeniami w zabudowie i zagospodarowaniu terenu wynikających z lokalizacji terenu w strefie ochrony konserwatorskiej lub wykonywaniem robót budowlanych w budynku wpisanym do rejestru lub gminnej ewidencji zabytków, </w:t>
      </w:r>
    </w:p>
    <w:p w14:paraId="6241DAB5" w14:textId="77777777" w:rsidR="00B82ABE" w:rsidRPr="00B82ABE" w:rsidRDefault="00B82ABE" w:rsidP="00B82ABE">
      <w:pPr>
        <w:widowControl w:val="0"/>
        <w:tabs>
          <w:tab w:val="left" w:pos="993"/>
        </w:tabs>
        <w:autoSpaceDE w:val="0"/>
        <w:spacing w:after="120" w:line="240" w:lineRule="auto"/>
        <w:ind w:firstLine="567"/>
        <w:contextualSpacing/>
        <w:jc w:val="both"/>
        <w:rPr>
          <w:rFonts w:cstheme="minorHAnsi"/>
          <w:sz w:val="28"/>
          <w:szCs w:val="28"/>
        </w:rPr>
      </w:pPr>
      <w:r w:rsidRPr="00B82ABE">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137045BF" w14:textId="77777777" w:rsidR="00B82ABE" w:rsidRPr="00B82ABE" w:rsidRDefault="00B82ABE" w:rsidP="00B82ABE">
      <w:pPr>
        <w:widowControl w:val="0"/>
        <w:tabs>
          <w:tab w:val="left" w:pos="993"/>
        </w:tabs>
        <w:autoSpaceDE w:val="0"/>
        <w:spacing w:after="120" w:line="240" w:lineRule="auto"/>
        <w:jc w:val="both"/>
        <w:rPr>
          <w:rFonts w:cstheme="minorHAnsi"/>
          <w:sz w:val="28"/>
          <w:szCs w:val="28"/>
        </w:rPr>
      </w:pPr>
      <w:r w:rsidRPr="00B82ABE">
        <w:rPr>
          <w:rFonts w:cstheme="minorHAnsi"/>
          <w:sz w:val="28"/>
          <w:szCs w:val="28"/>
        </w:rPr>
        <w:t>ponieważ nie wynikały z nich żadne nakazy, zakazy i ograniczenia w zagospodarowaniu przedmiotowego terenu.</w:t>
      </w:r>
    </w:p>
    <w:p w14:paraId="55306AC1"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lastRenderedPageBreak/>
        <w:t>Wydanie decyzji o warunkach zabudowy jest możliwe jedynie w przypadku łącznego spełnienia warunków, o których mowa w art. 61 ust. 1 ustawy z dnia 27 marca 2003 r. o planowaniu i zagospodarowaniu przestrzennym, a mianowicie:</w:t>
      </w:r>
    </w:p>
    <w:p w14:paraId="3D7C5B0F" w14:textId="77777777" w:rsidR="00B82ABE" w:rsidRP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66BE2C55" w14:textId="77777777" w:rsidR="00B82ABE" w:rsidRP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teren ma dostęp do drogi publicznej rozumiany jako bezpośredni dostęp do tej drogi albo dostęp do niej przez drogę wewnętrzną lub przez ustanowienie odpowiedniej służebności drogowej;</w:t>
      </w:r>
    </w:p>
    <w:p w14:paraId="28B7A993" w14:textId="28C7892E" w:rsid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28F12713" w14:textId="77777777" w:rsidR="00B82ABE" w:rsidRP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4674BFFF" w14:textId="77777777" w:rsidR="00B82ABE" w:rsidRP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decyzja jest zgodna z przepisami odrębnymi;</w:t>
      </w:r>
    </w:p>
    <w:p w14:paraId="07F6670B" w14:textId="77777777" w:rsidR="00B82ABE" w:rsidRPr="00B82ABE" w:rsidRDefault="00B82ABE" w:rsidP="00B82ABE">
      <w:pPr>
        <w:numPr>
          <w:ilvl w:val="0"/>
          <w:numId w:val="11"/>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zamierzenie budowlane nie znajdzie się w obszarze:</w:t>
      </w:r>
    </w:p>
    <w:p w14:paraId="12DBB677" w14:textId="77777777" w:rsidR="00B82ABE" w:rsidRPr="00B82ABE" w:rsidRDefault="00B82ABE" w:rsidP="00B82ABE">
      <w:pPr>
        <w:numPr>
          <w:ilvl w:val="0"/>
          <w:numId w:val="14"/>
        </w:numPr>
        <w:spacing w:after="120" w:line="240" w:lineRule="auto"/>
        <w:ind w:left="993" w:hanging="284"/>
        <w:contextualSpacing/>
        <w:jc w:val="both"/>
        <w:rPr>
          <w:rFonts w:cstheme="minorHAnsi"/>
          <w:sz w:val="28"/>
          <w:szCs w:val="28"/>
        </w:rPr>
      </w:pPr>
      <w:r w:rsidRPr="00B82ABE">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11F39FD1" w14:textId="77777777" w:rsidR="00B82ABE" w:rsidRPr="00B82ABE" w:rsidRDefault="00B82ABE" w:rsidP="00B82ABE">
      <w:pPr>
        <w:numPr>
          <w:ilvl w:val="0"/>
          <w:numId w:val="14"/>
        </w:numPr>
        <w:spacing w:after="120" w:line="240" w:lineRule="auto"/>
        <w:ind w:left="993" w:hanging="284"/>
        <w:contextualSpacing/>
        <w:jc w:val="both"/>
        <w:rPr>
          <w:rFonts w:cstheme="minorHAnsi"/>
          <w:sz w:val="28"/>
          <w:szCs w:val="28"/>
        </w:rPr>
      </w:pPr>
      <w:r w:rsidRPr="00B82ABE">
        <w:rPr>
          <w:rFonts w:cstheme="minorHAnsi"/>
          <w:sz w:val="28"/>
          <w:szCs w:val="28"/>
        </w:rPr>
        <w:t>strefy kontrolowanej wyznaczonej po obu stronach gazociągu,</w:t>
      </w:r>
    </w:p>
    <w:p w14:paraId="4A46CB53" w14:textId="77777777" w:rsidR="00B82ABE" w:rsidRPr="00B82ABE" w:rsidRDefault="00B82ABE" w:rsidP="00B82ABE">
      <w:pPr>
        <w:numPr>
          <w:ilvl w:val="0"/>
          <w:numId w:val="14"/>
        </w:numPr>
        <w:spacing w:after="120" w:line="240" w:lineRule="auto"/>
        <w:ind w:left="993" w:hanging="284"/>
        <w:contextualSpacing/>
        <w:jc w:val="both"/>
        <w:rPr>
          <w:rFonts w:cstheme="minorHAnsi"/>
          <w:sz w:val="28"/>
          <w:szCs w:val="28"/>
        </w:rPr>
      </w:pPr>
      <w:r w:rsidRPr="00B82ABE">
        <w:rPr>
          <w:rFonts w:cstheme="minorHAnsi"/>
          <w:sz w:val="28"/>
          <w:szCs w:val="28"/>
        </w:rPr>
        <w:t>strefy bezpieczeństwa wyznaczonej po obu stronach rurociągu.</w:t>
      </w:r>
    </w:p>
    <w:p w14:paraId="3E947032" w14:textId="77777777" w:rsidR="00FE03E1" w:rsidRDefault="00FE03E1" w:rsidP="00B82ABE">
      <w:pPr>
        <w:tabs>
          <w:tab w:val="left" w:pos="993"/>
        </w:tabs>
        <w:spacing w:after="120" w:line="240" w:lineRule="auto"/>
        <w:ind w:firstLine="567"/>
        <w:jc w:val="both"/>
        <w:rPr>
          <w:rFonts w:cstheme="minorHAnsi"/>
          <w:sz w:val="28"/>
          <w:szCs w:val="28"/>
        </w:rPr>
      </w:pPr>
    </w:p>
    <w:p w14:paraId="3EA60C95" w14:textId="77777777" w:rsidR="00FE03E1" w:rsidRDefault="00FE03E1" w:rsidP="00B82ABE">
      <w:pPr>
        <w:tabs>
          <w:tab w:val="left" w:pos="993"/>
        </w:tabs>
        <w:spacing w:after="120" w:line="240" w:lineRule="auto"/>
        <w:ind w:firstLine="567"/>
        <w:jc w:val="both"/>
        <w:rPr>
          <w:rFonts w:cstheme="minorHAnsi"/>
          <w:sz w:val="28"/>
          <w:szCs w:val="28"/>
        </w:rPr>
      </w:pPr>
    </w:p>
    <w:p w14:paraId="677BC7F3" w14:textId="77777777" w:rsidR="00FE03E1" w:rsidRDefault="00FE03E1" w:rsidP="00B82ABE">
      <w:pPr>
        <w:tabs>
          <w:tab w:val="left" w:pos="993"/>
        </w:tabs>
        <w:spacing w:after="120" w:line="240" w:lineRule="auto"/>
        <w:ind w:firstLine="567"/>
        <w:jc w:val="both"/>
        <w:rPr>
          <w:rFonts w:cstheme="minorHAnsi"/>
          <w:sz w:val="28"/>
          <w:szCs w:val="28"/>
        </w:rPr>
      </w:pPr>
    </w:p>
    <w:p w14:paraId="6A3FD702" w14:textId="77777777" w:rsidR="00FE03E1" w:rsidRDefault="00FE03E1" w:rsidP="00B82ABE">
      <w:pPr>
        <w:tabs>
          <w:tab w:val="left" w:pos="993"/>
        </w:tabs>
        <w:spacing w:after="120" w:line="240" w:lineRule="auto"/>
        <w:ind w:firstLine="567"/>
        <w:jc w:val="both"/>
        <w:rPr>
          <w:rFonts w:cstheme="minorHAnsi"/>
          <w:sz w:val="28"/>
          <w:szCs w:val="28"/>
        </w:rPr>
      </w:pPr>
    </w:p>
    <w:p w14:paraId="5A9E9B61" w14:textId="77777777" w:rsidR="00FE03E1" w:rsidRDefault="00FE03E1" w:rsidP="00B82ABE">
      <w:pPr>
        <w:tabs>
          <w:tab w:val="left" w:pos="993"/>
        </w:tabs>
        <w:spacing w:after="120" w:line="240" w:lineRule="auto"/>
        <w:ind w:firstLine="567"/>
        <w:jc w:val="both"/>
        <w:rPr>
          <w:rFonts w:cstheme="minorHAnsi"/>
          <w:sz w:val="28"/>
          <w:szCs w:val="28"/>
        </w:rPr>
      </w:pPr>
    </w:p>
    <w:p w14:paraId="6AE4A154" w14:textId="77777777" w:rsidR="00FE03E1" w:rsidRDefault="00FE03E1" w:rsidP="00B82ABE">
      <w:pPr>
        <w:tabs>
          <w:tab w:val="left" w:pos="993"/>
        </w:tabs>
        <w:spacing w:after="120" w:line="240" w:lineRule="auto"/>
        <w:ind w:firstLine="567"/>
        <w:jc w:val="both"/>
        <w:rPr>
          <w:rFonts w:cstheme="minorHAnsi"/>
          <w:sz w:val="28"/>
          <w:szCs w:val="28"/>
        </w:rPr>
      </w:pPr>
    </w:p>
    <w:p w14:paraId="613C9054" w14:textId="11BBC0EB"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lastRenderedPageBreak/>
        <w:t>Stosownie do § 3 rozporządzenia Ministra Infrastruktury z dnia 26 sierpnia 2003 r. w sprawie sposobu ustalania wymagań dotyczących nowej zabudowy i zagospodarowania terenu w przypadku braku miejscowego planu zagospodarowania przestrzennego (Dz. U. Nr 164, poz. 1588), zwanego dalej rozporządzeniem, Burmistrz Śremu wyznaczył wokół terenu, którego dotyczy wniosek o ustalenie warunków zabudowy, obszar analizowany i przeprowadził na nim analizę funkcji oraz cech zabudowy i zagospodarowania terenu w zakresie warunków, o których mowa w art. 61 ust. 1 – 5 ustawy z dnia 27 marca 2003 r. o planowaniu i zagospodarowaniu przestrzennym.</w:t>
      </w:r>
    </w:p>
    <w:p w14:paraId="6B79BEDB"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Front działki stanowi granica przylegająca do drogi wewnętrznej będącej w zarządzie gminy Śrem (działki o nr ewid. 100) i wynosi ca 35,8 m.</w:t>
      </w:r>
    </w:p>
    <w:p w14:paraId="389BC2C8" w14:textId="5BFAF95A" w:rsid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Trzykrotna szerokość frontu działki wynosi ca 107,4 m, czyli nie mniej niż 50 m.</w:t>
      </w:r>
    </w:p>
    <w:p w14:paraId="4A8C49CC"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Granice obszaru analizowanego wyznaczone zostały w następujący sposób: w odległości wynoszącej 107,4 m, wokół terenu, którego dotyczy wniosek, spełniając tym samym wymóg, o którym mowa w § 3 ust. 2 rozporządzenia. 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02F7FA78" w14:textId="77777777" w:rsidR="00B82ABE" w:rsidRPr="00FE03E1"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 xml:space="preserve">W przypadku, gdy granica obszaru analizowanego przecina działkę ewidencyjną </w:t>
      </w:r>
      <w:r w:rsidRPr="00FE03E1">
        <w:rPr>
          <w:rFonts w:cstheme="minorHAnsi"/>
          <w:sz w:val="28"/>
          <w:szCs w:val="28"/>
        </w:rPr>
        <w:t>przyjęto, że działka ta zostaje w całości ujęta w obszarze analizowanym.</w:t>
      </w:r>
    </w:p>
    <w:p w14:paraId="7E507B85"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FE03E1">
        <w:rPr>
          <w:rFonts w:cstheme="minorHAnsi"/>
          <w:sz w:val="28"/>
          <w:szCs w:val="28"/>
        </w:rPr>
        <w:t xml:space="preserve">W tak wyznaczonym obszarze analizowanym znajdują się działki zabudowane, które pozwoliły na ustalenie wymagań dla nowej zabudowy, zgodnie z zasadą </w:t>
      </w:r>
      <w:r w:rsidRPr="00B82ABE">
        <w:rPr>
          <w:rFonts w:cstheme="minorHAnsi"/>
          <w:sz w:val="28"/>
          <w:szCs w:val="28"/>
        </w:rPr>
        <w:t>określoną w art. 61 ust. 1 pkt 1 ustawy z dnia 27 marca 2003 r. o planowaniu i zagospodarowaniu przestrzennym.</w:t>
      </w:r>
    </w:p>
    <w:p w14:paraId="709FAAC8" w14:textId="77777777" w:rsidR="00B82ABE" w:rsidRPr="00B82ABE" w:rsidRDefault="00B82ABE" w:rsidP="00B82ABE">
      <w:pPr>
        <w:tabs>
          <w:tab w:val="left" w:pos="993"/>
        </w:tabs>
        <w:spacing w:after="120" w:line="240" w:lineRule="auto"/>
        <w:ind w:firstLine="567"/>
        <w:jc w:val="both"/>
        <w:rPr>
          <w:rFonts w:cstheme="minorHAnsi"/>
          <w:sz w:val="28"/>
          <w:szCs w:val="28"/>
        </w:rPr>
      </w:pPr>
      <w:r w:rsidRPr="00B82ABE">
        <w:rPr>
          <w:rFonts w:cstheme="minorHAnsi"/>
          <w:sz w:val="28"/>
          <w:szCs w:val="28"/>
        </w:rPr>
        <w:t>Analiza warunków, o których mowa w art. 61 ust. 1 przywołanej ustawy dokonana w trakcie prowadzonego postępowania potwierdziła, że zostały one spełnione, bowiem:</w:t>
      </w:r>
    </w:p>
    <w:p w14:paraId="3867A92D" w14:textId="77777777" w:rsidR="00B82ABE" w:rsidRP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zabudowa działek sąsiednich, które wraz z terenem planowanej inwestycji tworzą urbanistyczną całość (działki o nr ewid.: 139, 138, 137, 136, 135, 134, 133, 124/5, 122, 121 ,120, 118, 119, 115, 116, 117, 113, 106, 107, 108 i 109) pozwala na określenie wymagań dla nowej zabudowy pod względem kontynuacji funkcji oraz parametrów i cech zabudowy;</w:t>
      </w:r>
    </w:p>
    <w:p w14:paraId="7BD1FA30" w14:textId="77777777" w:rsidR="00B82ABE" w:rsidRP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lastRenderedPageBreak/>
        <w:t>teren ma zapewniony pośredni dostęp do drogi powiatowej (ul. Parkowej) poprzez drogę wewnętrzną, będącą w zarządzie gminy Śrem (ul. Ogrodową);</w:t>
      </w:r>
    </w:p>
    <w:p w14:paraId="4177F148" w14:textId="1D45191D" w:rsid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istniejące uzbrojenie terenu (sieć energii elektrycznej, sieć wodociągowa i sieć kanalizacji sanitarnej) jest wystarczające dla zamierzenia budowlanego;</w:t>
      </w:r>
    </w:p>
    <w:p w14:paraId="31703C16" w14:textId="77777777" w:rsidR="00B82ABE" w:rsidRP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teren inwestycji nie wymaga uzyskania zgody na zmianę przeznaczenia gruntów rolnych i leśnych na cele nierolnicze i nieleśne, bowiem inwestycja planowana jest na działce, która zgodnie z ewidencją gruntów i budynków prowadzoną przez Starostę Śremskiego stanowi w części grunty orne klasy IVa oraz tereny mieszkaniowe;</w:t>
      </w:r>
    </w:p>
    <w:p w14:paraId="39BDE52B" w14:textId="77777777" w:rsidR="00B82ABE" w:rsidRP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decyzja jest zgodna z przepisami odrębnymi,</w:t>
      </w:r>
    </w:p>
    <w:p w14:paraId="450D7FE8" w14:textId="77777777" w:rsidR="00B82ABE" w:rsidRPr="00B82ABE" w:rsidRDefault="00B82ABE" w:rsidP="00B82ABE">
      <w:pPr>
        <w:numPr>
          <w:ilvl w:val="0"/>
          <w:numId w:val="12"/>
        </w:numPr>
        <w:tabs>
          <w:tab w:val="left" w:pos="993"/>
        </w:tabs>
        <w:spacing w:after="120" w:line="240" w:lineRule="auto"/>
        <w:ind w:left="0" w:firstLine="567"/>
        <w:contextualSpacing/>
        <w:jc w:val="both"/>
        <w:rPr>
          <w:rFonts w:cstheme="minorHAnsi"/>
          <w:sz w:val="28"/>
          <w:szCs w:val="28"/>
        </w:rPr>
      </w:pPr>
      <w:r w:rsidRPr="00B82ABE">
        <w:rPr>
          <w:rFonts w:cstheme="minorHAnsi"/>
          <w:sz w:val="28"/>
          <w:szCs w:val="28"/>
        </w:rPr>
        <w:t>zamierzenie budowlane nie znajdzie się w obszarze:</w:t>
      </w:r>
    </w:p>
    <w:p w14:paraId="31F0C697" w14:textId="77777777" w:rsidR="00B82ABE" w:rsidRPr="00B82ABE" w:rsidRDefault="00B82ABE" w:rsidP="00B82ABE">
      <w:pPr>
        <w:numPr>
          <w:ilvl w:val="0"/>
          <w:numId w:val="15"/>
        </w:numPr>
        <w:spacing w:after="120" w:line="240" w:lineRule="auto"/>
        <w:ind w:left="993" w:hanging="284"/>
        <w:contextualSpacing/>
        <w:jc w:val="both"/>
        <w:rPr>
          <w:rFonts w:cstheme="minorHAnsi"/>
          <w:sz w:val="28"/>
          <w:szCs w:val="28"/>
        </w:rPr>
      </w:pPr>
      <w:r w:rsidRPr="00B82ABE">
        <w:rPr>
          <w:rFonts w:cstheme="minorHAnsi"/>
          <w:sz w:val="28"/>
          <w:szCs w:val="28"/>
        </w:rPr>
        <w:t>objętym zakazem wznoszenia i utrzymywania obiektów budowlanych przeznaczonych na pobyt ludzi związanym z lokalizacją sieci przesyłowej,</w:t>
      </w:r>
    </w:p>
    <w:p w14:paraId="7CFF6A7D" w14:textId="77777777" w:rsidR="00B82ABE" w:rsidRPr="00B82ABE" w:rsidRDefault="00B82ABE" w:rsidP="00B82ABE">
      <w:pPr>
        <w:numPr>
          <w:ilvl w:val="0"/>
          <w:numId w:val="15"/>
        </w:numPr>
        <w:spacing w:after="120" w:line="240" w:lineRule="auto"/>
        <w:ind w:left="993" w:hanging="284"/>
        <w:contextualSpacing/>
        <w:jc w:val="both"/>
        <w:rPr>
          <w:rFonts w:cstheme="minorHAnsi"/>
          <w:sz w:val="28"/>
          <w:szCs w:val="28"/>
        </w:rPr>
      </w:pPr>
      <w:r w:rsidRPr="00B82ABE">
        <w:rPr>
          <w:rFonts w:cstheme="minorHAnsi"/>
          <w:sz w:val="28"/>
          <w:szCs w:val="28"/>
        </w:rPr>
        <w:t>strefy kontrolowanej wyznaczonej po obu stronach gazociągu, ustalono w ramach przedmiotowej decyzji ograniczenia z niej wynikające,</w:t>
      </w:r>
    </w:p>
    <w:p w14:paraId="6DA5433B" w14:textId="77777777" w:rsidR="00B82ABE" w:rsidRPr="00B82ABE" w:rsidRDefault="00B82ABE" w:rsidP="00B82ABE">
      <w:pPr>
        <w:numPr>
          <w:ilvl w:val="0"/>
          <w:numId w:val="15"/>
        </w:numPr>
        <w:spacing w:after="120" w:line="240" w:lineRule="auto"/>
        <w:ind w:left="993" w:hanging="284"/>
        <w:contextualSpacing/>
        <w:jc w:val="both"/>
        <w:rPr>
          <w:rFonts w:cstheme="minorHAnsi"/>
          <w:sz w:val="28"/>
          <w:szCs w:val="28"/>
        </w:rPr>
      </w:pPr>
      <w:r w:rsidRPr="00B82ABE">
        <w:rPr>
          <w:rFonts w:cstheme="minorHAnsi"/>
          <w:sz w:val="28"/>
          <w:szCs w:val="28"/>
        </w:rPr>
        <w:t>strefy bezpieczeństwa wyznaczonej po obu stronach rurociągu.</w:t>
      </w:r>
    </w:p>
    <w:p w14:paraId="78111828"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W związku z tym, że sąsiednie działki (o nr ewid.: 139, 138, 137, 136, 135, 134, 133, 124/5, 122, 121 ,120, 118, 119, 115, 116, 117, 113, 106, 107, 108 i 109)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obiektów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42D89BC2"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Ustalenia zawarte w niniejszej decyzji odpowiadają wymogom rozporządzenia.</w:t>
      </w:r>
    </w:p>
    <w:p w14:paraId="0A0D7573" w14:textId="77777777" w:rsidR="00835C8E" w:rsidRDefault="00835C8E" w:rsidP="00B82ABE">
      <w:pPr>
        <w:spacing w:after="120" w:line="240" w:lineRule="auto"/>
        <w:ind w:firstLine="567"/>
        <w:jc w:val="both"/>
        <w:rPr>
          <w:rFonts w:cstheme="minorHAnsi"/>
          <w:sz w:val="28"/>
          <w:szCs w:val="28"/>
        </w:rPr>
      </w:pPr>
    </w:p>
    <w:p w14:paraId="045CAB0F" w14:textId="77777777" w:rsidR="00835C8E" w:rsidRDefault="00835C8E" w:rsidP="00B82ABE">
      <w:pPr>
        <w:spacing w:after="120" w:line="240" w:lineRule="auto"/>
        <w:ind w:firstLine="567"/>
        <w:jc w:val="both"/>
        <w:rPr>
          <w:rFonts w:cstheme="minorHAnsi"/>
          <w:sz w:val="28"/>
          <w:szCs w:val="28"/>
        </w:rPr>
      </w:pPr>
    </w:p>
    <w:p w14:paraId="4026C9B7" w14:textId="415F696F"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lastRenderedPageBreak/>
        <w:t>Linia zabudowy (linia regulacyjna) w rozumieniu § 1 pkt 1 w związku</w:t>
      </w:r>
      <w:r w:rsidRPr="00B82ABE">
        <w:rPr>
          <w:rFonts w:cstheme="minorHAnsi"/>
          <w:sz w:val="28"/>
          <w:szCs w:val="28"/>
        </w:rPr>
        <w:br/>
        <w:t>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2B154E2B"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W orzecznictwie sądów administracyjnych co do zasady dominuje pogląd, że w decyzji o warunkach zabudowy nie określa się dokładnego usytuowania planowanego obiektu na działce inwestycyjnej, z wyjątkiem wyznaczenia linii zabudowy – obowiązującej bądź nieprzekraczalnej (wyrok WSA w Poznaniu z dnia 31.01.2019 r. sygn. akt II SA/Po 731/18).</w:t>
      </w:r>
    </w:p>
    <w:p w14:paraId="6B64958B" w14:textId="77777777" w:rsidR="00B82ABE" w:rsidRPr="00B82ABE" w:rsidRDefault="00B82ABE" w:rsidP="00B82ABE">
      <w:pPr>
        <w:spacing w:after="120" w:line="240" w:lineRule="auto"/>
        <w:ind w:firstLine="567"/>
        <w:jc w:val="both"/>
        <w:rPr>
          <w:rFonts w:cstheme="minorHAnsi"/>
          <w:spacing w:val="-2"/>
          <w:sz w:val="28"/>
          <w:szCs w:val="28"/>
        </w:rPr>
      </w:pPr>
      <w:r w:rsidRPr="00B82ABE">
        <w:rPr>
          <w:rFonts w:cstheme="minorHAnsi"/>
          <w:spacing w:val="-2"/>
          <w:sz w:val="28"/>
          <w:szCs w:val="28"/>
        </w:rPr>
        <w:t>Dla planowanej inwestycji ustalono nieprzekraczalną linię zabudowy wyznaczoną w linii istniejącego budynku mieszkalnego na działce objętej wnioskiem od granicy z działkami o nr ewid. 100 i 123 – drogą wewnętrzną, będącą w zarządzie gminy Śrem.</w:t>
      </w:r>
    </w:p>
    <w:p w14:paraId="0CC9F21B" w14:textId="77777777" w:rsidR="00B82ABE" w:rsidRPr="00B82ABE" w:rsidRDefault="00B82ABE" w:rsidP="00B82ABE">
      <w:pPr>
        <w:spacing w:after="120" w:line="240" w:lineRule="auto"/>
        <w:ind w:firstLine="567"/>
        <w:jc w:val="both"/>
        <w:rPr>
          <w:rFonts w:cstheme="minorHAnsi"/>
          <w:spacing w:val="-2"/>
          <w:sz w:val="28"/>
          <w:szCs w:val="28"/>
        </w:rPr>
      </w:pPr>
      <w:r w:rsidRPr="00B82ABE">
        <w:rPr>
          <w:rFonts w:cstheme="minorHAnsi"/>
          <w:spacing w:val="-2"/>
          <w:sz w:val="28"/>
          <w:szCs w:val="28"/>
        </w:rPr>
        <w:t xml:space="preserve">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B82ABE">
        <w:rPr>
          <w:rFonts w:cstheme="minorHAnsi"/>
          <w:sz w:val="28"/>
          <w:szCs w:val="28"/>
        </w:rPr>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3A59ABFC"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Wyznaczona w niniejszej decyzji linia zabudowy ma charakter nieprzekraczalnej, co oznacza, że określa ona jedynie maksymalny zasięg położenia planowanej zabudowy względem drogi wewnętrznej, nie przesądzając jednak o ostatecznej lokalizacji samego budynku na działce.</w:t>
      </w:r>
    </w:p>
    <w:p w14:paraId="1D27A28A" w14:textId="3331D02C"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 xml:space="preserve">Wskaźnik wielkości powierzchni nowej zabudowy, oznaczający łączną powierzchnię terenu wyznaczoną przez rzuty pionowe nadziemnych zewnętrznych ścian wszystkich budynków w stanie wykończonym na powierzchnię działki budowlanej, nie został wyznaczony na podstawie średniego wskaźnika tej wielkości dla obszaru analizowanego. </w:t>
      </w:r>
    </w:p>
    <w:p w14:paraId="14934042" w14:textId="77777777" w:rsidR="00B82ABE" w:rsidRPr="00B82ABE" w:rsidRDefault="00B82ABE" w:rsidP="00B82ABE">
      <w:pPr>
        <w:spacing w:after="120" w:line="240" w:lineRule="auto"/>
        <w:jc w:val="both"/>
        <w:rPr>
          <w:rFonts w:cstheme="minorHAnsi"/>
          <w:sz w:val="28"/>
          <w:szCs w:val="28"/>
        </w:rPr>
      </w:pPr>
      <w:r w:rsidRPr="00B82ABE">
        <w:rPr>
          <w:rFonts w:cstheme="minorHAnsi"/>
          <w:sz w:val="28"/>
          <w:szCs w:val="28"/>
        </w:rPr>
        <w:lastRenderedPageBreak/>
        <w:t>Średni wskaźnik powierzchni zabudowy w obszarze analizowanym wynosi 15,0 %, przy czym w obszarze analizowanym waha się pomiędzy 2,2 %, a 26,5 %. Wnioskodawca przewiduje rozbudowę budynku mieszkalnego o powierzchnię ca 30 m</w:t>
      </w:r>
      <w:r w:rsidRPr="00B82ABE">
        <w:rPr>
          <w:rFonts w:cstheme="minorHAnsi"/>
          <w:sz w:val="28"/>
          <w:szCs w:val="28"/>
          <w:vertAlign w:val="superscript"/>
        </w:rPr>
        <w:t>2</w:t>
      </w:r>
      <w:r w:rsidRPr="00B82ABE">
        <w:rPr>
          <w:rFonts w:cstheme="minorHAnsi"/>
          <w:sz w:val="28"/>
          <w:szCs w:val="28"/>
        </w:rPr>
        <w:t>, a udział powierzchni nowej zabudowy do powierzchni terenu inwestycji 1,1%, który zwiększy wskaźnik istniejący (13,0 %) do 14,1 %. Wnioskowany wskaźnik w niewielkim stopniu niższy jest od wartości średniej oraz podobny jest do występujących w obszarze analizy. Wskaźnik zbliżony do wnioskowanego występuje na działce o nr ewid. 106 (12,7 %), na działce o nr ewid. 109 (15,0 %). Biorąc powyższe pod uwagę wnioskowana inwestycja chrakteryzująca się wskaźnikiem powielającym wskaźniki istniejące w obszarze analizowanym czynić zadość będzie wymogom rozporządzenia.</w:t>
      </w:r>
    </w:p>
    <w:p w14:paraId="7014D953"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Szerokość elewacji frontowej budynku objętego wnioskiem nie ulegnie zmianie.</w:t>
      </w:r>
    </w:p>
    <w:p w14:paraId="6AE22B94" w14:textId="721B08DB" w:rsidR="00B82ABE" w:rsidRDefault="00B82ABE" w:rsidP="00B82ABE">
      <w:pPr>
        <w:spacing w:after="120" w:line="240" w:lineRule="auto"/>
        <w:ind w:firstLine="567"/>
        <w:jc w:val="both"/>
        <w:rPr>
          <w:rFonts w:cstheme="minorHAnsi"/>
          <w:sz w:val="28"/>
          <w:szCs w:val="28"/>
        </w:rPr>
      </w:pPr>
      <w:r w:rsidRPr="00B82ABE">
        <w:rPr>
          <w:rFonts w:cstheme="minorHAnsi"/>
          <w:sz w:val="28"/>
          <w:szCs w:val="28"/>
        </w:rPr>
        <w:t>Wysokość górnej krawędzi elewacji frontowej, jej gzymsu lub attyki wyznacza się dla nowej zabudowy jako przedłużenie tych krawędzi odpowiednio do istniejącej zabudowy na działkach sąsiednich. W przypadku, gdy wysokości te przebiegają tworząc uskok, przyjmuje się średnią wielkość występującą w obszarze analizowanym, albo w inny sposób, jeżeli wynika to z analizy. Na działce bezpośrednio sąsiadującej o nr ewid. 109 i działce objętej wnioskiem górna krawędź elewacji frontowej przebiega na wysokości ok. 8,0 m. Wnioskowano o wartość do 9,0 m, przy czym na podstawie sąsiedztwa możliwe jest ustalenie tego parametru w przedziale od 7,5 m do 9,0 m. Biorąc powyższe pod uwagę możliwe jest ustalenie tego parametru na podstawie wysokości zabudowy istniejącej w sąsiedztwie z zachowaniem ładu przestrzennego.</w:t>
      </w:r>
    </w:p>
    <w:p w14:paraId="01AEB24C"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Geometrię dachu projektowanego budynku ustalono odpowiednio do geometrii dachów występujących na obszarze analizowanym, w którym występują dachy dwuspadowe o nachyleniu od 20° do 45° oraz tzw. płaskie o kącie nachylenia połaci dachowych do 12°, o wysokości głównej kalenicy budynków w obszarze analizowanym od 2,5 m do 8,0 m oraz wysokości całkowitej budynku z dachem płaskim od 2,5 m do 9,0 m.</w:t>
      </w:r>
    </w:p>
    <w:p w14:paraId="15795E37" w14:textId="77777777" w:rsidR="00FE03E1" w:rsidRDefault="00FE03E1" w:rsidP="00B82ABE">
      <w:pPr>
        <w:spacing w:after="120" w:line="240" w:lineRule="auto"/>
        <w:ind w:firstLine="567"/>
        <w:jc w:val="both"/>
        <w:rPr>
          <w:rFonts w:cstheme="minorHAnsi"/>
          <w:sz w:val="28"/>
          <w:szCs w:val="28"/>
        </w:rPr>
      </w:pPr>
    </w:p>
    <w:p w14:paraId="29DCAAE3" w14:textId="77777777" w:rsidR="00FE03E1" w:rsidRDefault="00FE03E1" w:rsidP="00B82ABE">
      <w:pPr>
        <w:spacing w:after="120" w:line="240" w:lineRule="auto"/>
        <w:ind w:firstLine="567"/>
        <w:jc w:val="both"/>
        <w:rPr>
          <w:rFonts w:cstheme="minorHAnsi"/>
          <w:sz w:val="28"/>
          <w:szCs w:val="28"/>
        </w:rPr>
      </w:pPr>
    </w:p>
    <w:p w14:paraId="0D0D6B10" w14:textId="77777777" w:rsidR="00FE03E1" w:rsidRDefault="00FE03E1" w:rsidP="00B82ABE">
      <w:pPr>
        <w:spacing w:after="120" w:line="240" w:lineRule="auto"/>
        <w:ind w:firstLine="567"/>
        <w:jc w:val="both"/>
        <w:rPr>
          <w:rFonts w:cstheme="minorHAnsi"/>
          <w:sz w:val="28"/>
          <w:szCs w:val="28"/>
        </w:rPr>
      </w:pPr>
    </w:p>
    <w:p w14:paraId="2CBD5EEE" w14:textId="77777777" w:rsidR="00FE03E1" w:rsidRDefault="00FE03E1" w:rsidP="00B82ABE">
      <w:pPr>
        <w:spacing w:after="120" w:line="240" w:lineRule="auto"/>
        <w:ind w:firstLine="567"/>
        <w:jc w:val="both"/>
        <w:rPr>
          <w:rFonts w:cstheme="minorHAnsi"/>
          <w:sz w:val="28"/>
          <w:szCs w:val="28"/>
        </w:rPr>
      </w:pPr>
    </w:p>
    <w:p w14:paraId="2A229FB6" w14:textId="56D10BC5"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lastRenderedPageBreak/>
        <w:t>Wnioskodawca w pkt 2.4.3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w:t>
      </w:r>
    </w:p>
    <w:p w14:paraId="0D55C6C9" w14:textId="0E0E8A38"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W niniejszej decyzji Burmistrz Śremu określił zasady związane z lokalizacją miejsc parkingowych na terenie inwestycji, a mianowicie: liczbę miejsc parkingowych - bez zmian (ust. 2 pkt 3 lit. h decyzji). Planowane przedsięwzięcie ma na celu powiększenie istniejących lokali mieszkalnych bez zmiany liczby lokali zlokalizowanych w budynku, zatem nie wystąpi konieczność zapewnienia dodatkowych miejsc parkingowych do obsługi planowanej inwestycji.</w:t>
      </w:r>
    </w:p>
    <w:p w14:paraId="2EB7D34E"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Planowane przedsięwzięcie nie zostało zaklasyfikowane do przedsięwzięć mogących potencjalnie albo zawsze znacząco oddziaływać na środowisko, o których mowa w rozporządzeniu Rady Ministrów z dnia 10 września 2019 r. w sprawie przedsięwzięć mogących znacząco oddziaływać na środowisko (Dz. U. poz. 1839). W związku z tym nie zachodził obowiązek uzyskania decyzji o środowiskowych uwarunkowaniach określającej środowiskowe uwarunkowania realizacji przedsięwzięcia.</w:t>
      </w:r>
    </w:p>
    <w:p w14:paraId="40BB59C4" w14:textId="77777777" w:rsidR="00FE03E1" w:rsidRDefault="00FE03E1" w:rsidP="00B82ABE">
      <w:pPr>
        <w:widowControl w:val="0"/>
        <w:autoSpaceDE w:val="0"/>
        <w:spacing w:after="120" w:line="240" w:lineRule="auto"/>
        <w:ind w:firstLine="567"/>
        <w:jc w:val="both"/>
        <w:rPr>
          <w:rFonts w:cstheme="minorHAnsi"/>
          <w:sz w:val="28"/>
          <w:szCs w:val="28"/>
        </w:rPr>
      </w:pPr>
    </w:p>
    <w:p w14:paraId="47501D30" w14:textId="77777777" w:rsidR="00FE03E1" w:rsidRDefault="00FE03E1" w:rsidP="00B82ABE">
      <w:pPr>
        <w:widowControl w:val="0"/>
        <w:autoSpaceDE w:val="0"/>
        <w:spacing w:after="120" w:line="240" w:lineRule="auto"/>
        <w:ind w:firstLine="567"/>
        <w:jc w:val="both"/>
        <w:rPr>
          <w:rFonts w:cstheme="minorHAnsi"/>
          <w:sz w:val="28"/>
          <w:szCs w:val="28"/>
        </w:rPr>
      </w:pPr>
    </w:p>
    <w:p w14:paraId="26A6D8FA" w14:textId="6E6F850C"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lastRenderedPageBreak/>
        <w:t>Biorąc powyższe pod uwagę, stosownie do art. 96 ust. 1 ustawy z dnia 3 października 2008 r. o udostępnianiu informacji o środowisku i jego ochronie, udziale społeczeństwa w ochronie środowiska oraz o ocenach oddziaływania na środowisko (Dz. U. z 2022 r. poz. 1029) tutejszy organ rozważył, przed wydaniem niniejszej decyzji, czy analizowane przedsięwzięcie, inne niż przedsięwzięcie mogące znacząco oddziaływać na środowisko, które nie jest bezpośrednio związane z ochroną obszaru Natura 2000 lub nie wynika z tej ochrony, może potencjalnie znacząco oddziaływać na obszar Natura 2000. Otóż, planowana inwestycja:</w:t>
      </w:r>
    </w:p>
    <w:p w14:paraId="69DEB8FF" w14:textId="77777777" w:rsidR="00B82ABE" w:rsidRPr="00B82ABE" w:rsidRDefault="00B82ABE" w:rsidP="00B82ABE">
      <w:pPr>
        <w:widowControl w:val="0"/>
        <w:numPr>
          <w:ilvl w:val="0"/>
          <w:numId w:val="16"/>
        </w:numPr>
        <w:autoSpaceDE w:val="0"/>
        <w:spacing w:after="120" w:line="240" w:lineRule="auto"/>
        <w:contextualSpacing/>
        <w:jc w:val="both"/>
        <w:rPr>
          <w:rFonts w:cstheme="minorHAnsi"/>
          <w:sz w:val="28"/>
          <w:szCs w:val="28"/>
        </w:rPr>
      </w:pPr>
      <w:r w:rsidRPr="00B82ABE">
        <w:rPr>
          <w:rFonts w:cstheme="minorHAnsi"/>
          <w:sz w:val="28"/>
          <w:szCs w:val="28"/>
        </w:rPr>
        <w:t>zostanie zlokalizowana w zurbanizowanej (przekształconej antropogenicznie) części wsi;</w:t>
      </w:r>
    </w:p>
    <w:p w14:paraId="206C0819" w14:textId="77777777" w:rsidR="00B82ABE" w:rsidRPr="00B82ABE" w:rsidRDefault="00B82ABE" w:rsidP="00B82ABE">
      <w:pPr>
        <w:widowControl w:val="0"/>
        <w:numPr>
          <w:ilvl w:val="0"/>
          <w:numId w:val="16"/>
        </w:numPr>
        <w:autoSpaceDE w:val="0"/>
        <w:spacing w:after="120" w:line="240" w:lineRule="auto"/>
        <w:contextualSpacing/>
        <w:jc w:val="both"/>
        <w:rPr>
          <w:rFonts w:cstheme="minorHAnsi"/>
          <w:sz w:val="28"/>
          <w:szCs w:val="28"/>
        </w:rPr>
      </w:pPr>
      <w:r w:rsidRPr="00B82ABE">
        <w:rPr>
          <w:rFonts w:cstheme="minorHAnsi"/>
          <w:sz w:val="28"/>
          <w:szCs w:val="28"/>
        </w:rPr>
        <w:t>zajmuje niewielki obszar (o powierzchni ca 0,2724 ha);</w:t>
      </w:r>
    </w:p>
    <w:p w14:paraId="6B7F6B6A" w14:textId="77777777" w:rsidR="00B82ABE" w:rsidRPr="00B82ABE" w:rsidRDefault="00B82ABE" w:rsidP="00B82ABE">
      <w:pPr>
        <w:widowControl w:val="0"/>
        <w:numPr>
          <w:ilvl w:val="0"/>
          <w:numId w:val="16"/>
        </w:numPr>
        <w:autoSpaceDE w:val="0"/>
        <w:spacing w:after="120" w:line="240" w:lineRule="auto"/>
        <w:contextualSpacing/>
        <w:jc w:val="both"/>
        <w:rPr>
          <w:rFonts w:cstheme="minorHAnsi"/>
          <w:sz w:val="28"/>
          <w:szCs w:val="28"/>
        </w:rPr>
      </w:pPr>
      <w:r w:rsidRPr="00B82ABE">
        <w:rPr>
          <w:rFonts w:cstheme="minorHAnsi"/>
          <w:sz w:val="28"/>
          <w:szCs w:val="28"/>
        </w:rPr>
        <w:t>odległa jest od najbliższego obszaru Natura 2000 (pomiar w linii prostej) o ca 7,3 km;</w:t>
      </w:r>
    </w:p>
    <w:p w14:paraId="1248B487" w14:textId="68F9BCE7" w:rsidR="00B82ABE" w:rsidRDefault="00B82ABE" w:rsidP="00B82ABE">
      <w:pPr>
        <w:widowControl w:val="0"/>
        <w:numPr>
          <w:ilvl w:val="0"/>
          <w:numId w:val="16"/>
        </w:numPr>
        <w:autoSpaceDE w:val="0"/>
        <w:spacing w:after="120" w:line="240" w:lineRule="auto"/>
        <w:contextualSpacing/>
        <w:jc w:val="both"/>
        <w:rPr>
          <w:rFonts w:cstheme="minorHAnsi"/>
          <w:sz w:val="28"/>
          <w:szCs w:val="28"/>
        </w:rPr>
      </w:pPr>
      <w:r w:rsidRPr="00B82ABE">
        <w:rPr>
          <w:rFonts w:cstheme="minorHAnsi"/>
          <w:sz w:val="28"/>
          <w:szCs w:val="28"/>
        </w:rPr>
        <w:t>nie wiąże się z generowaniem jakichkolwiek emisji do środowiska (hałas, pola elektromagnetyczne, substancje), poza krótkotrwałym etapem realizacji inwestycji.</w:t>
      </w:r>
    </w:p>
    <w:p w14:paraId="0A424BA1"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2C5C15E3"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Projekt decyzji wymaga uzgodnienia z organem, o którym mowa w art. 53 ust. 4 pkt 8 w związku z art. 64 ust. 1 ustawy z dnia 27 marca 2003 r. o planowaniu i zagospodarowaniu przestrzennym, a mianowicie Regionalnym Dyrektorem Ochrony Środowiska w Poznaniu.</w:t>
      </w:r>
    </w:p>
    <w:p w14:paraId="63C07A5B"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Projekt decyzji wymaga uzyskania stanowiska zarządcy drogi wewnętrznej, będącej w zarządzie gminy Śrem – ul. Ogrodowej i działki o nr ewid. 123, którym jest Burmistrz Śremu, w ramach wewnętrznej procedury.</w:t>
      </w:r>
    </w:p>
    <w:p w14:paraId="6A22ED8B"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Projekt decyzji nie wymaga uzyskania opinii, o której mowa w art. 53 ust. 5e przywołanej ustawy.</w:t>
      </w:r>
    </w:p>
    <w:p w14:paraId="58FFCA55" w14:textId="77777777" w:rsidR="00B82ABE" w:rsidRPr="00B82ABE" w:rsidRDefault="00B82ABE" w:rsidP="00B82ABE">
      <w:pPr>
        <w:widowControl w:val="0"/>
        <w:autoSpaceDE w:val="0"/>
        <w:spacing w:after="120" w:line="240" w:lineRule="auto"/>
        <w:ind w:firstLine="567"/>
        <w:jc w:val="both"/>
        <w:rPr>
          <w:rFonts w:cstheme="minorHAnsi"/>
          <w:sz w:val="28"/>
          <w:szCs w:val="28"/>
        </w:rPr>
      </w:pPr>
      <w:r w:rsidRPr="00B82ABE">
        <w:rPr>
          <w:rFonts w:cstheme="minorHAnsi"/>
          <w:sz w:val="28"/>
          <w:szCs w:val="28"/>
        </w:rPr>
        <w:t>Ponadto, decyzja nie wymagała wcześniejszego uzyskania decyzji wymaganych przepisami odrębnymi.</w:t>
      </w:r>
    </w:p>
    <w:p w14:paraId="30A4C13A" w14:textId="77777777" w:rsidR="00FE03E1"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w:t>
      </w:r>
    </w:p>
    <w:p w14:paraId="613B4CAB" w14:textId="677C8FC7" w:rsidR="00B82ABE" w:rsidRDefault="00B82ABE" w:rsidP="00FE03E1">
      <w:pPr>
        <w:tabs>
          <w:tab w:val="left" w:pos="851"/>
        </w:tabs>
        <w:spacing w:after="120" w:line="240" w:lineRule="auto"/>
        <w:jc w:val="both"/>
        <w:rPr>
          <w:rFonts w:cstheme="minorHAnsi"/>
          <w:sz w:val="28"/>
          <w:szCs w:val="28"/>
        </w:rPr>
      </w:pPr>
      <w:r w:rsidRPr="00B82ABE">
        <w:rPr>
          <w:rFonts w:cstheme="minorHAnsi"/>
          <w:sz w:val="28"/>
          <w:szCs w:val="28"/>
        </w:rPr>
        <w:lastRenderedPageBreak/>
        <w:t xml:space="preserve">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3AF91BE1" w14:textId="77777777" w:rsidR="00B82ABE" w:rsidRPr="00B82ABE"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01AF65D4" w14:textId="77777777" w:rsidR="00B82ABE" w:rsidRPr="00B82ABE"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t xml:space="preserve">Zakresem oddziaływania planowanej inwestycji objęty jest teren: działka objęta wnioskiem. </w:t>
      </w:r>
    </w:p>
    <w:p w14:paraId="40E21663" w14:textId="77777777" w:rsidR="00B82ABE" w:rsidRPr="00B82ABE" w:rsidRDefault="00B82ABE" w:rsidP="00B82ABE">
      <w:pPr>
        <w:tabs>
          <w:tab w:val="left" w:pos="851"/>
        </w:tabs>
        <w:spacing w:after="120" w:line="240" w:lineRule="auto"/>
        <w:ind w:firstLine="567"/>
        <w:jc w:val="both"/>
        <w:rPr>
          <w:rFonts w:cstheme="minorHAnsi"/>
          <w:i/>
          <w:sz w:val="28"/>
          <w:szCs w:val="28"/>
        </w:rPr>
      </w:pPr>
      <w:r w:rsidRPr="00B82ABE">
        <w:rPr>
          <w:rFonts w:cstheme="minorHAnsi"/>
          <w:sz w:val="28"/>
          <w:szCs w:val="28"/>
        </w:rPr>
        <w:t>Biorąc powyższe pod uwagę za stronę postępowania został uznany wnioskodawca, będący zarazem współwłaścicielem działki objętej wnioskiem oraz pozostali współwłaściciele terenu inwestycji.</w:t>
      </w:r>
    </w:p>
    <w:p w14:paraId="3C81996D" w14:textId="77777777" w:rsidR="00B82ABE" w:rsidRPr="00B82ABE"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52E7C3B0" w14:textId="689672AB" w:rsidR="00B82ABE" w:rsidRPr="00B82ABE"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t xml:space="preserve">Stosownie do art. 56, w związku z art. 64 przywołanej ustawy z dnia 27 marca 2003 r. o planowaniu i zagospodarowaniu przestrzennym nie można odmówić ustalenia warunków zabudowy, jeżeli zamierzenie inwestycyjne jest zgodne z przepisami odrębnymi. </w:t>
      </w:r>
    </w:p>
    <w:p w14:paraId="7415CCD1" w14:textId="77777777" w:rsidR="00FE03E1" w:rsidRDefault="00FE03E1" w:rsidP="00B82ABE">
      <w:pPr>
        <w:tabs>
          <w:tab w:val="left" w:pos="851"/>
        </w:tabs>
        <w:spacing w:after="120" w:line="240" w:lineRule="auto"/>
        <w:ind w:firstLine="567"/>
        <w:jc w:val="both"/>
        <w:rPr>
          <w:rFonts w:cstheme="minorHAnsi"/>
          <w:sz w:val="28"/>
          <w:szCs w:val="28"/>
        </w:rPr>
      </w:pPr>
    </w:p>
    <w:p w14:paraId="7FDFB06C" w14:textId="77777777" w:rsidR="00FE03E1" w:rsidRDefault="00FE03E1" w:rsidP="00B82ABE">
      <w:pPr>
        <w:tabs>
          <w:tab w:val="left" w:pos="851"/>
        </w:tabs>
        <w:spacing w:after="120" w:line="240" w:lineRule="auto"/>
        <w:ind w:firstLine="567"/>
        <w:jc w:val="both"/>
        <w:rPr>
          <w:rFonts w:cstheme="minorHAnsi"/>
          <w:sz w:val="28"/>
          <w:szCs w:val="28"/>
        </w:rPr>
      </w:pPr>
    </w:p>
    <w:p w14:paraId="220422E3" w14:textId="77777777" w:rsidR="00FE03E1" w:rsidRDefault="00FE03E1" w:rsidP="00B82ABE">
      <w:pPr>
        <w:tabs>
          <w:tab w:val="left" w:pos="851"/>
        </w:tabs>
        <w:spacing w:after="120" w:line="240" w:lineRule="auto"/>
        <w:ind w:firstLine="567"/>
        <w:jc w:val="both"/>
        <w:rPr>
          <w:rFonts w:cstheme="minorHAnsi"/>
          <w:sz w:val="28"/>
          <w:szCs w:val="28"/>
        </w:rPr>
      </w:pPr>
    </w:p>
    <w:p w14:paraId="204B0FA8" w14:textId="438009C8" w:rsidR="00B82ABE" w:rsidRPr="00B82ABE" w:rsidRDefault="00B82ABE" w:rsidP="00B82ABE">
      <w:pPr>
        <w:tabs>
          <w:tab w:val="left" w:pos="851"/>
        </w:tabs>
        <w:spacing w:after="120" w:line="240" w:lineRule="auto"/>
        <w:ind w:firstLine="567"/>
        <w:jc w:val="both"/>
        <w:rPr>
          <w:rFonts w:cstheme="minorHAnsi"/>
          <w:sz w:val="28"/>
          <w:szCs w:val="28"/>
        </w:rPr>
      </w:pPr>
      <w:r w:rsidRPr="00B82ABE">
        <w:rPr>
          <w:rFonts w:cstheme="minorHAnsi"/>
          <w:sz w:val="28"/>
          <w:szCs w:val="28"/>
        </w:rPr>
        <w:lastRenderedPageBreak/>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ustawy z dnia 27 marca 2003 r. o planowaniu i zagospodarowaniu przestrzennym.</w:t>
      </w:r>
    </w:p>
    <w:p w14:paraId="7AA455E7"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W związku z powyższym orzeczono jak w sentencji.</w:t>
      </w:r>
    </w:p>
    <w:p w14:paraId="0D806FC3"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Pouczenie</w:t>
      </w:r>
    </w:p>
    <w:p w14:paraId="134C5499"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Od niniejszej decyzji służy stronom prawo wniesienia odwołania do Samorządowego Kolegium Odwoławczego w Poznaniu, za moim pośrednictwem, w terminie 14 dni od dnia doręczenia.</w:t>
      </w:r>
    </w:p>
    <w:p w14:paraId="7256335E"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6FFD896B"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6C8DB9D7" w14:textId="77777777" w:rsidR="00B82ABE" w:rsidRPr="00B82ABE" w:rsidRDefault="00B82ABE" w:rsidP="00B82ABE">
      <w:pPr>
        <w:spacing w:after="120" w:line="240" w:lineRule="auto"/>
        <w:jc w:val="center"/>
        <w:rPr>
          <w:rFonts w:cstheme="minorHAnsi"/>
          <w:sz w:val="28"/>
          <w:szCs w:val="28"/>
        </w:rPr>
      </w:pPr>
      <w:r w:rsidRPr="00B82ABE">
        <w:rPr>
          <w:rFonts w:cstheme="minorHAnsi"/>
          <w:sz w:val="28"/>
          <w:szCs w:val="28"/>
        </w:rPr>
        <w:t>Informacja</w:t>
      </w:r>
    </w:p>
    <w:p w14:paraId="141F6392"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Stosownie do art. 63 pkt 2 ustawy z dnia 27 marca 2003 r. o planowaniu i zagospodarowaniu przestrzennym decyzja o warunkach zabudowy nie rodzi praw do terenu oraz nie narusza prawa własności i uprawnień osób trzecich.</w:t>
      </w:r>
    </w:p>
    <w:p w14:paraId="133B9243" w14:textId="77777777" w:rsidR="00B82ABE" w:rsidRPr="00B82ABE" w:rsidRDefault="00B82ABE" w:rsidP="00B82ABE">
      <w:pPr>
        <w:spacing w:after="120" w:line="240" w:lineRule="auto"/>
        <w:ind w:firstLine="567"/>
        <w:jc w:val="both"/>
        <w:rPr>
          <w:rFonts w:cstheme="minorHAnsi"/>
          <w:sz w:val="28"/>
          <w:szCs w:val="28"/>
        </w:rPr>
      </w:pPr>
      <w:r w:rsidRPr="00B82ABE">
        <w:rPr>
          <w:rFonts w:cstheme="minorHAnsi"/>
          <w:sz w:val="28"/>
          <w:szCs w:val="28"/>
        </w:rPr>
        <w:t>Stosownie do art. 65 przywołanej ustawy w drodze decyzji, stwierdza się wygaśnięcie decyzji o warunkach zabudowy albo decyzji o lokalizacji inwestycji celu publicznego, jeżeli:</w:t>
      </w:r>
    </w:p>
    <w:p w14:paraId="6F66CCFC" w14:textId="77777777" w:rsidR="00B82ABE" w:rsidRPr="00B82ABE" w:rsidRDefault="00B82ABE" w:rsidP="00B82ABE">
      <w:pPr>
        <w:widowControl w:val="0"/>
        <w:numPr>
          <w:ilvl w:val="1"/>
          <w:numId w:val="20"/>
        </w:numPr>
        <w:tabs>
          <w:tab w:val="left" w:pos="993"/>
        </w:tabs>
        <w:autoSpaceDE w:val="0"/>
        <w:autoSpaceDN w:val="0"/>
        <w:adjustRightInd w:val="0"/>
        <w:spacing w:after="120" w:line="240" w:lineRule="auto"/>
        <w:ind w:left="0" w:firstLine="567"/>
        <w:jc w:val="both"/>
        <w:rPr>
          <w:rFonts w:cstheme="minorHAnsi"/>
          <w:sz w:val="28"/>
          <w:szCs w:val="28"/>
        </w:rPr>
      </w:pPr>
      <w:r w:rsidRPr="00B82ABE">
        <w:rPr>
          <w:rFonts w:cstheme="minorHAnsi"/>
          <w:sz w:val="28"/>
          <w:szCs w:val="28"/>
        </w:rPr>
        <w:t>inny wnioskodawca uzyskał pozwolenie na budowę;</w:t>
      </w:r>
    </w:p>
    <w:p w14:paraId="55D2C5AC" w14:textId="77777777" w:rsidR="00B82ABE" w:rsidRPr="00B82ABE" w:rsidRDefault="00B82ABE" w:rsidP="00B82ABE">
      <w:pPr>
        <w:widowControl w:val="0"/>
        <w:numPr>
          <w:ilvl w:val="1"/>
          <w:numId w:val="20"/>
        </w:numPr>
        <w:tabs>
          <w:tab w:val="left" w:pos="993"/>
        </w:tabs>
        <w:autoSpaceDE w:val="0"/>
        <w:autoSpaceDN w:val="0"/>
        <w:adjustRightInd w:val="0"/>
        <w:spacing w:after="120" w:line="240" w:lineRule="auto"/>
        <w:ind w:left="0" w:firstLine="567"/>
        <w:jc w:val="both"/>
        <w:rPr>
          <w:rFonts w:cstheme="minorHAnsi"/>
          <w:sz w:val="28"/>
          <w:szCs w:val="28"/>
        </w:rPr>
      </w:pPr>
      <w:r w:rsidRPr="00B82ABE">
        <w:rPr>
          <w:rFonts w:cstheme="minorHAnsi"/>
          <w:sz w:val="28"/>
          <w:szCs w:val="28"/>
        </w:rPr>
        <w:t>dla tego terenu uchwalono plan miejscowy, którego ustalenia są inne niż w wydanej decyzji.</w:t>
      </w:r>
    </w:p>
    <w:p w14:paraId="5A3CA0E8" w14:textId="77777777" w:rsidR="00FE03E1" w:rsidRDefault="00FE03E1" w:rsidP="00D3438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z up. BURMISTRZA</w:t>
      </w:r>
    </w:p>
    <w:p w14:paraId="06A21F22" w14:textId="77777777" w:rsidR="00D3438E" w:rsidRDefault="00D3438E" w:rsidP="00D3438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mgr Katarzyna Bednarowicz</w:t>
      </w:r>
    </w:p>
    <w:p w14:paraId="1AF6CE92" w14:textId="12A3B3C0" w:rsidR="00D3438E" w:rsidRDefault="00D3438E" w:rsidP="00D3438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Naczelnik Pionu Gospodarowania</w:t>
      </w:r>
    </w:p>
    <w:p w14:paraId="2D337729" w14:textId="4E44F29E" w:rsidR="00D3438E" w:rsidRDefault="00D3438E" w:rsidP="00D3438E">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Przestrzenią i Środowiskiem</w:t>
      </w:r>
    </w:p>
    <w:p w14:paraId="11FF7679" w14:textId="1070B370" w:rsidR="00FE03E1" w:rsidRDefault="00FE03E1" w:rsidP="00B82ABE">
      <w:pPr>
        <w:widowControl w:val="0"/>
        <w:autoSpaceDE w:val="0"/>
        <w:autoSpaceDN w:val="0"/>
        <w:adjustRightInd w:val="0"/>
        <w:spacing w:after="120" w:line="240" w:lineRule="auto"/>
        <w:ind w:right="-1"/>
        <w:jc w:val="both"/>
        <w:rPr>
          <w:rFonts w:cstheme="minorHAnsi"/>
          <w:sz w:val="28"/>
          <w:szCs w:val="28"/>
        </w:rPr>
      </w:pPr>
    </w:p>
    <w:p w14:paraId="4EA07AFF" w14:textId="77777777" w:rsidR="00FE03E1" w:rsidRDefault="00FE03E1" w:rsidP="00B82ABE">
      <w:pPr>
        <w:widowControl w:val="0"/>
        <w:autoSpaceDE w:val="0"/>
        <w:autoSpaceDN w:val="0"/>
        <w:adjustRightInd w:val="0"/>
        <w:spacing w:after="120" w:line="240" w:lineRule="auto"/>
        <w:ind w:right="-1"/>
        <w:jc w:val="both"/>
        <w:rPr>
          <w:rFonts w:cstheme="minorHAnsi"/>
          <w:sz w:val="28"/>
          <w:szCs w:val="28"/>
        </w:rPr>
      </w:pPr>
    </w:p>
    <w:p w14:paraId="1A27EF27" w14:textId="77777777" w:rsidR="00B82ABE" w:rsidRPr="00B82ABE" w:rsidRDefault="00B82ABE" w:rsidP="00B82ABE">
      <w:pPr>
        <w:widowControl w:val="0"/>
        <w:autoSpaceDE w:val="0"/>
        <w:autoSpaceDN w:val="0"/>
        <w:adjustRightInd w:val="0"/>
        <w:spacing w:after="120" w:line="240" w:lineRule="auto"/>
        <w:ind w:right="-1"/>
        <w:jc w:val="both"/>
        <w:rPr>
          <w:rFonts w:cstheme="minorHAnsi"/>
          <w:sz w:val="28"/>
          <w:szCs w:val="28"/>
        </w:rPr>
      </w:pPr>
      <w:r w:rsidRPr="00B82ABE">
        <w:rPr>
          <w:rFonts w:cstheme="minorHAnsi"/>
          <w:sz w:val="28"/>
          <w:szCs w:val="28"/>
        </w:rPr>
        <w:lastRenderedPageBreak/>
        <w:t>Załączniki:</w:t>
      </w:r>
    </w:p>
    <w:p w14:paraId="090E7713" w14:textId="77777777" w:rsidR="00B82ABE" w:rsidRPr="00B82ABE" w:rsidRDefault="00B82ABE" w:rsidP="00B82ABE">
      <w:pPr>
        <w:numPr>
          <w:ilvl w:val="0"/>
          <w:numId w:val="10"/>
        </w:numPr>
        <w:spacing w:after="120" w:line="240" w:lineRule="auto"/>
        <w:ind w:right="-1"/>
        <w:jc w:val="both"/>
        <w:rPr>
          <w:rFonts w:cstheme="minorHAnsi"/>
          <w:sz w:val="28"/>
          <w:szCs w:val="28"/>
        </w:rPr>
      </w:pPr>
      <w:r w:rsidRPr="00B82ABE">
        <w:rPr>
          <w:rFonts w:cstheme="minorHAnsi"/>
          <w:sz w:val="28"/>
          <w:szCs w:val="28"/>
        </w:rPr>
        <w:t>załącznik nr 1 – część graficzna decyzji,</w:t>
      </w:r>
    </w:p>
    <w:p w14:paraId="0AFAC775" w14:textId="77777777" w:rsidR="00B82ABE" w:rsidRPr="00B82ABE" w:rsidRDefault="00B82ABE" w:rsidP="00B82ABE">
      <w:pPr>
        <w:numPr>
          <w:ilvl w:val="0"/>
          <w:numId w:val="10"/>
        </w:numPr>
        <w:spacing w:after="120" w:line="240" w:lineRule="auto"/>
        <w:ind w:right="-1"/>
        <w:jc w:val="both"/>
        <w:rPr>
          <w:rFonts w:cstheme="minorHAnsi"/>
          <w:sz w:val="28"/>
          <w:szCs w:val="28"/>
        </w:rPr>
      </w:pPr>
      <w:r w:rsidRPr="00B82ABE">
        <w:rPr>
          <w:rFonts w:cstheme="minorHAnsi"/>
          <w:sz w:val="28"/>
          <w:szCs w:val="28"/>
        </w:rPr>
        <w:t>załącznik nr 2 – część tekstowa wyników analizy funkcji oraz cech zabudowy i zagospodarowania terenu,</w:t>
      </w:r>
    </w:p>
    <w:p w14:paraId="51C285C8" w14:textId="77777777" w:rsidR="00B82ABE" w:rsidRPr="00B82ABE" w:rsidRDefault="00B82ABE" w:rsidP="00B82ABE">
      <w:pPr>
        <w:numPr>
          <w:ilvl w:val="0"/>
          <w:numId w:val="10"/>
        </w:numPr>
        <w:spacing w:after="120" w:line="240" w:lineRule="auto"/>
        <w:ind w:right="-1"/>
        <w:jc w:val="both"/>
        <w:rPr>
          <w:rFonts w:cstheme="minorHAnsi"/>
          <w:sz w:val="28"/>
          <w:szCs w:val="28"/>
        </w:rPr>
      </w:pPr>
      <w:r w:rsidRPr="00B82ABE">
        <w:rPr>
          <w:rFonts w:cstheme="minorHAnsi"/>
          <w:sz w:val="28"/>
          <w:szCs w:val="28"/>
        </w:rPr>
        <w:t>załącznik nr 3 – część graficzna wyników analizy funkcji oraz cech zabudowy i zagospodarowania terenu.</w:t>
      </w:r>
    </w:p>
    <w:p w14:paraId="2E931EED" w14:textId="23C86D89" w:rsidR="00B82ABE" w:rsidRDefault="00B82ABE" w:rsidP="00B82ABE">
      <w:pPr>
        <w:spacing w:after="0" w:line="240" w:lineRule="auto"/>
        <w:jc w:val="both"/>
        <w:rPr>
          <w:rFonts w:cstheme="minorHAnsi"/>
          <w:sz w:val="28"/>
          <w:szCs w:val="28"/>
        </w:rPr>
      </w:pPr>
    </w:p>
    <w:p w14:paraId="5B1EE2C8" w14:textId="4AEEED78" w:rsidR="00835C8E" w:rsidRDefault="00835C8E" w:rsidP="00B82ABE">
      <w:pPr>
        <w:spacing w:after="0" w:line="240" w:lineRule="auto"/>
        <w:jc w:val="both"/>
        <w:rPr>
          <w:rFonts w:cstheme="minorHAnsi"/>
          <w:sz w:val="28"/>
          <w:szCs w:val="28"/>
        </w:rPr>
      </w:pPr>
    </w:p>
    <w:p w14:paraId="4B18F421" w14:textId="77777777" w:rsidR="00835C8E" w:rsidRDefault="00835C8E" w:rsidP="00B82ABE">
      <w:pPr>
        <w:spacing w:after="0" w:line="240" w:lineRule="auto"/>
        <w:jc w:val="both"/>
        <w:rPr>
          <w:rFonts w:cstheme="minorHAnsi"/>
          <w:sz w:val="28"/>
          <w:szCs w:val="28"/>
        </w:rPr>
      </w:pPr>
    </w:p>
    <w:p w14:paraId="5D1638B2" w14:textId="77777777" w:rsidR="00B82ABE" w:rsidRPr="00B82ABE" w:rsidRDefault="00B82ABE" w:rsidP="00B54791">
      <w:pPr>
        <w:spacing w:after="0" w:line="240" w:lineRule="auto"/>
        <w:jc w:val="both"/>
        <w:rPr>
          <w:rFonts w:cstheme="minorHAnsi"/>
          <w:sz w:val="28"/>
          <w:szCs w:val="28"/>
        </w:rPr>
      </w:pPr>
      <w:r w:rsidRPr="00B82ABE">
        <w:rPr>
          <w:rFonts w:cstheme="minorHAnsi"/>
          <w:sz w:val="28"/>
          <w:szCs w:val="28"/>
        </w:rPr>
        <w:t>Sprawę prowadzi:</w:t>
      </w:r>
    </w:p>
    <w:p w14:paraId="3889F342" w14:textId="77777777" w:rsidR="00B82ABE" w:rsidRPr="00B82ABE" w:rsidRDefault="00B82ABE" w:rsidP="00B54791">
      <w:pPr>
        <w:spacing w:after="0" w:line="240" w:lineRule="auto"/>
        <w:jc w:val="both"/>
        <w:rPr>
          <w:rFonts w:cstheme="minorHAnsi"/>
          <w:sz w:val="28"/>
          <w:szCs w:val="28"/>
        </w:rPr>
      </w:pPr>
      <w:r w:rsidRPr="00B82ABE">
        <w:rPr>
          <w:rFonts w:cstheme="minorHAnsi"/>
          <w:sz w:val="28"/>
          <w:szCs w:val="28"/>
        </w:rPr>
        <w:t>Magdalena Nerling</w:t>
      </w:r>
    </w:p>
    <w:p w14:paraId="1F4608B7" w14:textId="77777777" w:rsidR="00B82ABE" w:rsidRPr="00B82ABE" w:rsidRDefault="00B82ABE" w:rsidP="00B54791">
      <w:pPr>
        <w:spacing w:after="0" w:line="240" w:lineRule="auto"/>
        <w:jc w:val="both"/>
        <w:rPr>
          <w:rFonts w:cstheme="minorHAnsi"/>
          <w:sz w:val="28"/>
          <w:szCs w:val="28"/>
        </w:rPr>
      </w:pPr>
      <w:r w:rsidRPr="00B82ABE">
        <w:rPr>
          <w:rFonts w:cstheme="minorHAnsi"/>
          <w:sz w:val="28"/>
          <w:szCs w:val="28"/>
        </w:rPr>
        <w:t>inspektor</w:t>
      </w:r>
    </w:p>
    <w:p w14:paraId="5CC910DF" w14:textId="77777777" w:rsidR="00B82ABE" w:rsidRPr="00B82ABE" w:rsidRDefault="00B82ABE" w:rsidP="00B54791">
      <w:pPr>
        <w:spacing w:after="120" w:line="240" w:lineRule="auto"/>
        <w:jc w:val="both"/>
        <w:rPr>
          <w:rFonts w:cstheme="minorHAnsi"/>
          <w:sz w:val="28"/>
          <w:szCs w:val="28"/>
        </w:rPr>
      </w:pPr>
      <w:r w:rsidRPr="00B82ABE">
        <w:rPr>
          <w:rFonts w:cstheme="minorHAnsi"/>
          <w:sz w:val="28"/>
          <w:szCs w:val="28"/>
        </w:rPr>
        <w:t>tel. 61 28 47 131</w:t>
      </w:r>
    </w:p>
    <w:p w14:paraId="2899244A" w14:textId="77777777" w:rsidR="00B82ABE" w:rsidRPr="00B82ABE" w:rsidRDefault="00B82ABE" w:rsidP="00B54791">
      <w:pPr>
        <w:spacing w:after="0" w:line="240" w:lineRule="auto"/>
        <w:jc w:val="both"/>
        <w:rPr>
          <w:rFonts w:cstheme="minorHAnsi"/>
          <w:sz w:val="28"/>
          <w:szCs w:val="28"/>
        </w:rPr>
      </w:pPr>
      <w:r w:rsidRPr="00B82ABE">
        <w:rPr>
          <w:rFonts w:cstheme="minorHAnsi"/>
          <w:sz w:val="28"/>
          <w:szCs w:val="28"/>
        </w:rPr>
        <w:t>Otrzymują:</w:t>
      </w:r>
    </w:p>
    <w:p w14:paraId="1611E63B" w14:textId="77777777" w:rsidR="00B82ABE" w:rsidRPr="00B82ABE" w:rsidRDefault="00B82ABE" w:rsidP="00B54791">
      <w:pPr>
        <w:numPr>
          <w:ilvl w:val="0"/>
          <w:numId w:val="13"/>
        </w:numPr>
        <w:spacing w:after="0" w:line="240" w:lineRule="auto"/>
        <w:jc w:val="both"/>
        <w:rPr>
          <w:rFonts w:cstheme="minorHAnsi"/>
          <w:sz w:val="28"/>
          <w:szCs w:val="28"/>
        </w:rPr>
      </w:pPr>
      <w:r w:rsidRPr="00B82ABE">
        <w:rPr>
          <w:rFonts w:cstheme="minorHAnsi"/>
          <w:sz w:val="28"/>
          <w:szCs w:val="28"/>
        </w:rPr>
        <w:t>Wnioskodawca</w:t>
      </w:r>
    </w:p>
    <w:p w14:paraId="47BA1384" w14:textId="77777777" w:rsidR="00B82ABE" w:rsidRPr="00B82ABE" w:rsidRDefault="00B82ABE" w:rsidP="00B54791">
      <w:pPr>
        <w:numPr>
          <w:ilvl w:val="0"/>
          <w:numId w:val="13"/>
        </w:numPr>
        <w:spacing w:after="0" w:line="240" w:lineRule="auto"/>
        <w:jc w:val="both"/>
        <w:rPr>
          <w:rFonts w:cstheme="minorHAnsi"/>
          <w:sz w:val="28"/>
          <w:szCs w:val="28"/>
        </w:rPr>
      </w:pPr>
      <w:r w:rsidRPr="00B82ABE">
        <w:rPr>
          <w:rFonts w:cstheme="minorHAnsi"/>
          <w:sz w:val="28"/>
          <w:szCs w:val="28"/>
        </w:rPr>
        <w:t>Pozostałe Strony postępowania w formie publicznego obwieszczenia</w:t>
      </w:r>
    </w:p>
    <w:p w14:paraId="488B7DA1" w14:textId="77777777" w:rsidR="00B82ABE" w:rsidRPr="00B82ABE" w:rsidRDefault="00B82ABE" w:rsidP="00B54791">
      <w:pPr>
        <w:numPr>
          <w:ilvl w:val="0"/>
          <w:numId w:val="13"/>
        </w:numPr>
        <w:spacing w:after="120" w:line="240" w:lineRule="auto"/>
        <w:jc w:val="both"/>
        <w:rPr>
          <w:rFonts w:cstheme="minorHAnsi"/>
          <w:sz w:val="28"/>
          <w:szCs w:val="28"/>
        </w:rPr>
      </w:pPr>
      <w:r w:rsidRPr="00B82ABE">
        <w:rPr>
          <w:rFonts w:cstheme="minorHAnsi"/>
          <w:sz w:val="28"/>
          <w:szCs w:val="28"/>
        </w:rPr>
        <w:t>Aa.</w:t>
      </w:r>
    </w:p>
    <w:p w14:paraId="2A5F58B0" w14:textId="31B7902B" w:rsidR="00B82ABE" w:rsidRDefault="00B82ABE" w:rsidP="00B54791">
      <w:pPr>
        <w:spacing w:after="120" w:line="240" w:lineRule="auto"/>
        <w:jc w:val="both"/>
        <w:rPr>
          <w:rFonts w:cstheme="minorHAnsi"/>
          <w:sz w:val="28"/>
          <w:szCs w:val="28"/>
        </w:rPr>
      </w:pPr>
      <w:r w:rsidRPr="00B82ABE">
        <w:rPr>
          <w:rFonts w:cstheme="minorHAnsi"/>
          <w:sz w:val="28"/>
          <w:szCs w:val="28"/>
        </w:rPr>
        <w:t>Decyzja zwolniona od opłaty skarbowej zgodnie z załącznikiem do ustawy z dnia 16 listopada 2006 r. o opłacie skarbowej (Dz. U. z 2021 r. poz. 1923, z późn. zm.) część I pkt 8.</w:t>
      </w:r>
    </w:p>
    <w:p w14:paraId="6A228A4D" w14:textId="409BA9AE" w:rsidR="00B54791" w:rsidRDefault="00B54791" w:rsidP="00B54791">
      <w:pPr>
        <w:spacing w:after="120" w:line="240" w:lineRule="auto"/>
        <w:jc w:val="both"/>
        <w:rPr>
          <w:rFonts w:cstheme="minorHAnsi"/>
          <w:sz w:val="28"/>
          <w:szCs w:val="28"/>
        </w:rPr>
      </w:pPr>
    </w:p>
    <w:p w14:paraId="5DD4018F" w14:textId="739CA3F2" w:rsidR="00B54791" w:rsidRPr="00B82ABE" w:rsidRDefault="00B54791" w:rsidP="00B54791">
      <w:pPr>
        <w:spacing w:after="120" w:line="240" w:lineRule="auto"/>
        <w:jc w:val="both"/>
        <w:rPr>
          <w:rFonts w:cstheme="minorHAnsi"/>
          <w:sz w:val="28"/>
          <w:szCs w:val="28"/>
        </w:rPr>
      </w:pPr>
    </w:p>
    <w:p w14:paraId="22FECA6A" w14:textId="76CA4BCF" w:rsidR="00546230" w:rsidRDefault="00BA37EA" w:rsidP="00BA37EA">
      <w:pPr>
        <w:spacing w:after="120" w:line="240" w:lineRule="auto"/>
        <w:jc w:val="both"/>
        <w:rPr>
          <w:rFonts w:eastAsia="Calibri" w:cstheme="minorHAnsi"/>
          <w:sz w:val="28"/>
          <w:szCs w:val="28"/>
        </w:rPr>
      </w:pPr>
      <w:r>
        <w:rPr>
          <w:rFonts w:eastAsia="Calibri" w:cstheme="minorHAnsi"/>
          <w:noProof/>
          <w:sz w:val="28"/>
          <w:szCs w:val="28"/>
        </w:rPr>
        <w:lastRenderedPageBreak/>
        <w:drawing>
          <wp:inline distT="0" distB="0" distL="0" distR="0" wp14:anchorId="477996DF" wp14:editId="1DE48C01">
            <wp:extent cx="5561500" cy="7886700"/>
            <wp:effectExtent l="0" t="0" r="127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0530" cy="7913686"/>
                    </a:xfrm>
                    <a:prstGeom prst="rect">
                      <a:avLst/>
                    </a:prstGeom>
                    <a:noFill/>
                    <a:ln>
                      <a:noFill/>
                    </a:ln>
                  </pic:spPr>
                </pic:pic>
              </a:graphicData>
            </a:graphic>
          </wp:inline>
        </w:drawing>
      </w:r>
    </w:p>
    <w:p w14:paraId="7E465180" w14:textId="77777777" w:rsidR="00FE03E1" w:rsidRDefault="00FE03E1" w:rsidP="006A7E0E">
      <w:pPr>
        <w:spacing w:after="120" w:line="240" w:lineRule="auto"/>
        <w:jc w:val="both"/>
        <w:rPr>
          <w:rFonts w:ascii="Calibri" w:hAnsi="Calibri"/>
          <w:sz w:val="28"/>
        </w:rPr>
      </w:pPr>
    </w:p>
    <w:p w14:paraId="383C7655" w14:textId="77777777" w:rsidR="00FE03E1" w:rsidRDefault="00FE03E1" w:rsidP="006A7E0E">
      <w:pPr>
        <w:spacing w:after="120" w:line="240" w:lineRule="auto"/>
        <w:jc w:val="both"/>
        <w:rPr>
          <w:rFonts w:ascii="Calibri" w:hAnsi="Calibri"/>
          <w:sz w:val="28"/>
        </w:rPr>
      </w:pPr>
    </w:p>
    <w:p w14:paraId="1DDD6D3A" w14:textId="6AB18B5E" w:rsidR="006A7E0E" w:rsidRPr="006A7E0E" w:rsidRDefault="006A7E0E" w:rsidP="006A7E0E">
      <w:pPr>
        <w:spacing w:after="120" w:line="240" w:lineRule="auto"/>
        <w:jc w:val="both"/>
        <w:rPr>
          <w:rFonts w:ascii="Calibri" w:hAnsi="Calibri"/>
          <w:sz w:val="28"/>
        </w:rPr>
      </w:pPr>
      <w:r w:rsidRPr="006A7E0E">
        <w:rPr>
          <w:rFonts w:ascii="Calibri" w:hAnsi="Calibri"/>
          <w:sz w:val="28"/>
        </w:rPr>
        <w:lastRenderedPageBreak/>
        <w:t>PPSPP.6730.173.2021.NMAG</w:t>
      </w:r>
    </w:p>
    <w:p w14:paraId="52B41D51" w14:textId="77777777" w:rsidR="006A7E0E" w:rsidRPr="006A7E0E" w:rsidRDefault="006A7E0E" w:rsidP="006A7E0E">
      <w:pPr>
        <w:spacing w:after="120" w:line="240" w:lineRule="auto"/>
        <w:jc w:val="center"/>
        <w:rPr>
          <w:rFonts w:ascii="Calibri" w:hAnsi="Calibri"/>
          <w:sz w:val="28"/>
        </w:rPr>
      </w:pPr>
      <w:r w:rsidRPr="006A7E0E">
        <w:rPr>
          <w:rFonts w:ascii="Calibri" w:hAnsi="Calibri"/>
          <w:sz w:val="28"/>
        </w:rPr>
        <w:t>Wyniki analizy</w:t>
      </w:r>
    </w:p>
    <w:p w14:paraId="62D57EB2" w14:textId="77777777" w:rsidR="006A7E0E" w:rsidRPr="006A7E0E" w:rsidRDefault="006A7E0E" w:rsidP="006A7E0E">
      <w:pPr>
        <w:spacing w:after="120" w:line="240" w:lineRule="auto"/>
        <w:jc w:val="center"/>
        <w:rPr>
          <w:rFonts w:ascii="Calibri" w:hAnsi="Calibri"/>
          <w:sz w:val="28"/>
        </w:rPr>
      </w:pPr>
      <w:r w:rsidRPr="006A7E0E">
        <w:rPr>
          <w:rFonts w:ascii="Calibri" w:hAnsi="Calibri"/>
          <w:sz w:val="28"/>
        </w:rPr>
        <w:t>funkcji oraz cech zabudowy i zagospodarowania terenu w zakresie warunków, o których mowa w art. 61 ust. 1 – 5 ustawy z dnia 27 marca 2003 r. o planowaniu i zagospodarowaniu przestrzennym</w:t>
      </w:r>
    </w:p>
    <w:p w14:paraId="336A5D70" w14:textId="77777777" w:rsidR="006A7E0E" w:rsidRPr="006A7E0E" w:rsidRDefault="006A7E0E" w:rsidP="006A7E0E">
      <w:pPr>
        <w:spacing w:after="120" w:line="240" w:lineRule="auto"/>
        <w:ind w:firstLine="567"/>
        <w:jc w:val="both"/>
        <w:rPr>
          <w:rFonts w:ascii="Calibri" w:hAnsi="Calibri"/>
          <w:sz w:val="28"/>
        </w:rPr>
      </w:pPr>
      <w:r w:rsidRPr="006A7E0E">
        <w:rPr>
          <w:rFonts w:ascii="Calibri" w:hAnsi="Calibri"/>
          <w:sz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6A7E0E" w:rsidRPr="006A7E0E" w14:paraId="66B74FF1" w14:textId="77777777" w:rsidTr="00CC166C">
        <w:tc>
          <w:tcPr>
            <w:tcW w:w="6841" w:type="dxa"/>
            <w:gridSpan w:val="2"/>
            <w:tcBorders>
              <w:right w:val="dotted" w:sz="4" w:space="0" w:color="auto"/>
            </w:tcBorders>
            <w:vAlign w:val="center"/>
          </w:tcPr>
          <w:p w14:paraId="128F6550" w14:textId="77777777" w:rsidR="006A7E0E" w:rsidRPr="006A7E0E" w:rsidRDefault="006A7E0E" w:rsidP="006A7E0E">
            <w:pPr>
              <w:spacing w:after="120"/>
              <w:jc w:val="both"/>
              <w:rPr>
                <w:rFonts w:ascii="Calibri" w:hAnsi="Calibri"/>
                <w:sz w:val="24"/>
              </w:rPr>
            </w:pPr>
            <w:r w:rsidRPr="006A7E0E">
              <w:rPr>
                <w:rFonts w:ascii="Calibri" w:hAnsi="Calibri"/>
                <w:sz w:val="24"/>
              </w:rPr>
              <w:t>Punkt i treść warunku, o którym mowa w art. 61 ust. 1</w:t>
            </w:r>
          </w:p>
        </w:tc>
        <w:tc>
          <w:tcPr>
            <w:tcW w:w="1828" w:type="dxa"/>
            <w:tcBorders>
              <w:left w:val="dotted" w:sz="4" w:space="0" w:color="auto"/>
            </w:tcBorders>
            <w:vAlign w:val="center"/>
          </w:tcPr>
          <w:p w14:paraId="222E5673" w14:textId="77777777" w:rsidR="006A7E0E" w:rsidRPr="006A7E0E" w:rsidRDefault="006A7E0E" w:rsidP="006A7E0E">
            <w:pPr>
              <w:spacing w:after="120"/>
              <w:jc w:val="center"/>
              <w:rPr>
                <w:rFonts w:ascii="Calibri" w:hAnsi="Calibri"/>
                <w:sz w:val="24"/>
              </w:rPr>
            </w:pPr>
            <w:r w:rsidRPr="006A7E0E">
              <w:rPr>
                <w:rFonts w:ascii="Calibri" w:hAnsi="Calibri"/>
                <w:sz w:val="24"/>
              </w:rPr>
              <w:t>Spełnienie warunku</w:t>
            </w:r>
          </w:p>
        </w:tc>
      </w:tr>
      <w:tr w:rsidR="006A7E0E" w:rsidRPr="006A7E0E" w14:paraId="0C9AEB9D" w14:textId="77777777" w:rsidTr="00CC166C">
        <w:tc>
          <w:tcPr>
            <w:tcW w:w="705" w:type="dxa"/>
            <w:tcBorders>
              <w:bottom w:val="single" w:sz="2" w:space="0" w:color="auto"/>
              <w:right w:val="dotted" w:sz="4" w:space="0" w:color="auto"/>
            </w:tcBorders>
            <w:vAlign w:val="center"/>
          </w:tcPr>
          <w:p w14:paraId="2182CC69" w14:textId="77777777" w:rsidR="006A7E0E" w:rsidRPr="006A7E0E" w:rsidRDefault="006A7E0E" w:rsidP="006A7E0E">
            <w:pPr>
              <w:spacing w:after="120"/>
              <w:jc w:val="both"/>
              <w:rPr>
                <w:rFonts w:ascii="Calibri" w:hAnsi="Calibri"/>
                <w:sz w:val="24"/>
              </w:rPr>
            </w:pPr>
            <w:r w:rsidRPr="006A7E0E">
              <w:rPr>
                <w:rFonts w:ascii="Calibri" w:hAnsi="Calibri"/>
                <w:sz w:val="24"/>
              </w:rPr>
              <w:t>pkt 1</w:t>
            </w:r>
          </w:p>
        </w:tc>
        <w:tc>
          <w:tcPr>
            <w:tcW w:w="6136" w:type="dxa"/>
            <w:tcBorders>
              <w:left w:val="dotted" w:sz="4" w:space="0" w:color="auto"/>
              <w:bottom w:val="single" w:sz="2" w:space="0" w:color="auto"/>
              <w:right w:val="dotted" w:sz="4" w:space="0" w:color="auto"/>
            </w:tcBorders>
          </w:tcPr>
          <w:p w14:paraId="31E8954A" w14:textId="77777777" w:rsidR="006A7E0E" w:rsidRPr="006A7E0E" w:rsidRDefault="006A7E0E" w:rsidP="006A7E0E">
            <w:pPr>
              <w:spacing w:after="120"/>
              <w:jc w:val="both"/>
              <w:rPr>
                <w:rFonts w:ascii="Calibri" w:hAnsi="Calibri"/>
                <w:sz w:val="24"/>
              </w:rPr>
            </w:pPr>
            <w:r w:rsidRPr="006A7E0E">
              <w:rPr>
                <w:rFonts w:ascii="Calibri" w:hAnsi="Calibri"/>
                <w:sz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42B3F3C0"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r w:rsidR="006A7E0E" w:rsidRPr="006A7E0E" w14:paraId="4009AEC6" w14:textId="77777777" w:rsidTr="00CC166C">
        <w:tc>
          <w:tcPr>
            <w:tcW w:w="705" w:type="dxa"/>
            <w:tcBorders>
              <w:top w:val="single" w:sz="2" w:space="0" w:color="auto"/>
              <w:bottom w:val="single" w:sz="2" w:space="0" w:color="auto"/>
              <w:right w:val="dotted" w:sz="4" w:space="0" w:color="auto"/>
            </w:tcBorders>
            <w:vAlign w:val="center"/>
          </w:tcPr>
          <w:p w14:paraId="2E4D97DD" w14:textId="77777777" w:rsidR="006A7E0E" w:rsidRPr="006A7E0E" w:rsidRDefault="006A7E0E" w:rsidP="006A7E0E">
            <w:pPr>
              <w:spacing w:after="120"/>
              <w:jc w:val="both"/>
              <w:rPr>
                <w:rFonts w:ascii="Calibri" w:hAnsi="Calibri"/>
                <w:sz w:val="24"/>
              </w:rPr>
            </w:pPr>
            <w:r w:rsidRPr="006A7E0E">
              <w:rPr>
                <w:rFonts w:ascii="Calibri" w:hAnsi="Calibri"/>
                <w:sz w:val="24"/>
              </w:rPr>
              <w:t>pkt 2</w:t>
            </w:r>
          </w:p>
        </w:tc>
        <w:tc>
          <w:tcPr>
            <w:tcW w:w="6136" w:type="dxa"/>
            <w:tcBorders>
              <w:top w:val="single" w:sz="2" w:space="0" w:color="auto"/>
              <w:left w:val="dotted" w:sz="4" w:space="0" w:color="auto"/>
              <w:bottom w:val="single" w:sz="2" w:space="0" w:color="auto"/>
              <w:right w:val="dotted" w:sz="4" w:space="0" w:color="auto"/>
            </w:tcBorders>
          </w:tcPr>
          <w:p w14:paraId="71C7CB1B" w14:textId="77777777" w:rsidR="006A7E0E" w:rsidRPr="006A7E0E" w:rsidRDefault="006A7E0E" w:rsidP="006A7E0E">
            <w:pPr>
              <w:spacing w:after="120"/>
              <w:jc w:val="both"/>
              <w:rPr>
                <w:rFonts w:ascii="Calibri" w:eastAsia="Times New Roman" w:hAnsi="Calibri" w:cs="Times New Roman"/>
                <w:sz w:val="24"/>
                <w:lang w:eastAsia="pl-PL"/>
              </w:rPr>
            </w:pPr>
            <w:bookmarkStart w:id="0" w:name="mip44711609"/>
            <w:bookmarkEnd w:id="0"/>
            <w:r w:rsidRPr="006A7E0E">
              <w:rPr>
                <w:rFonts w:ascii="Calibri" w:eastAsia="Times New Roman" w:hAnsi="Calibri" w:cs="Times New Roman"/>
                <w:sz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18C7B223"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r w:rsidR="006A7E0E" w:rsidRPr="006A7E0E" w14:paraId="68752D36" w14:textId="77777777" w:rsidTr="00CC166C">
        <w:tc>
          <w:tcPr>
            <w:tcW w:w="705" w:type="dxa"/>
            <w:tcBorders>
              <w:top w:val="single" w:sz="2" w:space="0" w:color="auto"/>
              <w:bottom w:val="single" w:sz="2" w:space="0" w:color="auto"/>
              <w:right w:val="dotted" w:sz="4" w:space="0" w:color="auto"/>
            </w:tcBorders>
            <w:vAlign w:val="center"/>
          </w:tcPr>
          <w:p w14:paraId="4E82B566" w14:textId="77777777" w:rsidR="006A7E0E" w:rsidRPr="006A7E0E" w:rsidRDefault="006A7E0E" w:rsidP="006A7E0E">
            <w:pPr>
              <w:spacing w:after="120"/>
              <w:jc w:val="both"/>
              <w:rPr>
                <w:rFonts w:ascii="Calibri" w:hAnsi="Calibri"/>
                <w:sz w:val="24"/>
              </w:rPr>
            </w:pPr>
            <w:r w:rsidRPr="006A7E0E">
              <w:rPr>
                <w:rFonts w:ascii="Calibri" w:hAnsi="Calibri"/>
                <w:sz w:val="24"/>
              </w:rPr>
              <w:t>pkt 3</w:t>
            </w:r>
          </w:p>
        </w:tc>
        <w:tc>
          <w:tcPr>
            <w:tcW w:w="6136" w:type="dxa"/>
            <w:tcBorders>
              <w:top w:val="single" w:sz="2" w:space="0" w:color="auto"/>
              <w:left w:val="dotted" w:sz="4" w:space="0" w:color="auto"/>
              <w:bottom w:val="single" w:sz="2" w:space="0" w:color="auto"/>
              <w:right w:val="dotted" w:sz="4" w:space="0" w:color="auto"/>
            </w:tcBorders>
          </w:tcPr>
          <w:p w14:paraId="0775F13C" w14:textId="77777777" w:rsidR="006A7E0E" w:rsidRPr="006A7E0E" w:rsidRDefault="006A7E0E" w:rsidP="006A7E0E">
            <w:pPr>
              <w:spacing w:after="120"/>
              <w:jc w:val="both"/>
              <w:rPr>
                <w:rFonts w:ascii="Calibri" w:hAnsi="Calibri"/>
                <w:sz w:val="24"/>
              </w:rPr>
            </w:pPr>
            <w:r w:rsidRPr="006A7E0E">
              <w:rPr>
                <w:rFonts w:ascii="Calibri" w:hAnsi="Calibri"/>
                <w:sz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52B442D8"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r w:rsidR="006A7E0E" w:rsidRPr="006A7E0E" w14:paraId="25E9D4FA" w14:textId="77777777" w:rsidTr="00CC166C">
        <w:tc>
          <w:tcPr>
            <w:tcW w:w="705" w:type="dxa"/>
            <w:tcBorders>
              <w:top w:val="single" w:sz="2" w:space="0" w:color="auto"/>
              <w:bottom w:val="single" w:sz="2" w:space="0" w:color="auto"/>
              <w:right w:val="dotted" w:sz="4" w:space="0" w:color="auto"/>
            </w:tcBorders>
            <w:vAlign w:val="center"/>
          </w:tcPr>
          <w:p w14:paraId="72545B2A" w14:textId="77777777" w:rsidR="006A7E0E" w:rsidRPr="006A7E0E" w:rsidRDefault="006A7E0E" w:rsidP="006A7E0E">
            <w:pPr>
              <w:spacing w:after="120"/>
              <w:jc w:val="both"/>
              <w:rPr>
                <w:rFonts w:ascii="Calibri" w:hAnsi="Calibri"/>
                <w:sz w:val="24"/>
              </w:rPr>
            </w:pPr>
            <w:r w:rsidRPr="006A7E0E">
              <w:rPr>
                <w:rFonts w:ascii="Calibri" w:hAnsi="Calibri"/>
                <w:sz w:val="24"/>
              </w:rPr>
              <w:t>pkt 4</w:t>
            </w:r>
          </w:p>
        </w:tc>
        <w:tc>
          <w:tcPr>
            <w:tcW w:w="6136" w:type="dxa"/>
            <w:tcBorders>
              <w:top w:val="single" w:sz="2" w:space="0" w:color="auto"/>
              <w:left w:val="dotted" w:sz="4" w:space="0" w:color="auto"/>
              <w:bottom w:val="single" w:sz="2" w:space="0" w:color="auto"/>
              <w:right w:val="dotted" w:sz="4" w:space="0" w:color="auto"/>
            </w:tcBorders>
          </w:tcPr>
          <w:p w14:paraId="293A3F56" w14:textId="77777777" w:rsidR="006A7E0E" w:rsidRPr="006A7E0E" w:rsidRDefault="006A7E0E" w:rsidP="006A7E0E">
            <w:pPr>
              <w:spacing w:after="120"/>
              <w:jc w:val="both"/>
              <w:rPr>
                <w:rFonts w:ascii="Calibri" w:hAnsi="Calibri"/>
                <w:sz w:val="24"/>
              </w:rPr>
            </w:pPr>
            <w:r w:rsidRPr="006A7E0E">
              <w:rPr>
                <w:rFonts w:ascii="Calibri" w:hAnsi="Calibri"/>
                <w:sz w:val="24"/>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3A9CA16E"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r w:rsidR="006A7E0E" w:rsidRPr="006A7E0E" w14:paraId="606248C3" w14:textId="77777777" w:rsidTr="00CC166C">
        <w:tc>
          <w:tcPr>
            <w:tcW w:w="705" w:type="dxa"/>
            <w:tcBorders>
              <w:top w:val="single" w:sz="2" w:space="0" w:color="auto"/>
              <w:bottom w:val="single" w:sz="2" w:space="0" w:color="auto"/>
              <w:right w:val="dotted" w:sz="4" w:space="0" w:color="auto"/>
            </w:tcBorders>
            <w:vAlign w:val="center"/>
          </w:tcPr>
          <w:p w14:paraId="169C3066" w14:textId="77777777" w:rsidR="006A7E0E" w:rsidRPr="006A7E0E" w:rsidRDefault="006A7E0E" w:rsidP="006A7E0E">
            <w:pPr>
              <w:spacing w:after="120"/>
              <w:jc w:val="both"/>
              <w:rPr>
                <w:rFonts w:ascii="Calibri" w:hAnsi="Calibri"/>
                <w:sz w:val="24"/>
              </w:rPr>
            </w:pPr>
            <w:r w:rsidRPr="006A7E0E">
              <w:rPr>
                <w:rFonts w:ascii="Calibri" w:hAnsi="Calibri"/>
                <w:sz w:val="24"/>
              </w:rPr>
              <w:t>pkt 5</w:t>
            </w:r>
          </w:p>
        </w:tc>
        <w:tc>
          <w:tcPr>
            <w:tcW w:w="6136" w:type="dxa"/>
            <w:tcBorders>
              <w:top w:val="single" w:sz="2" w:space="0" w:color="auto"/>
              <w:left w:val="dotted" w:sz="4" w:space="0" w:color="auto"/>
              <w:bottom w:val="single" w:sz="2" w:space="0" w:color="auto"/>
              <w:right w:val="dotted" w:sz="4" w:space="0" w:color="auto"/>
            </w:tcBorders>
          </w:tcPr>
          <w:p w14:paraId="00F967AA" w14:textId="77777777" w:rsidR="006A7E0E" w:rsidRPr="006A7E0E" w:rsidRDefault="006A7E0E" w:rsidP="006A7E0E">
            <w:pPr>
              <w:spacing w:after="120"/>
              <w:jc w:val="both"/>
              <w:rPr>
                <w:rFonts w:ascii="Calibri" w:hAnsi="Calibri"/>
                <w:sz w:val="24"/>
              </w:rPr>
            </w:pPr>
            <w:r w:rsidRPr="006A7E0E">
              <w:rPr>
                <w:rFonts w:ascii="Calibri" w:hAnsi="Calibri"/>
                <w:sz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7B0A977B"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r w:rsidR="006A7E0E" w:rsidRPr="006A7E0E" w14:paraId="6AA896B6" w14:textId="77777777" w:rsidTr="00CC166C">
        <w:tc>
          <w:tcPr>
            <w:tcW w:w="705" w:type="dxa"/>
            <w:vAlign w:val="center"/>
          </w:tcPr>
          <w:p w14:paraId="358E489E" w14:textId="77777777" w:rsidR="006A7E0E" w:rsidRPr="006A7E0E" w:rsidRDefault="006A7E0E" w:rsidP="006A7E0E">
            <w:pPr>
              <w:spacing w:after="120"/>
              <w:jc w:val="both"/>
              <w:rPr>
                <w:rFonts w:ascii="Calibri" w:hAnsi="Calibri"/>
                <w:sz w:val="24"/>
              </w:rPr>
            </w:pPr>
            <w:r w:rsidRPr="006A7E0E">
              <w:rPr>
                <w:rFonts w:ascii="Calibri" w:hAnsi="Calibri"/>
                <w:sz w:val="24"/>
              </w:rPr>
              <w:t>pkt 6</w:t>
            </w:r>
          </w:p>
        </w:tc>
        <w:tc>
          <w:tcPr>
            <w:tcW w:w="6136" w:type="dxa"/>
          </w:tcPr>
          <w:p w14:paraId="2E849ED4" w14:textId="77777777" w:rsidR="006A7E0E" w:rsidRPr="006A7E0E" w:rsidRDefault="006A7E0E" w:rsidP="006A7E0E">
            <w:pPr>
              <w:spacing w:after="120"/>
              <w:jc w:val="both"/>
              <w:rPr>
                <w:rFonts w:ascii="Calibri" w:hAnsi="Calibri"/>
                <w:sz w:val="24"/>
              </w:rPr>
            </w:pPr>
            <w:r w:rsidRPr="006A7E0E">
              <w:rPr>
                <w:rFonts w:ascii="Calibri" w:hAnsi="Calibri" w:cs="Times New Roman"/>
                <w:sz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vAlign w:val="center"/>
          </w:tcPr>
          <w:p w14:paraId="30CE0528" w14:textId="77777777" w:rsidR="006A7E0E" w:rsidRPr="006A7E0E" w:rsidRDefault="006A7E0E" w:rsidP="006A7E0E">
            <w:pPr>
              <w:spacing w:after="120"/>
              <w:jc w:val="center"/>
              <w:rPr>
                <w:rFonts w:ascii="Calibri" w:hAnsi="Calibri"/>
                <w:sz w:val="24"/>
              </w:rPr>
            </w:pPr>
            <w:r w:rsidRPr="006A7E0E">
              <w:rPr>
                <w:rFonts w:ascii="Calibri" w:hAnsi="Calibri"/>
                <w:sz w:val="24"/>
              </w:rPr>
              <w:t>tak</w:t>
            </w:r>
          </w:p>
        </w:tc>
      </w:tr>
    </w:tbl>
    <w:p w14:paraId="2A05446C" w14:textId="77777777" w:rsidR="00FE03E1" w:rsidRDefault="00FE03E1" w:rsidP="006A7E0E">
      <w:pPr>
        <w:spacing w:after="120" w:line="240" w:lineRule="auto"/>
        <w:ind w:firstLine="567"/>
        <w:jc w:val="both"/>
        <w:rPr>
          <w:rFonts w:ascii="Calibri" w:hAnsi="Calibri"/>
          <w:sz w:val="28"/>
        </w:rPr>
      </w:pPr>
    </w:p>
    <w:p w14:paraId="07262C6B" w14:textId="3A214949" w:rsidR="006A7E0E" w:rsidRPr="006A7E0E" w:rsidRDefault="006A7E0E" w:rsidP="006A7E0E">
      <w:pPr>
        <w:spacing w:after="120" w:line="240" w:lineRule="auto"/>
        <w:ind w:firstLine="567"/>
        <w:jc w:val="both"/>
        <w:rPr>
          <w:rFonts w:ascii="Calibri" w:hAnsi="Calibri"/>
          <w:sz w:val="28"/>
        </w:rPr>
      </w:pPr>
      <w:r w:rsidRPr="006A7E0E">
        <w:rPr>
          <w:rFonts w:ascii="Calibri" w:hAnsi="Calibri"/>
          <w:sz w:val="28"/>
        </w:rPr>
        <w:t xml:space="preserve">Sposób ustalania w decyzji o warunkach zabudowy wymagań dotyczących nowej zabudowy, o którym mowa w rozporządzeniu Ministra Infrastruktury z dnia 26 sierpnia 2003 r. w sprawie sposobu ustalania wymagań dotyczących nowej zabudowy i zagospodarowania terenu </w:t>
      </w:r>
      <w:r w:rsidRPr="006A7E0E">
        <w:rPr>
          <w:rFonts w:ascii="Calibri" w:hAnsi="Calibri"/>
          <w:sz w:val="28"/>
        </w:rPr>
        <w:lastRenderedPageBreak/>
        <w:t>w</w:t>
      </w:r>
      <w:r>
        <w:rPr>
          <w:rFonts w:ascii="Calibri" w:hAnsi="Calibri"/>
          <w:sz w:val="28"/>
        </w:rPr>
        <w:t> </w:t>
      </w:r>
      <w:r w:rsidRPr="006A7E0E">
        <w:rPr>
          <w:rFonts w:ascii="Calibri" w:hAnsi="Calibri"/>
          <w:sz w:val="28"/>
        </w:rPr>
        <w:t>przypadku braku miejscowego planu zagospodarowania przestrzennego (Dz. U. Nr 164, poz. 1588) został przedstawiony w poniższej tabeli.</w:t>
      </w:r>
    </w:p>
    <w:tbl>
      <w:tblPr>
        <w:tblStyle w:val="Tabela-Siatka"/>
        <w:tblW w:w="0" w:type="auto"/>
        <w:tblInd w:w="108" w:type="dxa"/>
        <w:tblLook w:val="04A0" w:firstRow="1" w:lastRow="0" w:firstColumn="1" w:lastColumn="0" w:noHBand="0" w:noVBand="1"/>
      </w:tblPr>
      <w:tblGrid>
        <w:gridCol w:w="2506"/>
        <w:gridCol w:w="6163"/>
      </w:tblGrid>
      <w:tr w:rsidR="006A7E0E" w:rsidRPr="006A7E0E" w14:paraId="51B3C45E" w14:textId="77777777" w:rsidTr="00CC166C">
        <w:trPr>
          <w:tblHeader/>
        </w:trPr>
        <w:tc>
          <w:tcPr>
            <w:tcW w:w="3514" w:type="dxa"/>
            <w:tcBorders>
              <w:right w:val="dotted" w:sz="4" w:space="0" w:color="auto"/>
            </w:tcBorders>
            <w:vAlign w:val="center"/>
          </w:tcPr>
          <w:p w14:paraId="5E82C442" w14:textId="77777777" w:rsidR="006A7E0E" w:rsidRPr="006A7E0E" w:rsidRDefault="006A7E0E" w:rsidP="006A7E0E">
            <w:pPr>
              <w:spacing w:after="120"/>
              <w:jc w:val="both"/>
              <w:rPr>
                <w:rFonts w:ascii="Calibri" w:hAnsi="Calibri"/>
                <w:sz w:val="24"/>
              </w:rPr>
            </w:pPr>
            <w:r w:rsidRPr="006A7E0E">
              <w:rPr>
                <w:rFonts w:ascii="Calibri" w:hAnsi="Calibri"/>
                <w:sz w:val="24"/>
              </w:rPr>
              <w:t>Wymagania nowej zabudowy</w:t>
            </w:r>
          </w:p>
        </w:tc>
        <w:tc>
          <w:tcPr>
            <w:tcW w:w="10087" w:type="dxa"/>
            <w:tcBorders>
              <w:left w:val="dotted" w:sz="4" w:space="0" w:color="auto"/>
            </w:tcBorders>
            <w:vAlign w:val="center"/>
          </w:tcPr>
          <w:p w14:paraId="59B00B71" w14:textId="77777777" w:rsidR="006A7E0E" w:rsidRPr="006A7E0E" w:rsidRDefault="006A7E0E" w:rsidP="006A7E0E">
            <w:pPr>
              <w:spacing w:after="120"/>
              <w:jc w:val="both"/>
              <w:rPr>
                <w:rFonts w:ascii="Calibri" w:hAnsi="Calibri"/>
                <w:sz w:val="24"/>
              </w:rPr>
            </w:pPr>
            <w:r w:rsidRPr="006A7E0E">
              <w:rPr>
                <w:rFonts w:ascii="Calibri" w:hAnsi="Calibri"/>
                <w:sz w:val="24"/>
              </w:rPr>
              <w:t>Sposób ustalenia wymagań</w:t>
            </w:r>
          </w:p>
        </w:tc>
      </w:tr>
      <w:tr w:rsidR="006A7E0E" w:rsidRPr="006A7E0E" w14:paraId="38C389AD" w14:textId="77777777" w:rsidTr="00CC166C">
        <w:tc>
          <w:tcPr>
            <w:tcW w:w="3514" w:type="dxa"/>
            <w:tcBorders>
              <w:bottom w:val="single" w:sz="2" w:space="0" w:color="auto"/>
              <w:right w:val="dotted" w:sz="4" w:space="0" w:color="auto"/>
            </w:tcBorders>
            <w:vAlign w:val="center"/>
          </w:tcPr>
          <w:p w14:paraId="78812D93" w14:textId="77777777" w:rsidR="006A7E0E" w:rsidRPr="006A7E0E" w:rsidRDefault="006A7E0E" w:rsidP="006A7E0E">
            <w:pPr>
              <w:spacing w:after="120"/>
              <w:jc w:val="both"/>
              <w:rPr>
                <w:rFonts w:ascii="Calibri" w:hAnsi="Calibri"/>
                <w:sz w:val="24"/>
              </w:rPr>
            </w:pPr>
            <w:r w:rsidRPr="006A7E0E">
              <w:rPr>
                <w:rFonts w:ascii="Calibri" w:hAnsi="Calibri"/>
                <w:sz w:val="24"/>
              </w:rPr>
              <w:t>Linia zabudowy</w:t>
            </w:r>
          </w:p>
        </w:tc>
        <w:tc>
          <w:tcPr>
            <w:tcW w:w="10087" w:type="dxa"/>
            <w:tcBorders>
              <w:left w:val="dotted" w:sz="4" w:space="0" w:color="auto"/>
              <w:bottom w:val="single" w:sz="2" w:space="0" w:color="auto"/>
            </w:tcBorders>
          </w:tcPr>
          <w:p w14:paraId="0EBE6208" w14:textId="77777777" w:rsidR="006A7E0E" w:rsidRPr="006A7E0E" w:rsidRDefault="006A7E0E" w:rsidP="006A7E0E">
            <w:pPr>
              <w:spacing w:after="120"/>
              <w:jc w:val="both"/>
              <w:rPr>
                <w:rFonts w:ascii="Calibri" w:hAnsi="Calibri"/>
                <w:sz w:val="24"/>
              </w:rPr>
            </w:pPr>
            <w:r w:rsidRPr="006A7E0E">
              <w:rPr>
                <w:rFonts w:ascii="Calibri" w:hAnsi="Calibri"/>
                <w:sz w:val="24"/>
              </w:rPr>
              <w:t>Wyznaczona w linii istniejącego budynku mieszkalnego wielorodzinnego na działce objętej wnioskiem.</w:t>
            </w:r>
          </w:p>
        </w:tc>
      </w:tr>
      <w:tr w:rsidR="006A7E0E" w:rsidRPr="006A7E0E" w14:paraId="300826A9" w14:textId="77777777" w:rsidTr="00CC166C">
        <w:tc>
          <w:tcPr>
            <w:tcW w:w="3514" w:type="dxa"/>
            <w:tcBorders>
              <w:top w:val="single" w:sz="2" w:space="0" w:color="auto"/>
              <w:bottom w:val="single" w:sz="2" w:space="0" w:color="auto"/>
              <w:right w:val="dotted" w:sz="4" w:space="0" w:color="auto"/>
            </w:tcBorders>
            <w:vAlign w:val="center"/>
          </w:tcPr>
          <w:p w14:paraId="4085713D" w14:textId="77777777" w:rsidR="006A7E0E" w:rsidRPr="006A7E0E" w:rsidRDefault="006A7E0E" w:rsidP="006A7E0E">
            <w:pPr>
              <w:spacing w:after="120"/>
              <w:jc w:val="both"/>
              <w:rPr>
                <w:rFonts w:ascii="Calibri" w:eastAsia="Times New Roman" w:hAnsi="Calibri" w:cs="Times New Roman"/>
                <w:sz w:val="24"/>
                <w:lang w:eastAsia="pl-PL"/>
              </w:rPr>
            </w:pPr>
            <w:r w:rsidRPr="006A7E0E">
              <w:rPr>
                <w:rFonts w:ascii="Calibri" w:hAnsi="Calibri"/>
                <w:sz w:val="24"/>
              </w:rPr>
              <w:t>Wskaźnik wielkości powierzchni nowej zabudowy w stosunku do powierzchni działki</w:t>
            </w:r>
          </w:p>
        </w:tc>
        <w:tc>
          <w:tcPr>
            <w:tcW w:w="10087" w:type="dxa"/>
            <w:tcBorders>
              <w:top w:val="single" w:sz="2" w:space="0" w:color="auto"/>
              <w:left w:val="dotted" w:sz="4" w:space="0" w:color="auto"/>
              <w:bottom w:val="single" w:sz="2" w:space="0" w:color="auto"/>
            </w:tcBorders>
          </w:tcPr>
          <w:p w14:paraId="5A55FE43" w14:textId="784040BF" w:rsidR="006A7E0E" w:rsidRPr="006A7E0E" w:rsidRDefault="006A7E0E" w:rsidP="006A7E0E">
            <w:pPr>
              <w:spacing w:after="120"/>
              <w:jc w:val="both"/>
              <w:rPr>
                <w:rFonts w:ascii="Calibri" w:hAnsi="Calibri"/>
                <w:color w:val="FF0000"/>
                <w:sz w:val="24"/>
              </w:rPr>
            </w:pPr>
            <w:r w:rsidRPr="006A7E0E">
              <w:rPr>
                <w:rFonts w:ascii="Calibri" w:hAnsi="Calibri"/>
                <w:sz w:val="24"/>
              </w:rPr>
              <w:t>zgodnie z § 5 ust. 2: w inny sposób – na podstawie wartości tego parametru w obszarze analizowanym, które zawierają się w przedziale od 2,2% do 26,5% - Wnioskodawca przewiduje rozbudowę budynku mieszkalnego o</w:t>
            </w:r>
            <w:r>
              <w:rPr>
                <w:rFonts w:ascii="Calibri" w:hAnsi="Calibri"/>
                <w:sz w:val="24"/>
              </w:rPr>
              <w:t> </w:t>
            </w:r>
            <w:r w:rsidRPr="006A7E0E">
              <w:rPr>
                <w:rFonts w:ascii="Calibri" w:hAnsi="Calibri"/>
                <w:sz w:val="24"/>
              </w:rPr>
              <w:t>powierzchnię ca 30 m</w:t>
            </w:r>
            <w:r w:rsidRPr="006A7E0E">
              <w:rPr>
                <w:rFonts w:ascii="Calibri" w:hAnsi="Calibri"/>
                <w:sz w:val="24"/>
                <w:vertAlign w:val="superscript"/>
              </w:rPr>
              <w:t>2</w:t>
            </w:r>
            <w:r w:rsidRPr="006A7E0E">
              <w:rPr>
                <w:rFonts w:ascii="Calibri" w:hAnsi="Calibri"/>
                <w:sz w:val="24"/>
              </w:rPr>
              <w:t>, charakteryzującą się wskaźnikiem 1,1%, która wskaźnik istniejący (13,0%) zwiększy do 14,1%. Wskaźnik końcowy jest pośrednim i zarówno zbliżonym do średniego w obszarze analizy i tym samym nie zaburzy ładu przestrzennego okolicy.</w:t>
            </w:r>
          </w:p>
        </w:tc>
      </w:tr>
      <w:tr w:rsidR="006A7E0E" w:rsidRPr="006A7E0E" w14:paraId="783144F7" w14:textId="77777777" w:rsidTr="00CC166C">
        <w:tc>
          <w:tcPr>
            <w:tcW w:w="3514" w:type="dxa"/>
            <w:tcBorders>
              <w:top w:val="single" w:sz="2" w:space="0" w:color="auto"/>
              <w:bottom w:val="single" w:sz="2" w:space="0" w:color="auto"/>
              <w:right w:val="dotted" w:sz="4" w:space="0" w:color="auto"/>
            </w:tcBorders>
            <w:vAlign w:val="center"/>
          </w:tcPr>
          <w:p w14:paraId="43BFDE76" w14:textId="77777777" w:rsidR="006A7E0E" w:rsidRPr="006A7E0E" w:rsidRDefault="006A7E0E" w:rsidP="006A7E0E">
            <w:pPr>
              <w:spacing w:after="120"/>
              <w:jc w:val="both"/>
              <w:rPr>
                <w:rFonts w:ascii="Calibri" w:eastAsia="Times New Roman" w:hAnsi="Calibri" w:cs="Times New Roman"/>
                <w:sz w:val="24"/>
                <w:lang w:eastAsia="pl-PL"/>
              </w:rPr>
            </w:pPr>
            <w:bookmarkStart w:id="1" w:name="mip10826116"/>
            <w:bookmarkEnd w:id="1"/>
            <w:r w:rsidRPr="006A7E0E">
              <w:rPr>
                <w:rFonts w:ascii="Calibri" w:eastAsia="Times New Roman" w:hAnsi="Calibri" w:cs="Times New Roman"/>
                <w:sz w:val="24"/>
                <w:lang w:eastAsia="pl-PL"/>
              </w:rPr>
              <w:t>Szerokość elewacji frontowej budynku</w:t>
            </w:r>
          </w:p>
        </w:tc>
        <w:tc>
          <w:tcPr>
            <w:tcW w:w="10087" w:type="dxa"/>
            <w:tcBorders>
              <w:top w:val="single" w:sz="2" w:space="0" w:color="auto"/>
              <w:left w:val="dotted" w:sz="4" w:space="0" w:color="auto"/>
              <w:bottom w:val="single" w:sz="2" w:space="0" w:color="auto"/>
            </w:tcBorders>
          </w:tcPr>
          <w:p w14:paraId="32C63022" w14:textId="77777777" w:rsidR="006A7E0E" w:rsidRPr="006A7E0E" w:rsidRDefault="006A7E0E" w:rsidP="006A7E0E">
            <w:pPr>
              <w:spacing w:after="120"/>
              <w:jc w:val="both"/>
              <w:rPr>
                <w:rFonts w:ascii="Calibri" w:hAnsi="Calibri"/>
                <w:color w:val="FF0000"/>
                <w:sz w:val="24"/>
              </w:rPr>
            </w:pPr>
            <w:r w:rsidRPr="006A7E0E">
              <w:rPr>
                <w:rFonts w:ascii="Calibri" w:hAnsi="Calibri"/>
                <w:sz w:val="24"/>
              </w:rPr>
              <w:t>Bez zmian.</w:t>
            </w:r>
          </w:p>
        </w:tc>
      </w:tr>
      <w:tr w:rsidR="006A7E0E" w:rsidRPr="006A7E0E" w14:paraId="77FB3F7A" w14:textId="77777777" w:rsidTr="00CC166C">
        <w:tc>
          <w:tcPr>
            <w:tcW w:w="3514" w:type="dxa"/>
            <w:tcBorders>
              <w:top w:val="single" w:sz="2" w:space="0" w:color="auto"/>
              <w:bottom w:val="single" w:sz="2" w:space="0" w:color="auto"/>
              <w:right w:val="dotted" w:sz="4" w:space="0" w:color="auto"/>
            </w:tcBorders>
            <w:vAlign w:val="center"/>
          </w:tcPr>
          <w:p w14:paraId="152FB5EA" w14:textId="77777777" w:rsidR="006A7E0E" w:rsidRPr="006A7E0E" w:rsidRDefault="006A7E0E" w:rsidP="006A7E0E">
            <w:pPr>
              <w:spacing w:after="120"/>
              <w:jc w:val="both"/>
              <w:rPr>
                <w:rFonts w:ascii="Calibri" w:hAnsi="Calibri"/>
                <w:sz w:val="24"/>
              </w:rPr>
            </w:pPr>
            <w:r w:rsidRPr="006A7E0E">
              <w:rPr>
                <w:rFonts w:ascii="Calibri" w:hAnsi="Calibri"/>
                <w:sz w:val="24"/>
              </w:rPr>
              <w:t>Wysokość górnej krawędzi elewacji frontowej, jej gzymsu lub attyki</w:t>
            </w:r>
          </w:p>
        </w:tc>
        <w:tc>
          <w:tcPr>
            <w:tcW w:w="10087" w:type="dxa"/>
            <w:tcBorders>
              <w:top w:val="single" w:sz="2" w:space="0" w:color="auto"/>
              <w:left w:val="dotted" w:sz="4" w:space="0" w:color="auto"/>
              <w:bottom w:val="single" w:sz="2" w:space="0" w:color="auto"/>
            </w:tcBorders>
          </w:tcPr>
          <w:p w14:paraId="626280FC" w14:textId="77777777" w:rsidR="006A7E0E" w:rsidRPr="006A7E0E" w:rsidRDefault="006A7E0E" w:rsidP="006A7E0E">
            <w:pPr>
              <w:spacing w:after="120"/>
              <w:jc w:val="both"/>
              <w:rPr>
                <w:rFonts w:ascii="Calibri" w:hAnsi="Calibri"/>
                <w:sz w:val="24"/>
              </w:rPr>
            </w:pPr>
            <w:r w:rsidRPr="006A7E0E">
              <w:rPr>
                <w:rFonts w:ascii="Calibri" w:hAnsi="Calibri"/>
                <w:bCs/>
                <w:sz w:val="24"/>
                <w:szCs w:val="24"/>
              </w:rPr>
              <w:t>zgodnie z § 7 ust. 1: jako przedłużenie krawędzi odpowiednio do istniejącej zabudowy na działkach sąsiednich oraz na działce objętej wnioskiem</w:t>
            </w:r>
            <w:r w:rsidRPr="006A7E0E">
              <w:rPr>
                <w:rFonts w:ascii="Calibri" w:hAnsi="Calibri"/>
                <w:sz w:val="24"/>
              </w:rPr>
              <w:t>. Jest to wysokość całkowita budynku ze względu na zastosowanie dachu tzw. płaskiego.</w:t>
            </w:r>
          </w:p>
        </w:tc>
      </w:tr>
      <w:tr w:rsidR="006A7E0E" w:rsidRPr="006A7E0E" w14:paraId="49B3EAEE" w14:textId="77777777" w:rsidTr="00CC166C">
        <w:tc>
          <w:tcPr>
            <w:tcW w:w="13601" w:type="dxa"/>
            <w:gridSpan w:val="2"/>
            <w:tcBorders>
              <w:top w:val="single" w:sz="2" w:space="0" w:color="auto"/>
              <w:bottom w:val="dotted" w:sz="4" w:space="0" w:color="auto"/>
            </w:tcBorders>
            <w:vAlign w:val="center"/>
          </w:tcPr>
          <w:p w14:paraId="7CBF15CA" w14:textId="77777777" w:rsidR="006A7E0E" w:rsidRPr="006A7E0E" w:rsidRDefault="006A7E0E" w:rsidP="006A7E0E">
            <w:pPr>
              <w:spacing w:after="120"/>
              <w:jc w:val="both"/>
              <w:rPr>
                <w:rFonts w:ascii="Calibri" w:hAnsi="Calibri"/>
                <w:sz w:val="24"/>
              </w:rPr>
            </w:pPr>
            <w:r w:rsidRPr="006A7E0E">
              <w:rPr>
                <w:rFonts w:ascii="Calibri" w:hAnsi="Calibri"/>
                <w:sz w:val="24"/>
              </w:rPr>
              <w:t>Geometria dachu ustalona odpowiednio do geometrii dachów występujących na obszarze analizowanym</w:t>
            </w:r>
          </w:p>
        </w:tc>
      </w:tr>
      <w:tr w:rsidR="006A7E0E" w:rsidRPr="006A7E0E" w14:paraId="1608822F" w14:textId="77777777" w:rsidTr="00CC166C">
        <w:tc>
          <w:tcPr>
            <w:tcW w:w="3514" w:type="dxa"/>
            <w:tcBorders>
              <w:top w:val="dotted" w:sz="4" w:space="0" w:color="auto"/>
              <w:bottom w:val="dotted" w:sz="4" w:space="0" w:color="auto"/>
              <w:right w:val="dotted" w:sz="4" w:space="0" w:color="auto"/>
            </w:tcBorders>
            <w:vAlign w:val="center"/>
          </w:tcPr>
          <w:p w14:paraId="164892BE" w14:textId="77777777" w:rsidR="006A7E0E" w:rsidRPr="006A7E0E" w:rsidRDefault="006A7E0E" w:rsidP="006A7E0E">
            <w:pPr>
              <w:spacing w:after="120"/>
              <w:jc w:val="both"/>
              <w:rPr>
                <w:rFonts w:ascii="Calibri" w:hAnsi="Calibri"/>
                <w:sz w:val="24"/>
              </w:rPr>
            </w:pPr>
            <w:r w:rsidRPr="006A7E0E">
              <w:rPr>
                <w:rFonts w:ascii="Calibri" w:hAnsi="Calibri"/>
                <w:sz w:val="24"/>
              </w:rPr>
              <w:t>kąt nachylenia</w:t>
            </w:r>
          </w:p>
        </w:tc>
        <w:tc>
          <w:tcPr>
            <w:tcW w:w="10087" w:type="dxa"/>
            <w:tcBorders>
              <w:top w:val="dotted" w:sz="4" w:space="0" w:color="auto"/>
              <w:left w:val="dotted" w:sz="4" w:space="0" w:color="auto"/>
              <w:bottom w:val="dotted" w:sz="4" w:space="0" w:color="auto"/>
            </w:tcBorders>
            <w:vAlign w:val="center"/>
          </w:tcPr>
          <w:p w14:paraId="7932342C" w14:textId="3D38BC16" w:rsidR="006A7E0E" w:rsidRPr="006A7E0E" w:rsidRDefault="006A7E0E" w:rsidP="006A7E0E">
            <w:pPr>
              <w:spacing w:after="120"/>
              <w:jc w:val="both"/>
              <w:rPr>
                <w:rFonts w:ascii="Calibri" w:hAnsi="Calibri" w:cs="Times New Roman"/>
                <w:sz w:val="24"/>
              </w:rPr>
            </w:pPr>
            <w:r w:rsidRPr="006A7E0E">
              <w:rPr>
                <w:rFonts w:ascii="Calibri" w:hAnsi="Calibri" w:cs="Times New Roman"/>
                <w:sz w:val="24"/>
                <w:shd w:val="clear" w:color="auto" w:fill="FFFFFF"/>
              </w:rPr>
              <w:t>ustalono dach płaski o kącie nachylenia połaci do 12° - w</w:t>
            </w:r>
            <w:r>
              <w:rPr>
                <w:rFonts w:ascii="Calibri" w:hAnsi="Calibri" w:cs="Times New Roman"/>
                <w:sz w:val="24"/>
                <w:shd w:val="clear" w:color="auto" w:fill="FFFFFF"/>
              </w:rPr>
              <w:t> </w:t>
            </w:r>
            <w:r w:rsidRPr="006A7E0E">
              <w:rPr>
                <w:rFonts w:ascii="Calibri" w:hAnsi="Calibri" w:cs="Times New Roman"/>
                <w:sz w:val="24"/>
                <w:shd w:val="clear" w:color="auto" w:fill="FFFFFF"/>
              </w:rPr>
              <w:t>obszarze analizowanym występują dachy o nachyleniu połaci dachowych od 20° do 45° oraz tzw. płaskie o kącie nachylenia połaci do 12°;</w:t>
            </w:r>
          </w:p>
        </w:tc>
      </w:tr>
      <w:tr w:rsidR="006A7E0E" w:rsidRPr="006A7E0E" w14:paraId="770CA2A6" w14:textId="77777777" w:rsidTr="00CC166C">
        <w:tc>
          <w:tcPr>
            <w:tcW w:w="3514" w:type="dxa"/>
            <w:tcBorders>
              <w:top w:val="dotted" w:sz="4" w:space="0" w:color="auto"/>
              <w:bottom w:val="dotted" w:sz="4" w:space="0" w:color="auto"/>
              <w:right w:val="dotted" w:sz="4" w:space="0" w:color="auto"/>
            </w:tcBorders>
            <w:vAlign w:val="center"/>
          </w:tcPr>
          <w:p w14:paraId="5F7704D6" w14:textId="77777777" w:rsidR="006A7E0E" w:rsidRPr="006A7E0E" w:rsidRDefault="006A7E0E" w:rsidP="006A7E0E">
            <w:pPr>
              <w:spacing w:after="120"/>
              <w:jc w:val="both"/>
              <w:rPr>
                <w:rFonts w:ascii="Calibri" w:hAnsi="Calibri"/>
                <w:sz w:val="24"/>
              </w:rPr>
            </w:pPr>
            <w:r w:rsidRPr="006A7E0E">
              <w:rPr>
                <w:rFonts w:ascii="Calibri" w:hAnsi="Calibri"/>
                <w:sz w:val="24"/>
              </w:rPr>
              <w:t>wysokość głównej kalenicy</w:t>
            </w:r>
          </w:p>
        </w:tc>
        <w:tc>
          <w:tcPr>
            <w:tcW w:w="10087" w:type="dxa"/>
            <w:tcBorders>
              <w:top w:val="dotted" w:sz="4" w:space="0" w:color="auto"/>
              <w:left w:val="dotted" w:sz="4" w:space="0" w:color="auto"/>
              <w:bottom w:val="dotted" w:sz="4" w:space="0" w:color="auto"/>
            </w:tcBorders>
            <w:vAlign w:val="center"/>
          </w:tcPr>
          <w:p w14:paraId="740175AF" w14:textId="77777777" w:rsidR="006A7E0E" w:rsidRPr="006A7E0E" w:rsidRDefault="006A7E0E" w:rsidP="006A7E0E">
            <w:pPr>
              <w:spacing w:after="120"/>
              <w:jc w:val="both"/>
              <w:rPr>
                <w:rFonts w:ascii="Calibri" w:hAnsi="Calibri"/>
                <w:sz w:val="24"/>
              </w:rPr>
            </w:pPr>
            <w:r w:rsidRPr="006A7E0E">
              <w:rPr>
                <w:rFonts w:ascii="Calibri" w:hAnsi="Calibri" w:cs="Times New Roman"/>
                <w:sz w:val="24"/>
                <w:shd w:val="clear" w:color="auto" w:fill="FFFFFF"/>
              </w:rPr>
              <w:t>Nie dotyczy.</w:t>
            </w:r>
          </w:p>
        </w:tc>
      </w:tr>
      <w:tr w:rsidR="006A7E0E" w:rsidRPr="006A7E0E" w14:paraId="29A9C1F6" w14:textId="77777777" w:rsidTr="00CC166C">
        <w:tc>
          <w:tcPr>
            <w:tcW w:w="3514" w:type="dxa"/>
            <w:tcBorders>
              <w:top w:val="dotted" w:sz="4" w:space="0" w:color="auto"/>
              <w:bottom w:val="dotted" w:sz="4" w:space="0" w:color="auto"/>
              <w:right w:val="dotted" w:sz="4" w:space="0" w:color="auto"/>
            </w:tcBorders>
            <w:vAlign w:val="center"/>
          </w:tcPr>
          <w:p w14:paraId="3AC89FAF" w14:textId="77777777" w:rsidR="006A7E0E" w:rsidRPr="006A7E0E" w:rsidRDefault="006A7E0E" w:rsidP="006A7E0E">
            <w:pPr>
              <w:spacing w:after="120"/>
              <w:jc w:val="both"/>
              <w:rPr>
                <w:rFonts w:ascii="Calibri" w:hAnsi="Calibri"/>
                <w:sz w:val="24"/>
              </w:rPr>
            </w:pPr>
            <w:r w:rsidRPr="006A7E0E">
              <w:rPr>
                <w:rFonts w:ascii="Calibri" w:hAnsi="Calibri"/>
                <w:sz w:val="24"/>
              </w:rPr>
              <w:t>układ połaci dachowych</w:t>
            </w:r>
          </w:p>
        </w:tc>
        <w:tc>
          <w:tcPr>
            <w:tcW w:w="10087" w:type="dxa"/>
            <w:tcBorders>
              <w:top w:val="dotted" w:sz="4" w:space="0" w:color="auto"/>
              <w:left w:val="dotted" w:sz="4" w:space="0" w:color="auto"/>
              <w:bottom w:val="dotted" w:sz="4" w:space="0" w:color="auto"/>
            </w:tcBorders>
            <w:vAlign w:val="center"/>
          </w:tcPr>
          <w:p w14:paraId="3DA2CD46" w14:textId="77777777" w:rsidR="006A7E0E" w:rsidRPr="006A7E0E" w:rsidRDefault="006A7E0E" w:rsidP="006A7E0E">
            <w:pPr>
              <w:spacing w:after="120"/>
              <w:jc w:val="both"/>
              <w:rPr>
                <w:rFonts w:ascii="Calibri" w:hAnsi="Calibri" w:cs="Times New Roman"/>
                <w:sz w:val="24"/>
              </w:rPr>
            </w:pPr>
            <w:r w:rsidRPr="006A7E0E">
              <w:rPr>
                <w:rFonts w:ascii="Calibri" w:hAnsi="Calibri" w:cs="Times New Roman"/>
                <w:sz w:val="24"/>
              </w:rPr>
              <w:t>ustalono dach jedno- lub dwuspadowy o kącie nachylenia połaci dachu do 12</w:t>
            </w:r>
            <w:r w:rsidRPr="006A7E0E">
              <w:rPr>
                <w:rFonts w:ascii="Calibri" w:hAnsi="Calibri" w:cs="Calibri"/>
                <w:sz w:val="24"/>
              </w:rPr>
              <w:t>°</w:t>
            </w:r>
            <w:r w:rsidRPr="006A7E0E">
              <w:rPr>
                <w:rFonts w:ascii="Calibri" w:hAnsi="Calibri" w:cs="Times New Roman"/>
                <w:sz w:val="24"/>
              </w:rPr>
              <w:t xml:space="preserve"> - w </w:t>
            </w:r>
            <w:r w:rsidRPr="006A7E0E">
              <w:rPr>
                <w:rFonts w:ascii="Calibri" w:hAnsi="Calibri" w:cs="Times New Roman"/>
                <w:sz w:val="24"/>
                <w:shd w:val="clear" w:color="auto" w:fill="FFFFFF"/>
              </w:rPr>
              <w:t>obszarze analizowanym występują dachy dwuspadowe oraz tzw. dachy płaskie;</w:t>
            </w:r>
          </w:p>
        </w:tc>
      </w:tr>
      <w:tr w:rsidR="006A7E0E" w:rsidRPr="006A7E0E" w14:paraId="40235E5F" w14:textId="77777777" w:rsidTr="00CC166C">
        <w:tc>
          <w:tcPr>
            <w:tcW w:w="3514" w:type="dxa"/>
            <w:tcBorders>
              <w:top w:val="dotted" w:sz="4" w:space="0" w:color="auto"/>
              <w:right w:val="dotted" w:sz="4" w:space="0" w:color="auto"/>
            </w:tcBorders>
            <w:vAlign w:val="center"/>
          </w:tcPr>
          <w:p w14:paraId="7082B170" w14:textId="77777777" w:rsidR="006A7E0E" w:rsidRPr="006A7E0E" w:rsidRDefault="006A7E0E" w:rsidP="006A7E0E">
            <w:pPr>
              <w:spacing w:after="120"/>
              <w:jc w:val="both"/>
              <w:rPr>
                <w:rFonts w:ascii="Calibri" w:hAnsi="Calibri"/>
                <w:sz w:val="24"/>
              </w:rPr>
            </w:pPr>
            <w:r w:rsidRPr="006A7E0E">
              <w:rPr>
                <w:rFonts w:ascii="Calibri" w:hAnsi="Calibri"/>
                <w:sz w:val="24"/>
              </w:rPr>
              <w:t>kierunek głównej kalenicy dachu w stosunku do frontu działki</w:t>
            </w:r>
          </w:p>
        </w:tc>
        <w:tc>
          <w:tcPr>
            <w:tcW w:w="10087" w:type="dxa"/>
            <w:tcBorders>
              <w:top w:val="dotted" w:sz="4" w:space="0" w:color="auto"/>
              <w:left w:val="dotted" w:sz="4" w:space="0" w:color="auto"/>
            </w:tcBorders>
            <w:vAlign w:val="center"/>
          </w:tcPr>
          <w:p w14:paraId="60DE02EE" w14:textId="77777777" w:rsidR="006A7E0E" w:rsidRPr="006A7E0E" w:rsidRDefault="006A7E0E" w:rsidP="006A7E0E">
            <w:pPr>
              <w:spacing w:after="120"/>
              <w:jc w:val="both"/>
              <w:rPr>
                <w:rFonts w:ascii="Calibri" w:hAnsi="Calibri" w:cs="Times New Roman"/>
                <w:color w:val="FF0000"/>
                <w:sz w:val="24"/>
              </w:rPr>
            </w:pPr>
            <w:r w:rsidRPr="006A7E0E">
              <w:rPr>
                <w:rFonts w:ascii="Calibri" w:hAnsi="Calibri" w:cs="Times New Roman"/>
                <w:sz w:val="24"/>
              </w:rPr>
              <w:t>ze względu na ustalenie dachu płaskiego odstąpiono od określania</w:t>
            </w:r>
            <w:r w:rsidRPr="006A7E0E">
              <w:rPr>
                <w:rFonts w:ascii="Calibri" w:hAnsi="Calibri" w:cs="Times New Roman"/>
                <w:sz w:val="24"/>
                <w:shd w:val="clear" w:color="auto" w:fill="FFFFFF"/>
              </w:rPr>
              <w:t xml:space="preserve"> – w obszarze analizowanym występują dachy płaskie oraz dachy o kalenicowym (równoległym lub zbliżonym do równoległego) i szczytowym (prostopadłym lub zbliżonym do prostopadłego) kierunku kalenicy w stosunku do frontu działki.</w:t>
            </w:r>
          </w:p>
        </w:tc>
      </w:tr>
    </w:tbl>
    <w:p w14:paraId="49CB3052" w14:textId="6C420D4A" w:rsidR="006A7E0E" w:rsidRDefault="006A7E0E" w:rsidP="00BA37EA">
      <w:pPr>
        <w:spacing w:after="120" w:line="240" w:lineRule="auto"/>
        <w:jc w:val="both"/>
        <w:rPr>
          <w:rFonts w:eastAsia="Calibri" w:cstheme="minorHAnsi"/>
          <w:sz w:val="28"/>
          <w:szCs w:val="28"/>
        </w:rPr>
      </w:pPr>
      <w:r>
        <w:rPr>
          <w:rFonts w:eastAsia="Calibri" w:cstheme="minorHAnsi"/>
          <w:noProof/>
          <w:sz w:val="28"/>
          <w:szCs w:val="28"/>
        </w:rPr>
        <w:lastRenderedPageBreak/>
        <w:drawing>
          <wp:inline distT="0" distB="0" distL="0" distR="0" wp14:anchorId="5D37E239" wp14:editId="316E3708">
            <wp:extent cx="5572125" cy="792480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2125" cy="7924800"/>
                    </a:xfrm>
                    <a:prstGeom prst="rect">
                      <a:avLst/>
                    </a:prstGeom>
                    <a:noFill/>
                    <a:ln>
                      <a:noFill/>
                    </a:ln>
                  </pic:spPr>
                </pic:pic>
              </a:graphicData>
            </a:graphic>
          </wp:inline>
        </w:drawing>
      </w:r>
    </w:p>
    <w:sectPr w:rsidR="006A7E0E" w:rsidSect="00E305B2">
      <w:pgSz w:w="11906" w:h="16838"/>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5A2DD" w14:textId="77777777" w:rsidR="004B7156" w:rsidRDefault="004B7156" w:rsidP="00053E5A">
      <w:pPr>
        <w:spacing w:after="0" w:line="240" w:lineRule="auto"/>
      </w:pPr>
      <w:r>
        <w:separator/>
      </w:r>
    </w:p>
  </w:endnote>
  <w:endnote w:type="continuationSeparator" w:id="0">
    <w:p w14:paraId="3888BFDF" w14:textId="77777777" w:rsidR="004B7156" w:rsidRDefault="004B715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p w14:paraId="0EA8BC6F" w14:textId="77777777" w:rsidR="00F261DD" w:rsidRDefault="00F261DD"/>
  <w:p w14:paraId="1BB9945F" w14:textId="77777777" w:rsidR="00F261DD" w:rsidRDefault="00F261DD"/>
  <w:p w14:paraId="7E03378A" w14:textId="77777777" w:rsidR="00F261DD" w:rsidRDefault="00F261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EndPr/>
    <w:sdtContent>
      <w:sdt>
        <w:sdtPr>
          <w:id w:val="1728636285"/>
          <w:docPartObj>
            <w:docPartGallery w:val="Page Numbers (Top of Page)"/>
            <w:docPartUnique/>
          </w:docPartObj>
        </w:sdtPr>
        <w:sdtEndPr/>
        <w:sdtContent>
          <w:p w14:paraId="2986E41C" w14:textId="3EBC0A65" w:rsidR="00575C7A" w:rsidRDefault="00575C7A">
            <w:pPr>
              <w:pStyle w:val="Stopka"/>
              <w:jc w:val="center"/>
            </w:pPr>
            <w:r w:rsidRPr="003625F3">
              <w:rPr>
                <w:sz w:val="28"/>
                <w:szCs w:val="28"/>
              </w:rPr>
              <w:fldChar w:fldCharType="begin"/>
            </w:r>
            <w:r w:rsidRPr="003625F3">
              <w:rPr>
                <w:sz w:val="28"/>
                <w:szCs w:val="28"/>
              </w:rPr>
              <w:instrText>PAGE</w:instrText>
            </w:r>
            <w:r w:rsidRPr="003625F3">
              <w:rPr>
                <w:sz w:val="28"/>
                <w:szCs w:val="28"/>
              </w:rPr>
              <w:fldChar w:fldCharType="separate"/>
            </w:r>
            <w:r w:rsidRPr="003625F3">
              <w:rPr>
                <w:sz w:val="28"/>
                <w:szCs w:val="28"/>
              </w:rPr>
              <w:t>2</w:t>
            </w:r>
            <w:r w:rsidRPr="003625F3">
              <w:rPr>
                <w:sz w:val="28"/>
                <w:szCs w:val="28"/>
              </w:rPr>
              <w:fldChar w:fldCharType="end"/>
            </w:r>
            <w:r w:rsidRPr="003625F3">
              <w:rPr>
                <w:sz w:val="28"/>
                <w:szCs w:val="28"/>
              </w:rPr>
              <w:t xml:space="preserve"> z </w:t>
            </w:r>
            <w:r w:rsidRPr="003625F3">
              <w:rPr>
                <w:sz w:val="28"/>
                <w:szCs w:val="28"/>
              </w:rPr>
              <w:fldChar w:fldCharType="begin"/>
            </w:r>
            <w:r w:rsidRPr="003625F3">
              <w:rPr>
                <w:sz w:val="28"/>
                <w:szCs w:val="28"/>
              </w:rPr>
              <w:instrText>NUMPAGES</w:instrText>
            </w:r>
            <w:r w:rsidRPr="003625F3">
              <w:rPr>
                <w:sz w:val="28"/>
                <w:szCs w:val="28"/>
              </w:rPr>
              <w:fldChar w:fldCharType="separate"/>
            </w:r>
            <w:r w:rsidRPr="003625F3">
              <w:rPr>
                <w:sz w:val="28"/>
                <w:szCs w:val="28"/>
              </w:rPr>
              <w:t>2</w:t>
            </w:r>
            <w:r w:rsidRPr="003625F3">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4B7156" w:rsidP="00722E64">
    <w:pPr>
      <w:pStyle w:val="Stopka"/>
      <w:jc w:val="center"/>
    </w:pPr>
    <w:sdt>
      <w:sdtPr>
        <w:id w:val="906035972"/>
        <w:docPartObj>
          <w:docPartGallery w:val="Page Numbers (Top of Page)"/>
          <w:docPartUnique/>
        </w:docPartObj>
      </w:sdtPr>
      <w:sdtEnd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52B64617" w:rsidR="00722E64" w:rsidRDefault="00E305B2" w:rsidP="00E305B2">
    <w:pPr>
      <w:pStyle w:val="Stopka"/>
      <w:tabs>
        <w:tab w:val="clear" w:pos="4536"/>
        <w:tab w:val="clear" w:pos="9072"/>
        <w:tab w:val="left" w:pos="3765"/>
      </w:tabs>
    </w:pPr>
    <w:r>
      <w:tab/>
    </w:r>
  </w:p>
  <w:p w14:paraId="5C3D1636" w14:textId="77777777" w:rsidR="00F261DD" w:rsidRDefault="00F261DD"/>
  <w:p w14:paraId="42649C32" w14:textId="77777777" w:rsidR="00F261DD" w:rsidRDefault="00F261DD"/>
  <w:p w14:paraId="61CAB1BB" w14:textId="77777777" w:rsidR="00F261DD" w:rsidRDefault="00F261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6C2D3" w14:textId="77777777" w:rsidR="004B7156" w:rsidRDefault="004B7156" w:rsidP="00053E5A">
      <w:pPr>
        <w:spacing w:after="0" w:line="240" w:lineRule="auto"/>
      </w:pPr>
      <w:r>
        <w:separator/>
      </w:r>
    </w:p>
  </w:footnote>
  <w:footnote w:type="continuationSeparator" w:id="0">
    <w:p w14:paraId="179E496B" w14:textId="77777777" w:rsidR="004B7156" w:rsidRDefault="004B7156" w:rsidP="00053E5A">
      <w:pPr>
        <w:spacing w:after="0" w:line="240" w:lineRule="auto"/>
      </w:pPr>
      <w:r>
        <w:continuationSeparator/>
      </w:r>
    </w:p>
  </w:footnote>
  <w:footnote w:id="1">
    <w:p w14:paraId="26DA318E" w14:textId="77777777" w:rsidR="00B82ABE" w:rsidRPr="001F2298" w:rsidRDefault="00B82ABE" w:rsidP="00B82ABE">
      <w:pPr>
        <w:pStyle w:val="Tekstprzypisudolnego"/>
        <w:jc w:val="both"/>
        <w:rPr>
          <w:sz w:val="28"/>
          <w:szCs w:val="28"/>
        </w:rPr>
      </w:pPr>
      <w:r w:rsidRPr="001F2298">
        <w:rPr>
          <w:rStyle w:val="Odwoanieprzypisudolnego"/>
          <w:sz w:val="28"/>
          <w:szCs w:val="28"/>
        </w:rPr>
        <w:footnoteRef/>
      </w:r>
      <w:r w:rsidRPr="001F2298">
        <w:rPr>
          <w:sz w:val="28"/>
          <w:szCs w:val="28"/>
        </w:rPr>
        <w:t xml:space="preserve"> Stosownie do § 6 ust. 1 w związku z § 2 pkt 5 rozporządzenia Ministra Infrastruktury z dnia 26 sierpnia 2003 r. w sprawie sposobu ustalania wymagań dotyczących nowej zabudowy i zagospodarowania terenu (Dz. U. Nr 164, poz. 1588) </w:t>
      </w:r>
      <w:r w:rsidRPr="001F2298">
        <w:rPr>
          <w:color w:val="333333"/>
          <w:sz w:val="28"/>
          <w:szCs w:val="28"/>
          <w:shd w:val="clear" w:color="auto" w:fill="FFFFFF"/>
        </w:rPr>
        <w:t>szerokość elewacji frontowej budynku mierzy się od frontu działki, czyli tej części działki budowlanej, która przylega do drogi, z której odbywa się główny wjazd lub wejście na działkę. Front działki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p w14:paraId="3236AD50" w14:textId="19FFF063" w:rsidR="00F261DD" w:rsidRDefault="009A5751" w:rsidP="009A5751">
    <w:pPr>
      <w:tabs>
        <w:tab w:val="left" w:pos="2940"/>
        <w:tab w:val="left" w:pos="5085"/>
      </w:tabs>
    </w:pPr>
    <w:r>
      <w:tab/>
    </w:r>
    <w:r>
      <w:tab/>
    </w:r>
  </w:p>
  <w:p w14:paraId="1D4F81B4" w14:textId="77777777" w:rsidR="00F261DD" w:rsidRDefault="00F261DD" w:rsidP="009A5751">
    <w:pPr>
      <w:jc w:val="right"/>
    </w:pPr>
  </w:p>
  <w:p w14:paraId="68F51941" w14:textId="361C9A33" w:rsidR="00F261DD" w:rsidRDefault="00E305B2" w:rsidP="00E305B2">
    <w:pPr>
      <w:tabs>
        <w:tab w:val="left" w:pos="3090"/>
        <w:tab w:val="left" w:pos="6630"/>
      </w:tabs>
    </w:pPr>
    <w:r>
      <w:tab/>
    </w:r>
    <w:r>
      <w:tab/>
    </w:r>
  </w:p>
  <w:p w14:paraId="2B1C58EE" w14:textId="77777777" w:rsidR="001122A2" w:rsidRDefault="001122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B300B"/>
    <w:multiLevelType w:val="hybridMultilevel"/>
    <w:tmpl w:val="038A3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A8E84846"/>
    <w:lvl w:ilvl="0" w:tplc="3BA46E20">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C5145A"/>
    <w:multiLevelType w:val="hybridMultilevel"/>
    <w:tmpl w:val="A516ED4E"/>
    <w:lvl w:ilvl="0" w:tplc="46BE57B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FB00467"/>
    <w:multiLevelType w:val="hybridMultilevel"/>
    <w:tmpl w:val="215AFB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5CA285A"/>
    <w:multiLevelType w:val="hybridMultilevel"/>
    <w:tmpl w:val="864EFE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B0672DA"/>
    <w:multiLevelType w:val="hybridMultilevel"/>
    <w:tmpl w:val="AC62B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E16DF7"/>
    <w:multiLevelType w:val="hybridMultilevel"/>
    <w:tmpl w:val="F4E2050E"/>
    <w:lvl w:ilvl="0" w:tplc="6136C572">
      <w:start w:val="1"/>
      <w:numFmt w:val="lowerLetter"/>
      <w:lvlText w:val="%1)"/>
      <w:lvlJc w:val="left"/>
      <w:pPr>
        <w:ind w:left="720" w:hanging="360"/>
      </w:pPr>
      <w:rPr>
        <w:sz w:val="28"/>
        <w:szCs w:val="28"/>
      </w:rPr>
    </w:lvl>
    <w:lvl w:ilvl="1" w:tplc="65BC3498">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BF056E"/>
    <w:multiLevelType w:val="hybridMultilevel"/>
    <w:tmpl w:val="D910DA6E"/>
    <w:lvl w:ilvl="0" w:tplc="B0F07FFE">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4" w15:restartNumberingAfterBreak="0">
    <w:nsid w:val="5E0E1C86"/>
    <w:multiLevelType w:val="hybridMultilevel"/>
    <w:tmpl w:val="97F2B6B8"/>
    <w:lvl w:ilvl="0" w:tplc="2BBE7F6E">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E8468F"/>
    <w:multiLevelType w:val="hybridMultilevel"/>
    <w:tmpl w:val="3C5E72C8"/>
    <w:lvl w:ilvl="0" w:tplc="7A520B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4D60CD2"/>
    <w:multiLevelType w:val="hybridMultilevel"/>
    <w:tmpl w:val="FDF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7F188B"/>
    <w:multiLevelType w:val="hybridMultilevel"/>
    <w:tmpl w:val="CCF455E8"/>
    <w:lvl w:ilvl="0" w:tplc="FDEE473A">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96569894">
    <w:abstractNumId w:val="10"/>
  </w:num>
  <w:num w:numId="2" w16cid:durableId="198713445">
    <w:abstractNumId w:val="8"/>
  </w:num>
  <w:num w:numId="3" w16cid:durableId="272783408">
    <w:abstractNumId w:val="2"/>
  </w:num>
  <w:num w:numId="4" w16cid:durableId="1711806015">
    <w:abstractNumId w:val="14"/>
  </w:num>
  <w:num w:numId="5" w16cid:durableId="725682283">
    <w:abstractNumId w:val="9"/>
  </w:num>
  <w:num w:numId="6" w16cid:durableId="582884056">
    <w:abstractNumId w:val="16"/>
  </w:num>
  <w:num w:numId="7" w16cid:durableId="193081046">
    <w:abstractNumId w:val="1"/>
  </w:num>
  <w:num w:numId="8" w16cid:durableId="2003194824">
    <w:abstractNumId w:val="12"/>
  </w:num>
  <w:num w:numId="9" w16cid:durableId="2025860738">
    <w:abstractNumId w:val="6"/>
  </w:num>
  <w:num w:numId="10" w16cid:durableId="1738438769">
    <w:abstractNumId w:val="19"/>
  </w:num>
  <w:num w:numId="11" w16cid:durableId="1387803198">
    <w:abstractNumId w:val="5"/>
  </w:num>
  <w:num w:numId="12" w16cid:durableId="904994261">
    <w:abstractNumId w:val="7"/>
  </w:num>
  <w:num w:numId="13" w16cid:durableId="987172238">
    <w:abstractNumId w:val="0"/>
  </w:num>
  <w:num w:numId="14" w16cid:durableId="9329764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31705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5141515">
    <w:abstractNumId w:val="17"/>
  </w:num>
  <w:num w:numId="17" w16cid:durableId="36439834">
    <w:abstractNumId w:val="15"/>
  </w:num>
  <w:num w:numId="18" w16cid:durableId="1640261483">
    <w:abstractNumId w:val="3"/>
  </w:num>
  <w:num w:numId="19" w16cid:durableId="1122192199">
    <w:abstractNumId w:val="4"/>
  </w:num>
  <w:num w:numId="20" w16cid:durableId="16963483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FCD"/>
    <w:rsid w:val="00053E5A"/>
    <w:rsid w:val="000B12CA"/>
    <w:rsid w:val="000B5957"/>
    <w:rsid w:val="000C0935"/>
    <w:rsid w:val="000E5EAB"/>
    <w:rsid w:val="001122A2"/>
    <w:rsid w:val="00136D9C"/>
    <w:rsid w:val="00196CF8"/>
    <w:rsid w:val="001E204F"/>
    <w:rsid w:val="001E45F7"/>
    <w:rsid w:val="001E4E5D"/>
    <w:rsid w:val="00207356"/>
    <w:rsid w:val="002317AB"/>
    <w:rsid w:val="002339DC"/>
    <w:rsid w:val="00236849"/>
    <w:rsid w:val="00250690"/>
    <w:rsid w:val="00286EE4"/>
    <w:rsid w:val="002D0BA0"/>
    <w:rsid w:val="002E1491"/>
    <w:rsid w:val="00337537"/>
    <w:rsid w:val="003625F3"/>
    <w:rsid w:val="00377C2A"/>
    <w:rsid w:val="00390B57"/>
    <w:rsid w:val="0040322B"/>
    <w:rsid w:val="004348F9"/>
    <w:rsid w:val="00445843"/>
    <w:rsid w:val="004519AC"/>
    <w:rsid w:val="00453ADD"/>
    <w:rsid w:val="0048459B"/>
    <w:rsid w:val="004918B2"/>
    <w:rsid w:val="004B7156"/>
    <w:rsid w:val="004E6AAC"/>
    <w:rsid w:val="00525346"/>
    <w:rsid w:val="00546230"/>
    <w:rsid w:val="005513D7"/>
    <w:rsid w:val="00575C7A"/>
    <w:rsid w:val="00582CAF"/>
    <w:rsid w:val="005A07CF"/>
    <w:rsid w:val="005B004B"/>
    <w:rsid w:val="005E5887"/>
    <w:rsid w:val="00615D44"/>
    <w:rsid w:val="00626A24"/>
    <w:rsid w:val="006A1DC6"/>
    <w:rsid w:val="006A6F3E"/>
    <w:rsid w:val="006A7E0E"/>
    <w:rsid w:val="006B3990"/>
    <w:rsid w:val="006F6E0C"/>
    <w:rsid w:val="00722937"/>
    <w:rsid w:val="00722E64"/>
    <w:rsid w:val="00740DC5"/>
    <w:rsid w:val="00775A53"/>
    <w:rsid w:val="00787261"/>
    <w:rsid w:val="00797B24"/>
    <w:rsid w:val="007A3D60"/>
    <w:rsid w:val="00801B47"/>
    <w:rsid w:val="0081559F"/>
    <w:rsid w:val="00825443"/>
    <w:rsid w:val="00835C8E"/>
    <w:rsid w:val="008B1225"/>
    <w:rsid w:val="00917C21"/>
    <w:rsid w:val="009614DC"/>
    <w:rsid w:val="00981921"/>
    <w:rsid w:val="009937A8"/>
    <w:rsid w:val="009A5751"/>
    <w:rsid w:val="009E5400"/>
    <w:rsid w:val="009F091A"/>
    <w:rsid w:val="009F54AF"/>
    <w:rsid w:val="00A87869"/>
    <w:rsid w:val="00AD3259"/>
    <w:rsid w:val="00AE5B8B"/>
    <w:rsid w:val="00AF0A61"/>
    <w:rsid w:val="00AF1F86"/>
    <w:rsid w:val="00AF225C"/>
    <w:rsid w:val="00AF5295"/>
    <w:rsid w:val="00AF5E0F"/>
    <w:rsid w:val="00B468AF"/>
    <w:rsid w:val="00B54791"/>
    <w:rsid w:val="00B82ABE"/>
    <w:rsid w:val="00BA37EA"/>
    <w:rsid w:val="00C74A10"/>
    <w:rsid w:val="00C8223A"/>
    <w:rsid w:val="00D06C2D"/>
    <w:rsid w:val="00D3438E"/>
    <w:rsid w:val="00D34515"/>
    <w:rsid w:val="00D91D83"/>
    <w:rsid w:val="00DA34B7"/>
    <w:rsid w:val="00DD4D5D"/>
    <w:rsid w:val="00DE0A88"/>
    <w:rsid w:val="00E07703"/>
    <w:rsid w:val="00E305B2"/>
    <w:rsid w:val="00E7593C"/>
    <w:rsid w:val="00F11BA4"/>
    <w:rsid w:val="00F261DD"/>
    <w:rsid w:val="00FC144E"/>
    <w:rsid w:val="00FE03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82AB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82ABE"/>
    <w:rPr>
      <w:sz w:val="20"/>
      <w:szCs w:val="20"/>
    </w:rPr>
  </w:style>
  <w:style w:type="character" w:styleId="Odwoanieprzypisudolnego">
    <w:name w:val="footnote reference"/>
    <w:basedOn w:val="Domylnaczcionkaakapitu"/>
    <w:uiPriority w:val="99"/>
    <w:semiHidden/>
    <w:unhideWhenUsed/>
    <w:rsid w:val="00B82ABE"/>
    <w:rPr>
      <w:vertAlign w:val="superscript"/>
    </w:rPr>
  </w:style>
  <w:style w:type="table" w:styleId="Tabela-Siatka">
    <w:name w:val="Table Grid"/>
    <w:basedOn w:val="Standardowy"/>
    <w:uiPriority w:val="59"/>
    <w:rsid w:val="006A7E0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5089</Words>
  <Characters>30536</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4</cp:revision>
  <cp:lastPrinted>2020-02-11T13:09:00Z</cp:lastPrinted>
  <dcterms:created xsi:type="dcterms:W3CDTF">2022-05-19T07:59:00Z</dcterms:created>
  <dcterms:modified xsi:type="dcterms:W3CDTF">2022-05-19T10:18:00Z</dcterms:modified>
</cp:coreProperties>
</file>