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9B5E" w14:textId="5FB9A9A5" w:rsidR="00C61B4D" w:rsidRDefault="00C61B4D" w:rsidP="004922DB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</w:p>
    <w:p w14:paraId="70ADFB40" w14:textId="77777777" w:rsidR="004E5185" w:rsidRDefault="004E5185" w:rsidP="004922DB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</w:p>
    <w:p w14:paraId="0EA700A0" w14:textId="33044695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351E604D" w14:textId="507F4FD8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</w:t>
      </w:r>
      <w:r w:rsidR="002B73BE">
        <w:rPr>
          <w:rFonts w:cstheme="minorHAnsi"/>
          <w:bCs/>
          <w:sz w:val="28"/>
          <w:szCs w:val="28"/>
        </w:rPr>
        <w:t xml:space="preserve"> – </w:t>
      </w:r>
      <w:r w:rsidRPr="003A76C5">
        <w:rPr>
          <w:rFonts w:cstheme="minorHAnsi"/>
          <w:bCs/>
          <w:sz w:val="28"/>
          <w:szCs w:val="28"/>
        </w:rPr>
        <w:t>100 Śrem</w:t>
      </w:r>
    </w:p>
    <w:p w14:paraId="69612C35" w14:textId="3339F6E3" w:rsidR="004922DB" w:rsidRPr="003A76C5" w:rsidRDefault="004922DB" w:rsidP="004922DB">
      <w:pPr>
        <w:jc w:val="right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 xml:space="preserve">Śrem, </w:t>
      </w:r>
      <w:r w:rsidR="00A91CA4">
        <w:rPr>
          <w:rFonts w:cstheme="minorHAnsi"/>
          <w:sz w:val="28"/>
          <w:szCs w:val="28"/>
        </w:rPr>
        <w:t>3</w:t>
      </w:r>
      <w:r w:rsidR="00B526B6">
        <w:rPr>
          <w:rFonts w:cstheme="minorHAnsi"/>
          <w:sz w:val="28"/>
          <w:szCs w:val="28"/>
        </w:rPr>
        <w:t xml:space="preserve"> </w:t>
      </w:r>
      <w:r w:rsidR="006A0E13">
        <w:rPr>
          <w:rFonts w:cstheme="minorHAnsi"/>
          <w:sz w:val="28"/>
          <w:szCs w:val="28"/>
        </w:rPr>
        <w:t>czerwca</w:t>
      </w:r>
      <w:r w:rsidR="00B526B6">
        <w:rPr>
          <w:rFonts w:cstheme="minorHAnsi"/>
          <w:sz w:val="28"/>
          <w:szCs w:val="28"/>
        </w:rPr>
        <w:t xml:space="preserve"> 2022 </w:t>
      </w:r>
      <w:r w:rsidRPr="003A76C5">
        <w:rPr>
          <w:rFonts w:cstheme="minorHAnsi"/>
          <w:sz w:val="28"/>
          <w:szCs w:val="28"/>
        </w:rPr>
        <w:t>r</w:t>
      </w:r>
      <w:r w:rsidR="006A0E13">
        <w:rPr>
          <w:rFonts w:cstheme="minorHAnsi"/>
          <w:sz w:val="28"/>
          <w:szCs w:val="28"/>
        </w:rPr>
        <w:t>oku</w:t>
      </w:r>
    </w:p>
    <w:p w14:paraId="4FE9DCF9" w14:textId="634270AB" w:rsidR="004922DB" w:rsidRPr="003A76C5" w:rsidRDefault="004922DB" w:rsidP="004922DB">
      <w:pPr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>PPS</w:t>
      </w:r>
      <w:r w:rsidR="008015EF">
        <w:rPr>
          <w:rFonts w:cstheme="minorHAnsi"/>
          <w:sz w:val="28"/>
          <w:szCs w:val="28"/>
        </w:rPr>
        <w:t>PP</w:t>
      </w:r>
      <w:r w:rsidRPr="003A76C5">
        <w:rPr>
          <w:rFonts w:cstheme="minorHAnsi"/>
          <w:sz w:val="28"/>
          <w:szCs w:val="28"/>
        </w:rPr>
        <w:t>.</w:t>
      </w:r>
      <w:r w:rsidR="008015EF">
        <w:rPr>
          <w:rFonts w:cstheme="minorHAnsi"/>
          <w:sz w:val="28"/>
          <w:szCs w:val="28"/>
        </w:rPr>
        <w:t>6730</w:t>
      </w:r>
      <w:r w:rsidR="00EA431D">
        <w:rPr>
          <w:rFonts w:cstheme="minorHAnsi"/>
          <w:sz w:val="28"/>
          <w:szCs w:val="28"/>
        </w:rPr>
        <w:t>.</w:t>
      </w:r>
      <w:r w:rsidR="006A0E13">
        <w:rPr>
          <w:rFonts w:cstheme="minorHAnsi"/>
          <w:sz w:val="28"/>
          <w:szCs w:val="28"/>
        </w:rPr>
        <w:t>3</w:t>
      </w:r>
      <w:r w:rsidR="004E5185">
        <w:rPr>
          <w:rFonts w:cstheme="minorHAnsi"/>
          <w:sz w:val="28"/>
          <w:szCs w:val="28"/>
        </w:rPr>
        <w:t>5</w:t>
      </w:r>
      <w:r w:rsidR="00EA431D">
        <w:rPr>
          <w:rFonts w:cstheme="minorHAnsi"/>
          <w:sz w:val="28"/>
          <w:szCs w:val="28"/>
        </w:rPr>
        <w:t>.2022.GMI</w:t>
      </w:r>
    </w:p>
    <w:p w14:paraId="77975ECA" w14:textId="6BC80806" w:rsidR="004922DB" w:rsidRPr="003A76C5" w:rsidRDefault="004922DB" w:rsidP="008015EF">
      <w:pPr>
        <w:keepNext/>
        <w:keepLines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>Obwieszczenie</w:t>
      </w:r>
      <w:r w:rsidR="008015EF">
        <w:rPr>
          <w:rFonts w:eastAsia="Times New Roman" w:cstheme="minorHAnsi"/>
          <w:sz w:val="28"/>
          <w:szCs w:val="28"/>
        </w:rPr>
        <w:br/>
        <w:t xml:space="preserve"> </w:t>
      </w:r>
      <w:r w:rsidRPr="003A76C5">
        <w:rPr>
          <w:rFonts w:eastAsia="Times New Roman" w:cstheme="minorHAnsi"/>
          <w:sz w:val="28"/>
          <w:szCs w:val="28"/>
        </w:rPr>
        <w:t xml:space="preserve">o wydaniu decyzji </w:t>
      </w:r>
      <w:r w:rsidR="008015EF">
        <w:rPr>
          <w:rFonts w:eastAsia="Times New Roman" w:cstheme="minorHAnsi"/>
          <w:sz w:val="28"/>
          <w:szCs w:val="28"/>
        </w:rPr>
        <w:t xml:space="preserve">o warunkach zabudowy </w:t>
      </w:r>
    </w:p>
    <w:p w14:paraId="051C5A48" w14:textId="58195AB5" w:rsidR="004922DB" w:rsidRPr="00883567" w:rsidRDefault="004922DB" w:rsidP="00E07577">
      <w:pPr>
        <w:ind w:firstLine="567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 xml:space="preserve">Na podstawie art. </w:t>
      </w:r>
      <w:r w:rsidR="008015EF">
        <w:rPr>
          <w:rFonts w:eastAsia="Times New Roman" w:cstheme="minorHAnsi"/>
          <w:sz w:val="28"/>
          <w:szCs w:val="28"/>
          <w:lang w:eastAsia="pl-PL"/>
        </w:rPr>
        <w:t>66a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015EF">
        <w:rPr>
          <w:rFonts w:eastAsia="Times New Roman" w:cstheme="minorHAnsi"/>
          <w:sz w:val="28"/>
          <w:szCs w:val="28"/>
          <w:lang w:eastAsia="pl-PL"/>
        </w:rPr>
        <w:t>ustawy z dnia 27 marca 2003 r. o planowaniu i zagospodarowaniu przestrzennym (Dz. U. z 2022 r. poz. 503</w:t>
      </w:r>
      <w:r w:rsidRPr="003A76C5">
        <w:rPr>
          <w:rFonts w:eastAsia="Times New Roman" w:cstheme="minorHAnsi"/>
          <w:sz w:val="28"/>
          <w:szCs w:val="28"/>
          <w:lang w:eastAsia="pl-PL"/>
        </w:rPr>
        <w:t>) podaję do</w:t>
      </w:r>
      <w:r w:rsidR="003E5702">
        <w:rPr>
          <w:rFonts w:eastAsia="Times New Roman" w:cstheme="minorHAnsi"/>
          <w:sz w:val="28"/>
          <w:szCs w:val="28"/>
          <w:lang w:eastAsia="pl-PL"/>
        </w:rPr>
        <w:t> 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publicznej wiadomości informację, że </w:t>
      </w:r>
      <w:r w:rsidR="006A0E13">
        <w:rPr>
          <w:rFonts w:eastAsia="Times New Roman" w:cstheme="minorHAnsi"/>
          <w:sz w:val="28"/>
          <w:szCs w:val="28"/>
          <w:lang w:eastAsia="pl-PL"/>
        </w:rPr>
        <w:t>02</w:t>
      </w:r>
      <w:r w:rsidR="003E5702">
        <w:rPr>
          <w:rFonts w:eastAsia="Times New Roman" w:cstheme="minorHAnsi"/>
          <w:sz w:val="28"/>
          <w:szCs w:val="28"/>
          <w:lang w:eastAsia="pl-PL"/>
        </w:rPr>
        <w:t>.0</w:t>
      </w:r>
      <w:r w:rsidR="006A0E13">
        <w:rPr>
          <w:rFonts w:eastAsia="Times New Roman" w:cstheme="minorHAnsi"/>
          <w:sz w:val="28"/>
          <w:szCs w:val="28"/>
          <w:lang w:eastAsia="pl-PL"/>
        </w:rPr>
        <w:t>6</w:t>
      </w:r>
      <w:r w:rsidR="003E5702">
        <w:rPr>
          <w:rFonts w:eastAsia="Times New Roman" w:cstheme="minorHAnsi"/>
          <w:sz w:val="28"/>
          <w:szCs w:val="28"/>
          <w:lang w:eastAsia="pl-PL"/>
        </w:rPr>
        <w:t>.</w:t>
      </w:r>
      <w:r w:rsidR="00E560F8">
        <w:rPr>
          <w:rFonts w:eastAsia="Times New Roman" w:cstheme="minorHAnsi"/>
          <w:sz w:val="28"/>
          <w:szCs w:val="28"/>
          <w:lang w:eastAsia="pl-PL"/>
        </w:rPr>
        <w:t>2022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 r. </w:t>
      </w:r>
      <w:r w:rsidR="00076915">
        <w:rPr>
          <w:rFonts w:eastAsia="Times New Roman" w:cstheme="minorHAnsi"/>
          <w:sz w:val="28"/>
          <w:szCs w:val="28"/>
          <w:lang w:eastAsia="pl-PL"/>
        </w:rPr>
        <w:t>wydałem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 decyzję </w:t>
      </w:r>
      <w:r w:rsidR="00B46641">
        <w:rPr>
          <w:rFonts w:eastAsia="Times New Roman" w:cstheme="minorHAnsi"/>
          <w:sz w:val="28"/>
          <w:szCs w:val="28"/>
          <w:lang w:eastAsia="pl-PL"/>
        </w:rPr>
        <w:t>nr</w:t>
      </w:r>
      <w:r w:rsidR="003E5702">
        <w:rPr>
          <w:rFonts w:eastAsia="Times New Roman" w:cstheme="minorHAnsi"/>
          <w:sz w:val="28"/>
          <w:szCs w:val="28"/>
          <w:lang w:eastAsia="pl-PL"/>
        </w:rPr>
        <w:t> </w:t>
      </w:r>
      <w:r w:rsidR="006A0E13">
        <w:rPr>
          <w:rFonts w:eastAsia="Times New Roman" w:cstheme="minorHAnsi"/>
          <w:sz w:val="28"/>
          <w:szCs w:val="28"/>
          <w:lang w:eastAsia="pl-PL"/>
        </w:rPr>
        <w:t>4</w:t>
      </w:r>
      <w:r w:rsidR="004E5185">
        <w:rPr>
          <w:rFonts w:eastAsia="Times New Roman" w:cstheme="minorHAnsi"/>
          <w:sz w:val="28"/>
          <w:szCs w:val="28"/>
          <w:lang w:eastAsia="pl-PL"/>
        </w:rPr>
        <w:t>8</w:t>
      </w:r>
      <w:r w:rsidR="003E5702">
        <w:rPr>
          <w:rFonts w:eastAsia="Times New Roman" w:cstheme="minorHAnsi"/>
          <w:sz w:val="28"/>
          <w:szCs w:val="28"/>
          <w:lang w:eastAsia="pl-PL"/>
        </w:rPr>
        <w:t>/2022 o warunkach zabudowy na rzecz</w:t>
      </w:r>
      <w:r w:rsidR="004E5185">
        <w:rPr>
          <w:rFonts w:eastAsia="Times New Roman" w:cstheme="minorHAnsi"/>
          <w:sz w:val="28"/>
          <w:szCs w:val="28"/>
          <w:lang w:eastAsia="pl-PL"/>
        </w:rPr>
        <w:t>:</w:t>
      </w:r>
      <w:r w:rsidR="006A0E1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E5185">
        <w:rPr>
          <w:rFonts w:eastAsia="Times New Roman" w:cstheme="minorHAnsi"/>
          <w:sz w:val="28"/>
          <w:szCs w:val="28"/>
          <w:lang w:eastAsia="pl-PL"/>
        </w:rPr>
        <w:t>Green Capital S.A., ul. Słowackiego 59, 87-700 Aleksandrów Kujawski</w:t>
      </w:r>
      <w:r w:rsidRPr="00883567">
        <w:rPr>
          <w:rFonts w:eastAsia="Times New Roman" w:cstheme="minorHAnsi"/>
          <w:sz w:val="28"/>
          <w:szCs w:val="28"/>
          <w:lang w:eastAsia="pl-PL"/>
        </w:rPr>
        <w:t xml:space="preserve">, dla </w:t>
      </w:r>
      <w:r w:rsidR="00B46641">
        <w:rPr>
          <w:rFonts w:eastAsia="Times New Roman" w:cstheme="minorHAnsi"/>
          <w:sz w:val="28"/>
          <w:szCs w:val="28"/>
          <w:lang w:eastAsia="pl-PL"/>
        </w:rPr>
        <w:t>inwestycji:</w:t>
      </w:r>
      <w:r w:rsidRPr="0088356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E5185" w:rsidRPr="004E5185">
        <w:rPr>
          <w:rFonts w:ascii="Calibri" w:hAnsi="Calibri" w:cs="Calibri"/>
          <w:sz w:val="28"/>
          <w:szCs w:val="28"/>
        </w:rPr>
        <w:t>budowa farmy fotowoltaicznej o mocy do 10 MW wraz z zespołem magazynów energii elektrycznej o mocy do 10 MW wraz z niezbędną infrastrukturą techniczną i powierzchni terenu do 10,5 ha na części działki o nr ewid. 61, obręb Bystrzek</w:t>
      </w:r>
      <w:r w:rsidR="00076915">
        <w:rPr>
          <w:rFonts w:eastAsia="Times New Roman" w:cstheme="minorHAnsi"/>
          <w:sz w:val="28"/>
          <w:szCs w:val="28"/>
          <w:lang w:eastAsia="pl-PL"/>
        </w:rPr>
        <w:t>, która poprzedzona była decyzją o środowiskowych uwarunkowaniach.</w:t>
      </w:r>
    </w:p>
    <w:p w14:paraId="42A7755A" w14:textId="77777777" w:rsidR="00B526B6" w:rsidRPr="00344EB7" w:rsidRDefault="00B526B6" w:rsidP="00B526B6">
      <w:pPr>
        <w:tabs>
          <w:tab w:val="left" w:pos="993"/>
        </w:tabs>
        <w:ind w:firstLine="567"/>
        <w:rPr>
          <w:rFonts w:eastAsia="Times New Roman" w:cstheme="minorHAnsi"/>
          <w:sz w:val="28"/>
          <w:szCs w:val="28"/>
          <w:lang w:eastAsia="pl-PL"/>
        </w:rPr>
      </w:pPr>
      <w:r w:rsidRPr="00344EB7">
        <w:rPr>
          <w:rFonts w:eastAsia="Times New Roman" w:cstheme="minorHAnsi"/>
          <w:sz w:val="28"/>
          <w:szCs w:val="28"/>
          <w:lang w:eastAsia="pl-PL"/>
        </w:rPr>
        <w:t>Z decyzją można zapoznać się w Biuletynie Informacji Publicznej Urzędu Miejskiego w Śremie (</w:t>
      </w:r>
      <w:hyperlink r:id="rId8" w:history="1">
        <w:r w:rsidRPr="00A268F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http://umsrem.bip.eur.pl/public/?id=217685</w:t>
        </w:r>
      </w:hyperlink>
      <w:r w:rsidRPr="00344EB7">
        <w:rPr>
          <w:rFonts w:eastAsia="Times New Roman" w:cstheme="minorHAnsi"/>
          <w:sz w:val="28"/>
          <w:szCs w:val="28"/>
          <w:lang w:eastAsia="pl-PL"/>
        </w:rPr>
        <w:t>)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>
        <w:rPr>
          <w:rFonts w:eastAsia="Times New Roman" w:cstheme="minorHAnsi"/>
          <w:sz w:val="28"/>
          <w:szCs w:val="28"/>
          <w:lang w:eastAsia="pl-PL"/>
        </w:rPr>
        <w:br/>
        <w:t xml:space="preserve"> a z decyzją oraz dokumentacją sprawy </w:t>
      </w:r>
      <w:r w:rsidRPr="00344EB7">
        <w:rPr>
          <w:rFonts w:eastAsia="Times New Roman" w:cstheme="minorHAnsi"/>
          <w:sz w:val="28"/>
          <w:szCs w:val="28"/>
          <w:lang w:eastAsia="pl-PL"/>
        </w:rPr>
        <w:t>w Urzędzie Miejskim w Śremie, ul. </w:t>
      </w:r>
      <w:r w:rsidRPr="00344EB7">
        <w:rPr>
          <w:rFonts w:cstheme="minorHAnsi"/>
          <w:sz w:val="28"/>
          <w:szCs w:val="28"/>
        </w:rPr>
        <w:t>Plac 20 Października 1</w:t>
      </w:r>
      <w:r w:rsidRPr="00344EB7">
        <w:rPr>
          <w:rFonts w:eastAsia="Times New Roman" w:cstheme="minorHAnsi"/>
          <w:sz w:val="28"/>
          <w:szCs w:val="28"/>
          <w:lang w:eastAsia="pl-PL"/>
        </w:rPr>
        <w:t>, biuro nr 34, w godzinach od 7:00 do 15:00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87CA7C1" w14:textId="77777777" w:rsidR="00E43A7B" w:rsidRPr="003A76C5" w:rsidRDefault="00E43A7B" w:rsidP="00E43A7B">
      <w:pPr>
        <w:ind w:firstLine="708"/>
        <w:rPr>
          <w:rFonts w:eastAsia="Times New Roman" w:cstheme="minorHAnsi"/>
          <w:sz w:val="28"/>
          <w:szCs w:val="28"/>
          <w:lang w:eastAsia="pl-PL"/>
        </w:rPr>
      </w:pPr>
    </w:p>
    <w:p w14:paraId="740A67DE" w14:textId="77777777" w:rsidR="006A0E13" w:rsidRPr="006A0E13" w:rsidRDefault="006A0E13" w:rsidP="006A0E13">
      <w:pPr>
        <w:ind w:left="1560" w:firstLine="1417"/>
        <w:jc w:val="center"/>
        <w:rPr>
          <w:rFonts w:cstheme="minorHAnsi"/>
          <w:sz w:val="28"/>
          <w:szCs w:val="28"/>
        </w:rPr>
      </w:pPr>
      <w:r w:rsidRPr="006A0E13">
        <w:rPr>
          <w:rFonts w:cstheme="minorHAnsi"/>
          <w:sz w:val="28"/>
          <w:szCs w:val="28"/>
        </w:rPr>
        <w:t>Z up. BURMISTRZA</w:t>
      </w:r>
    </w:p>
    <w:p w14:paraId="4E3F9926" w14:textId="77777777" w:rsidR="006A0E13" w:rsidRPr="006A0E13" w:rsidRDefault="006A0E13" w:rsidP="006A0E13">
      <w:pPr>
        <w:ind w:left="1560" w:firstLine="1417"/>
        <w:jc w:val="center"/>
        <w:rPr>
          <w:rFonts w:cstheme="minorHAnsi"/>
          <w:sz w:val="28"/>
          <w:szCs w:val="28"/>
        </w:rPr>
      </w:pPr>
      <w:r w:rsidRPr="006A0E13">
        <w:rPr>
          <w:rFonts w:cstheme="minorHAnsi"/>
          <w:sz w:val="28"/>
          <w:szCs w:val="28"/>
        </w:rPr>
        <w:t>Bartosz Żeleźny</w:t>
      </w:r>
    </w:p>
    <w:p w14:paraId="78E3170D" w14:textId="77777777" w:rsidR="006A0E13" w:rsidRPr="006A0E13" w:rsidRDefault="006A0E13" w:rsidP="006A0E13">
      <w:pPr>
        <w:ind w:firstLine="2977"/>
        <w:jc w:val="center"/>
        <w:rPr>
          <w:rFonts w:cstheme="minorHAnsi"/>
          <w:sz w:val="28"/>
          <w:szCs w:val="28"/>
        </w:rPr>
      </w:pPr>
      <w:r w:rsidRPr="006A0E13">
        <w:rPr>
          <w:rFonts w:cstheme="minorHAnsi"/>
          <w:sz w:val="28"/>
          <w:szCs w:val="28"/>
        </w:rPr>
        <w:t>Zastępca Burmistrza</w:t>
      </w:r>
    </w:p>
    <w:p w14:paraId="76350865" w14:textId="77777777" w:rsidR="005A07CF" w:rsidRPr="005A07CF" w:rsidRDefault="005A07CF" w:rsidP="005A07CF">
      <w:pPr>
        <w:rPr>
          <w:rFonts w:eastAsia="Times New Roman" w:cstheme="minorHAnsi"/>
          <w:sz w:val="28"/>
          <w:szCs w:val="28"/>
          <w:lang w:eastAsia="pl-PL"/>
        </w:rPr>
      </w:pPr>
    </w:p>
    <w:p w14:paraId="6B8FF1DE" w14:textId="461F296E" w:rsidR="005A07CF" w:rsidRPr="00B46641" w:rsidRDefault="005A07CF" w:rsidP="005A07CF">
      <w:pPr>
        <w:rPr>
          <w:rFonts w:eastAsia="Times New Roman" w:cstheme="minorHAnsi"/>
          <w:color w:val="FF0000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A0E13">
        <w:rPr>
          <w:rFonts w:eastAsia="Times New Roman" w:cstheme="minorHAnsi"/>
          <w:sz w:val="28"/>
          <w:szCs w:val="28"/>
          <w:lang w:eastAsia="pl-PL"/>
        </w:rPr>
        <w:t>03</w:t>
      </w:r>
      <w:r w:rsidR="00B526B6">
        <w:rPr>
          <w:rFonts w:eastAsia="Times New Roman" w:cstheme="minorHAnsi"/>
          <w:sz w:val="28"/>
          <w:szCs w:val="28"/>
          <w:lang w:eastAsia="pl-PL"/>
        </w:rPr>
        <w:t>.0</w:t>
      </w:r>
      <w:r w:rsidR="006A0E13">
        <w:rPr>
          <w:rFonts w:eastAsia="Times New Roman" w:cstheme="minorHAnsi"/>
          <w:sz w:val="28"/>
          <w:szCs w:val="28"/>
          <w:lang w:eastAsia="pl-PL"/>
        </w:rPr>
        <w:t>6</w:t>
      </w:r>
      <w:r w:rsidR="00B526B6">
        <w:rPr>
          <w:rFonts w:eastAsia="Times New Roman" w:cstheme="minorHAnsi"/>
          <w:sz w:val="28"/>
          <w:szCs w:val="28"/>
          <w:lang w:eastAsia="pl-PL"/>
        </w:rPr>
        <w:t>.2022 r.</w:t>
      </w:r>
    </w:p>
    <w:p w14:paraId="0C3EB023" w14:textId="00A395FC" w:rsidR="005A07CF" w:rsidRPr="005A07CF" w:rsidRDefault="005A07CF" w:rsidP="005A07CF">
      <w:pPr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B73BE">
        <w:rPr>
          <w:rFonts w:eastAsia="Calibri" w:cstheme="minorHAnsi"/>
          <w:sz w:val="28"/>
          <w:szCs w:val="28"/>
        </w:rPr>
        <w:t xml:space="preserve"> ………………………</w:t>
      </w:r>
      <w:proofErr w:type="gramStart"/>
      <w:r w:rsidR="002B73BE">
        <w:rPr>
          <w:rFonts w:eastAsia="Calibri" w:cstheme="minorHAnsi"/>
          <w:sz w:val="28"/>
          <w:szCs w:val="28"/>
        </w:rPr>
        <w:t>…….</w:t>
      </w:r>
      <w:proofErr w:type="gramEnd"/>
      <w:r w:rsidR="002B73BE">
        <w:rPr>
          <w:rFonts w:eastAsia="Calibri" w:cstheme="minorHAnsi"/>
          <w:sz w:val="28"/>
          <w:szCs w:val="28"/>
        </w:rPr>
        <w:t>.</w:t>
      </w:r>
    </w:p>
    <w:p w14:paraId="268AE52D" w14:textId="77777777" w:rsidR="00C61B4D" w:rsidRDefault="00C61B4D" w:rsidP="005A07CF">
      <w:pPr>
        <w:rPr>
          <w:rFonts w:cstheme="minorHAnsi"/>
          <w:sz w:val="28"/>
          <w:szCs w:val="28"/>
        </w:rPr>
        <w:sectPr w:rsidR="00C61B4D" w:rsidSect="00FA372D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19709B6A" w14:textId="77777777" w:rsidR="00C61B4D" w:rsidRPr="003A76C5" w:rsidRDefault="00C61B4D" w:rsidP="00C61B4D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lastRenderedPageBreak/>
        <w:t>Burmistrz Śremu</w:t>
      </w:r>
    </w:p>
    <w:p w14:paraId="1006F266" w14:textId="77777777" w:rsidR="00C61B4D" w:rsidRPr="003A76C5" w:rsidRDefault="00C61B4D" w:rsidP="00C61B4D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49EF0B1D" w14:textId="21470444" w:rsidR="00C61B4D" w:rsidRPr="004E5185" w:rsidRDefault="00C61B4D" w:rsidP="004E5185">
      <w:pPr>
        <w:spacing w:after="0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</w:t>
      </w:r>
      <w:r>
        <w:rPr>
          <w:rFonts w:cstheme="minorHAnsi"/>
          <w:bCs/>
          <w:sz w:val="28"/>
          <w:szCs w:val="28"/>
        </w:rPr>
        <w:t xml:space="preserve"> – </w:t>
      </w:r>
      <w:r w:rsidRPr="003A76C5">
        <w:rPr>
          <w:rFonts w:cstheme="minorHAnsi"/>
          <w:bCs/>
          <w:sz w:val="28"/>
          <w:szCs w:val="28"/>
        </w:rPr>
        <w:t>100 Śrem</w:t>
      </w:r>
    </w:p>
    <w:p w14:paraId="080717A0" w14:textId="77777777" w:rsidR="004E5185" w:rsidRPr="004E5185" w:rsidRDefault="004E5185" w:rsidP="004E5185">
      <w:pPr>
        <w:jc w:val="right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Śrem, 2 czerwca 2022 r.</w:t>
      </w:r>
    </w:p>
    <w:p w14:paraId="1322042F" w14:textId="77777777" w:rsidR="004E5185" w:rsidRPr="004E5185" w:rsidRDefault="004E5185" w:rsidP="004E5185">
      <w:p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PPSPP.6730.35.2022.GMI</w:t>
      </w:r>
    </w:p>
    <w:p w14:paraId="7E92983C" w14:textId="63BBE554" w:rsid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Decyzja nr 48/2022</w:t>
      </w:r>
      <w:r w:rsidRPr="004E5185">
        <w:rPr>
          <w:rFonts w:cstheme="minorHAnsi"/>
          <w:sz w:val="28"/>
          <w:szCs w:val="28"/>
        </w:rPr>
        <w:br/>
        <w:t xml:space="preserve"> o warunkach zabudowy</w:t>
      </w:r>
    </w:p>
    <w:p w14:paraId="3A59B357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</w:p>
    <w:p w14:paraId="58E73AA5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Na podstawie art. 4 ust. 2 pkt 2 w związku z art. 59 ust. 1 i ust. 2, art. 60 ust. 1 i ust. 1a ustawy z dnia 27 marca 2003 r. o planowaniu i zagospodarowaniu </w:t>
      </w:r>
      <w:r w:rsidRPr="004E5185">
        <w:rPr>
          <w:rFonts w:cstheme="minorHAnsi"/>
          <w:color w:val="000000" w:themeColor="text1"/>
          <w:sz w:val="28"/>
          <w:szCs w:val="28"/>
        </w:rPr>
        <w:t>przestrzennym (Dz. U. z 2022 r. poz. 503) oraz art. 104 ustawy z dnia 14 czerwca 1960 r. – Kodeks postępowania administracyjnego (Dz. U. z 2021 r. poz. 735, z późn. zm.), po rozpatrzeniu wniosku złożonego 28.02.2022 r. i zmienionego 02.05.2022 r. przez:</w:t>
      </w:r>
    </w:p>
    <w:p w14:paraId="39C1A7BB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  <w:lang w:val="en-US"/>
        </w:rPr>
        <w:t>Green Capital S.A.</w:t>
      </w:r>
      <w:r w:rsidRPr="004E5185">
        <w:rPr>
          <w:rFonts w:cstheme="minorHAnsi"/>
          <w:sz w:val="28"/>
          <w:szCs w:val="28"/>
          <w:lang w:val="en-US"/>
        </w:rPr>
        <w:br/>
      </w:r>
      <w:r w:rsidRPr="004E5185">
        <w:rPr>
          <w:rFonts w:cstheme="minorHAnsi"/>
          <w:color w:val="000000" w:themeColor="text1"/>
          <w:sz w:val="28"/>
          <w:szCs w:val="28"/>
          <w:lang w:val="en-US"/>
        </w:rPr>
        <w:t xml:space="preserve">(KRS </w:t>
      </w:r>
      <w:r w:rsidRPr="004E5185"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  <w:t>0000817112)</w:t>
      </w:r>
      <w:r w:rsidRPr="004E5185">
        <w:rPr>
          <w:rFonts w:cstheme="minorHAnsi"/>
          <w:sz w:val="28"/>
          <w:szCs w:val="28"/>
          <w:lang w:val="en-US"/>
        </w:rPr>
        <w:br/>
        <w:t xml:space="preserve">ul. </w:t>
      </w:r>
      <w:r w:rsidRPr="004E5185">
        <w:rPr>
          <w:rFonts w:cstheme="minorHAnsi"/>
          <w:sz w:val="28"/>
          <w:szCs w:val="28"/>
        </w:rPr>
        <w:t>Słowackiego 59</w:t>
      </w:r>
      <w:r w:rsidRPr="004E5185">
        <w:rPr>
          <w:rFonts w:cstheme="minorHAnsi"/>
          <w:sz w:val="28"/>
          <w:szCs w:val="28"/>
        </w:rPr>
        <w:br/>
        <w:t xml:space="preserve">87-700 Aleksandrów Kujawski </w:t>
      </w:r>
    </w:p>
    <w:p w14:paraId="554C77F7" w14:textId="77777777" w:rsidR="004E5185" w:rsidRPr="004E5185" w:rsidRDefault="004E5185" w:rsidP="004E5185">
      <w:p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 sprawie ustalenia warunków zabudowy dla przedsięwzięcia: budowa farmy fotowoltaicznej o mocy do 10 MW wraz z zespołem magazynów energii elektrycznej o mocy do 10 MW wraz z niezbędną infrastrukturą techniczną i powierzchni terenu do 10,5 ha na części działki o nr ewid. 61, obręb Bystrzek</w:t>
      </w:r>
    </w:p>
    <w:p w14:paraId="71A3200F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ustalam</w:t>
      </w:r>
      <w:r w:rsidRPr="004E5185">
        <w:rPr>
          <w:rFonts w:cstheme="minorHAnsi"/>
          <w:sz w:val="28"/>
          <w:szCs w:val="28"/>
        </w:rPr>
        <w:br/>
        <w:t xml:space="preserve"> na rzecz Wnioskodawcy</w:t>
      </w:r>
      <w:r w:rsidRPr="004E5185">
        <w:rPr>
          <w:rFonts w:cstheme="minorHAnsi"/>
          <w:sz w:val="28"/>
          <w:szCs w:val="28"/>
        </w:rPr>
        <w:br/>
        <w:t xml:space="preserve"> następujące warunki zabudowy i zagospodarowania terenu:</w:t>
      </w:r>
    </w:p>
    <w:p w14:paraId="1A11DDC8" w14:textId="77777777" w:rsidR="004E5185" w:rsidRPr="004E5185" w:rsidRDefault="004E5185" w:rsidP="004E5185">
      <w:pPr>
        <w:pStyle w:val="Akapitzlist"/>
        <w:numPr>
          <w:ilvl w:val="0"/>
          <w:numId w:val="22"/>
        </w:numPr>
        <w:tabs>
          <w:tab w:val="left" w:pos="426"/>
        </w:tabs>
        <w:ind w:hanging="72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Opis inwestycji:</w:t>
      </w:r>
    </w:p>
    <w:p w14:paraId="3A75FEB9" w14:textId="77777777" w:rsidR="004E5185" w:rsidRPr="004E5185" w:rsidRDefault="004E5185" w:rsidP="004E5185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rodzaj: </w:t>
      </w:r>
    </w:p>
    <w:p w14:paraId="5BB9DA78" w14:textId="77777777" w:rsidR="004E5185" w:rsidRPr="004E5185" w:rsidRDefault="004E5185" w:rsidP="004E5185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instalacja odnawialnego źródła energii – system fotowoltaiczny o mocy nie większej niż 10 kW wraz z niezbędną infrastrukturą towarzyszącą (nie więcej niż 10 kontenerowych stacji transformatorowych o szerokości elewacji nie większej niż  3,0 m, wysokości nie większej niż 3,0 m, o powierzchni zabudowy każdej nie większej niż 33 m</w:t>
      </w:r>
      <w:r w:rsidRPr="004E5185">
        <w:rPr>
          <w:rFonts w:cstheme="minorHAnsi"/>
          <w:sz w:val="28"/>
          <w:szCs w:val="28"/>
          <w:vertAlign w:val="superscript"/>
        </w:rPr>
        <w:t>2,</w:t>
      </w:r>
      <w:r w:rsidRPr="004E5185">
        <w:rPr>
          <w:rFonts w:cstheme="minorHAnsi"/>
          <w:sz w:val="28"/>
          <w:szCs w:val="28"/>
        </w:rPr>
        <w:t>, nie więcej niż 10 kontenerowych stacji transformatorowo-rozdzielczych o szerokości elewacji nie większej niż 3,0 m, wysokości nie większej niż 3,0 m, o powierzchni zabudowy każdej nie większej niż 33 m</w:t>
      </w:r>
      <w:r w:rsidRPr="004E5185">
        <w:rPr>
          <w:rFonts w:cstheme="minorHAnsi"/>
          <w:sz w:val="28"/>
          <w:szCs w:val="28"/>
          <w:vertAlign w:val="superscript"/>
        </w:rPr>
        <w:t>2</w:t>
      </w:r>
      <w:r w:rsidRPr="004E5185">
        <w:rPr>
          <w:rFonts w:cstheme="minorHAnsi"/>
          <w:sz w:val="28"/>
          <w:szCs w:val="28"/>
        </w:rPr>
        <w:t>; drogi wewnętrzne);</w:t>
      </w:r>
    </w:p>
    <w:p w14:paraId="03FF1094" w14:textId="77777777" w:rsidR="004E5185" w:rsidRPr="004E5185" w:rsidRDefault="004E5185" w:rsidP="004E5185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nie więcej niż 10 magazynów kontenerowych magazynów energii elektrycznej o szerokości elewacji nie większej niż 3,0 m, wysokości nie większej niż 3,0 m oraz powierzchni zabudowy nie większej niż 33 m</w:t>
      </w:r>
      <w:r w:rsidRPr="004E5185">
        <w:rPr>
          <w:rFonts w:cstheme="minorHAnsi"/>
          <w:sz w:val="28"/>
          <w:szCs w:val="28"/>
          <w:vertAlign w:val="superscript"/>
        </w:rPr>
        <w:t>2</w:t>
      </w:r>
      <w:r w:rsidRPr="004E5185">
        <w:rPr>
          <w:rFonts w:cstheme="minorHAnsi"/>
          <w:sz w:val="28"/>
          <w:szCs w:val="28"/>
        </w:rPr>
        <w:t>,</w:t>
      </w:r>
    </w:p>
    <w:p w14:paraId="6B2BAF37" w14:textId="77777777" w:rsidR="004E5185" w:rsidRPr="004E5185" w:rsidRDefault="004E5185" w:rsidP="004E5185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powierzchnia terenu inwestycji nie większa niż 10,5 ha;</w:t>
      </w:r>
    </w:p>
    <w:p w14:paraId="05EDCCB1" w14:textId="77777777" w:rsidR="004E5185" w:rsidRPr="004E5185" w:rsidRDefault="004E5185" w:rsidP="004E5185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lokalizacja: część działki o nr ewid. 61, obręb Bystrzek, zgodnie z liniami rozgraniczającymi teren inwestycji wyznaczonymi na mapie, stanowiącej załącznik nr 1 do decyzji; </w:t>
      </w:r>
    </w:p>
    <w:p w14:paraId="0ED25195" w14:textId="77777777" w:rsidR="004E5185" w:rsidRPr="004E5185" w:rsidRDefault="004E5185" w:rsidP="004E5185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funkcja zabudowy i zagospodarowania terenu: przemysłowa.</w:t>
      </w:r>
    </w:p>
    <w:p w14:paraId="35908C35" w14:textId="77777777" w:rsidR="004E5185" w:rsidRPr="004E5185" w:rsidRDefault="004E5185" w:rsidP="004E5185">
      <w:pPr>
        <w:pStyle w:val="Akapitzlist"/>
        <w:numPr>
          <w:ilvl w:val="0"/>
          <w:numId w:val="22"/>
        </w:numPr>
        <w:ind w:left="426" w:hanging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Warunki i szczegółowe zasady zagospodarowania terenu oraz jego zabudowy wynikające z przepisów odrębnych w zakresie:</w:t>
      </w:r>
    </w:p>
    <w:p w14:paraId="055FA73F" w14:textId="77777777" w:rsidR="004E5185" w:rsidRPr="004E5185" w:rsidRDefault="004E5185" w:rsidP="004E5185">
      <w:pPr>
        <w:pStyle w:val="Akapitzlist"/>
        <w:numPr>
          <w:ilvl w:val="0"/>
          <w:numId w:val="14"/>
        </w:numPr>
        <w:tabs>
          <w:tab w:val="left" w:pos="567"/>
        </w:tabs>
        <w:ind w:left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warunków i wymagań ochrony i kształtowania ładu przestrzennego: nieprzekraczalna linia zabudowy, wyznaczająca najmniejszą odległość, w której może zostać zlokalizowana inwestycja, ustalona w odległości 15,0 m od granicy z działkami drogowymi o nr ewid. 52 i 62, obręb Bystrzek (droga gminna) oraz w odległości 20,0 m od granicy z drogą powiatową (ul. Nadwarciańską), zgodnie z załącznikiem nr 1 do decyzji;</w:t>
      </w:r>
    </w:p>
    <w:p w14:paraId="419FD522" w14:textId="77777777" w:rsidR="004E5185" w:rsidRPr="004E5185" w:rsidRDefault="004E5185" w:rsidP="004E5185">
      <w:pPr>
        <w:pStyle w:val="Akapitzlist"/>
        <w:numPr>
          <w:ilvl w:val="0"/>
          <w:numId w:val="14"/>
        </w:numPr>
        <w:ind w:left="567"/>
        <w:rPr>
          <w:rFonts w:cstheme="minorHAnsi"/>
          <w:color w:val="FF0000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ochrony środowiska i zdrowia ludzi oraz dziedzictwa kulturowego i zabytków oraz dóbr kultury współczesnej: </w:t>
      </w:r>
    </w:p>
    <w:p w14:paraId="2BC04A80" w14:textId="77777777" w:rsidR="004E5185" w:rsidRPr="004E5185" w:rsidRDefault="004E5185" w:rsidP="004E5185">
      <w:pPr>
        <w:pStyle w:val="Akapitzlist"/>
        <w:numPr>
          <w:ilvl w:val="0"/>
          <w:numId w:val="28"/>
        </w:numPr>
        <w:rPr>
          <w:rFonts w:cstheme="minorHAnsi"/>
          <w:color w:val="FF0000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uwzględnienie ograniczeń wynikających z położenia działki na terenie Głównego Zbiornika Wód Podziemnych nr 150 Pradolina Warszawa -Berlin; </w:t>
      </w:r>
    </w:p>
    <w:p w14:paraId="0AF6DF7A" w14:textId="77777777" w:rsidR="004E5185" w:rsidRPr="004E5185" w:rsidRDefault="004E5185" w:rsidP="004E5185">
      <w:pPr>
        <w:pStyle w:val="Akapitzlist"/>
        <w:numPr>
          <w:ilvl w:val="0"/>
          <w:numId w:val="28"/>
        </w:num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uwzględnienie innych potrzeb w zakresie ochrony powietrza wód, gleby, ziemi, ochrony przez hałasem, wibracjami i polami elektromagnetycznymi: uwzględnienie warunków korzystania ze środowiska w fazie realizacji i eksploatacji lub użytkowania przedsięwzięcia ustalonymi w decyzji Burmistrza Śremu z 28.12.2021 r. znak PPOŚ.6220.24.2021.BM o środowiskowych uwarunkowaniach dla planowanego przedsięwzięcia polegającego na budowie farmy fotowoltaicznej o mocy do 10 MW i powierzchni zabudowy do 10,5 ha wraz z niezbędną infrastrukturą techniczną, na działce o nr ewid. 61, obręb Bystrzek;</w:t>
      </w:r>
    </w:p>
    <w:p w14:paraId="4AC43082" w14:textId="0D367094" w:rsidR="004E5185" w:rsidRDefault="004E5185" w:rsidP="004E5185">
      <w:pPr>
        <w:pStyle w:val="Akapitzlist"/>
        <w:numPr>
          <w:ilvl w:val="0"/>
          <w:numId w:val="28"/>
        </w:num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na terenie inwestycji zlokalizowane są zewidencjonowane stanowiska archeologiczne objęte ochroną konserwatorską i ujęte w wojewódzkiej ewidencji zabytków obszar AZP nr: 59-29/69, 59-29/68, 59-29/67 </w:t>
      </w:r>
      <w:r w:rsidRPr="004E5185">
        <w:rPr>
          <w:rFonts w:cstheme="minorHAnsi"/>
          <w:sz w:val="28"/>
          <w:szCs w:val="28"/>
        </w:rPr>
        <w:br/>
        <w:t>i 59-29/66, w związku z tym dla ochrony archeologicznego dziedzictwa kulturowego podczas prac ziemnych związanych z zabudowaniem lub zagospodarowaniem przedmiotowego terenu zastosowanie mają właściwe przepisy ustawy z dnia 23 lipca 2003 r. o ochronie zabytków i opiece nad zabytkami (Dz. U. z 2022 poz. 840);</w:t>
      </w:r>
    </w:p>
    <w:p w14:paraId="7C89A1F2" w14:textId="77777777" w:rsidR="004E5185" w:rsidRPr="004E5185" w:rsidRDefault="004E5185" w:rsidP="004E5185">
      <w:pPr>
        <w:pStyle w:val="Akapitzlist"/>
        <w:rPr>
          <w:rFonts w:cstheme="minorHAnsi"/>
          <w:sz w:val="28"/>
          <w:szCs w:val="28"/>
        </w:rPr>
      </w:pPr>
    </w:p>
    <w:p w14:paraId="50BBCC09" w14:textId="77777777" w:rsidR="004E5185" w:rsidRPr="004E5185" w:rsidRDefault="004E5185" w:rsidP="004E5185">
      <w:pPr>
        <w:pStyle w:val="Akapitzlist"/>
        <w:numPr>
          <w:ilvl w:val="0"/>
          <w:numId w:val="14"/>
        </w:numPr>
        <w:ind w:left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obsługi w zakresie infrastruktury technicznej i komunikacji:</w:t>
      </w:r>
    </w:p>
    <w:p w14:paraId="4F8F59E6" w14:textId="77777777" w:rsidR="004E5185" w:rsidRPr="004E5185" w:rsidRDefault="004E5185" w:rsidP="004E5185">
      <w:pPr>
        <w:pStyle w:val="Akapitzlist"/>
        <w:numPr>
          <w:ilvl w:val="0"/>
          <w:numId w:val="15"/>
        </w:numPr>
        <w:tabs>
          <w:tab w:val="left" w:pos="709"/>
        </w:tabs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sposób zaopatrzenia w energię elektryczną: potrzeby własne elektrowni będą zaspokajane poprzez instalację fotowoltaiczną i projektowaną sieć elektroenergetyczną,</w:t>
      </w:r>
    </w:p>
    <w:p w14:paraId="4978A438" w14:textId="77777777" w:rsidR="004E5185" w:rsidRPr="004E5185" w:rsidRDefault="004E5185" w:rsidP="004E5185">
      <w:pPr>
        <w:pStyle w:val="Akapitzlist"/>
        <w:numPr>
          <w:ilvl w:val="0"/>
          <w:numId w:val="15"/>
        </w:numPr>
        <w:tabs>
          <w:tab w:val="left" w:pos="709"/>
        </w:tabs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należy uwzględnić ograniczenia wynikające z występowania uzbrojenia technicznego oraz uzyskać stosowne oświadczenia i warunki od właściwych jednostek,</w:t>
      </w:r>
    </w:p>
    <w:p w14:paraId="3440E61D" w14:textId="77777777" w:rsidR="004E5185" w:rsidRPr="004E5185" w:rsidRDefault="004E5185" w:rsidP="004E5185">
      <w:pPr>
        <w:pStyle w:val="Akapitzlist"/>
        <w:numPr>
          <w:ilvl w:val="0"/>
          <w:numId w:val="15"/>
        </w:numPr>
        <w:tabs>
          <w:tab w:val="left" w:pos="709"/>
        </w:tabs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gospodarowanie odpadami: zgodnie z przepisami odrębnymi;</w:t>
      </w:r>
    </w:p>
    <w:p w14:paraId="38C8C459" w14:textId="77777777" w:rsidR="004E5185" w:rsidRPr="004E5185" w:rsidRDefault="004E5185" w:rsidP="004E5185">
      <w:pPr>
        <w:pStyle w:val="Akapitzlist"/>
        <w:numPr>
          <w:ilvl w:val="0"/>
          <w:numId w:val="14"/>
        </w:numPr>
        <w:ind w:left="567" w:hanging="425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wymagań dotyczących ochrony interesów osób trzecich:</w:t>
      </w:r>
    </w:p>
    <w:p w14:paraId="09214DB2" w14:textId="77777777" w:rsidR="004E5185" w:rsidRPr="004E5185" w:rsidRDefault="004E5185" w:rsidP="004E5185">
      <w:pPr>
        <w:pStyle w:val="Akapitzlist"/>
        <w:numPr>
          <w:ilvl w:val="0"/>
          <w:numId w:val="16"/>
        </w:num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warunki ochrony przed pozbawieniem: </w:t>
      </w:r>
    </w:p>
    <w:p w14:paraId="5DAE6474" w14:textId="77777777" w:rsidR="004E5185" w:rsidRPr="004E5185" w:rsidRDefault="004E5185" w:rsidP="004E5185">
      <w:pPr>
        <w:pStyle w:val="Akapitzlist"/>
        <w:numPr>
          <w:ilvl w:val="0"/>
          <w:numId w:val="17"/>
        </w:numPr>
        <w:ind w:left="993" w:hanging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650983A" w14:textId="77777777" w:rsidR="004E5185" w:rsidRPr="004E5185" w:rsidRDefault="004E5185" w:rsidP="004E5185">
      <w:pPr>
        <w:pStyle w:val="Akapitzlist"/>
        <w:numPr>
          <w:ilvl w:val="0"/>
          <w:numId w:val="17"/>
        </w:numPr>
        <w:ind w:left="993" w:hanging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5CEC93A1" w14:textId="77777777" w:rsidR="004E5185" w:rsidRPr="004E5185" w:rsidRDefault="004E5185" w:rsidP="004E5185">
      <w:pPr>
        <w:pStyle w:val="Akapitzlist"/>
        <w:numPr>
          <w:ilvl w:val="0"/>
          <w:numId w:val="16"/>
        </w:num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 środowisko.</w:t>
      </w:r>
    </w:p>
    <w:p w14:paraId="7AE867EB" w14:textId="77777777" w:rsidR="004E5185" w:rsidRPr="004E5185" w:rsidRDefault="004E5185" w:rsidP="004E5185">
      <w:pPr>
        <w:pStyle w:val="Akapitzlist"/>
        <w:numPr>
          <w:ilvl w:val="0"/>
          <w:numId w:val="22"/>
        </w:numPr>
        <w:tabs>
          <w:tab w:val="left" w:pos="426"/>
        </w:tabs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Linie rozgraniczające teren inwestycji wyznaczone na mapie zasadniczej w skali 1:1000.</w:t>
      </w:r>
    </w:p>
    <w:p w14:paraId="40E799CF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Uzasadnienie</w:t>
      </w:r>
    </w:p>
    <w:p w14:paraId="1004625C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Stosownie do art. 4 ust. 2 pkt 2 ustawy z dnia 27 marca 2003 r. o 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133E13D4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</w:p>
    <w:p w14:paraId="21390C58" w14:textId="77777777" w:rsidR="004E5185" w:rsidRPr="004E5185" w:rsidRDefault="004E5185" w:rsidP="004E5185">
      <w:pPr>
        <w:rPr>
          <w:rFonts w:cstheme="minorHAnsi"/>
          <w:sz w:val="28"/>
          <w:szCs w:val="28"/>
        </w:rPr>
      </w:pPr>
    </w:p>
    <w:p w14:paraId="249B58C6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W myśl art. 59 przywołanej ustawy:</w:t>
      </w:r>
    </w:p>
    <w:p w14:paraId="76A95E5F" w14:textId="77777777" w:rsidR="004E5185" w:rsidRPr="004E5185" w:rsidRDefault="004E5185" w:rsidP="004E5185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zmiana zagospodarowania terenu w przypadku braku planu miejscowego, polegająca na budowie obiektu budowlanego lub wykonaniu innych robót budowlanych, a także zmiana sposobu użytkowania obiektu budowlanego lub jego części, z zastrzeżeniem art. 50 ust. 1 i art. 86, wymaga ustalenia, w drodze decyzji, warunków zabudowy. Przepis art. 50 ust. 2 stosuje się odpowiednio;</w:t>
      </w:r>
    </w:p>
    <w:p w14:paraId="5A96566D" w14:textId="77777777" w:rsidR="004E5185" w:rsidRPr="004E5185" w:rsidRDefault="004E5185" w:rsidP="004E5185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powyższy przepis stosuje się również do zmiany zagospodarowania terenu, która nie wymaga pozwolenia na budowę, z wyjątkiem tymczasowej, jednorazowej zmiany zagospodarowania terenu, trwającej do roku;</w:t>
      </w:r>
    </w:p>
    <w:p w14:paraId="547E6D70" w14:textId="77777777" w:rsidR="004E5185" w:rsidRPr="004E5185" w:rsidRDefault="004E5185" w:rsidP="004E5185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 przypadku braku miejscowego planu zagospodarowania przestrzennego, budowa obiektów budowlanych, o których mowa w art. 29 ust. 1 pkt 1, 1a, 3 i pkt 16 lit. b ustawy z dnia 7 lipca 1994 r. – Prawo budowlane wymaga uzyskania decyzji o warunkach zabudowy i zagospodarowania terenu.</w:t>
      </w:r>
    </w:p>
    <w:p w14:paraId="1139335D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Do wniosku o ustalenie warunków zabudowy Wnioskodawca załączył charakterystykę planowanej inwestycji, przedstawioną w formie opisowej i graficznej, która znajduje się w aktach sprawy. Treść wniosku oraz załącznik graficzny do wniosku są ze sobą spójne. W części graficznej Wnioskodawca wskazał również obszar, na który planowana inwestycja będzie oddziaływać. Wniosek jest zatem kompletny. </w:t>
      </w:r>
    </w:p>
    <w:p w14:paraId="5A7429CF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02.05.2022 r. Wnioskodawca zmienił wniosek poprzez dodanie magazynów energii elektrycznej do pierwotnie planowanej instalacji fotowoltaicznej.</w:t>
      </w:r>
    </w:p>
    <w:p w14:paraId="3574DECA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Planowana inwestycja polega na budowie instalacji odnawialnego źródła energii – systemu fotowoltaicznego o mocy do 10 MW wraz z niezbędną infrastrukturą techniczną na terenie działki o nr ewid. 61, obręb Bystrzek, o łącznej powierzchni 33,7125 ha, przy czym pod lokalizację inwestycji ma zostać przeznaczone maksymalnie 10,5 ha powierzchni terenu. Do budowy elektrowni fotowoltaicznej planowane jest wykorzystanie do 28570 sztuk paneli fotowoltaicznych.</w:t>
      </w:r>
    </w:p>
    <w:p w14:paraId="5F93B722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Teren inwestycji od południa, zachodu i północy graniczy z drogami, a od wschodu z terenami rolniczymi.</w:t>
      </w:r>
    </w:p>
    <w:p w14:paraId="40E585B1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Planowana inwestycja jest instalacją odnawialnego źródła energii, o której mowa w art. 2 pkt 13 ustawy z dnia 20 lutego 2015 r. o odnawialnych źródłach energii (Dz. U. z 2021 r. poz. 610, z późn. zm.).</w:t>
      </w:r>
    </w:p>
    <w:p w14:paraId="4046B82F" w14:textId="77777777" w:rsidR="004E5185" w:rsidRPr="004E5185" w:rsidRDefault="004E5185" w:rsidP="004E5185">
      <w:pPr>
        <w:tabs>
          <w:tab w:val="left" w:pos="993"/>
        </w:tabs>
        <w:rPr>
          <w:rFonts w:cstheme="minorHAnsi"/>
          <w:sz w:val="28"/>
          <w:szCs w:val="28"/>
        </w:rPr>
      </w:pPr>
    </w:p>
    <w:p w14:paraId="7414B797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Przedmiotowa działka, która stanowi teren inwestycji, zgodnie z prowadzoną przez Starostę Śremskiego ewidencją gruntów i budynków stanowi w części łąki trwałe oznaczone symbolem ŁIV i ŁVI, grunty orne klas: IVa, IVb, V i VI, pastwiska oznaczone symbolem PsV, grunty pod rowami oznaczone symbolem W, nieużytki oznaczone symbolem N oraz grunty zadrzewione i zakrzewione oznaczone symbolem Lz.</w:t>
      </w:r>
    </w:p>
    <w:p w14:paraId="59D417DC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Dla terenu projektowanej inwestycji nie został uchwalony miejscowy plan zagospodarowania przestrzennego ani nie została podjęta uchwała w sprawie przystąpienia do sporządzenia miejscowego planu zagospodarowania przestrzennego.</w:t>
      </w:r>
    </w:p>
    <w:p w14:paraId="38A44470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Stosownie do art. 53 ust. 3 w związku z art. 64 ust. 1 ustawy z dnia 27 marca 2003 r. o planowaniu i zagospodarowaniu przestrzennym przeprowadzone zostały analizy: warunków i zasad zagospodarowania terenu oraz jego zabudowy, wynikających z przepisów odrębnych, oraz stanu faktycznego i prawnego terenu, na którym przewiduje się realizację inwestycji. Wyniki tych analiz znajdują się w aktach sprawy.</w:t>
      </w:r>
    </w:p>
    <w:p w14:paraId="10E25DA6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Zgodnie z art. 60 ust. 4 przywołanej ustawy sporządzenie projektu decyzji </w:t>
      </w:r>
      <w:r w:rsidRPr="004E5185">
        <w:rPr>
          <w:rFonts w:cstheme="minorHAnsi"/>
          <w:color w:val="000000" w:themeColor="text1"/>
          <w:sz w:val="28"/>
          <w:szCs w:val="28"/>
        </w:rPr>
        <w:t>o</w:t>
      </w:r>
      <w:r w:rsidRPr="004E5185">
        <w:rPr>
          <w:rFonts w:cstheme="minorHAnsi"/>
          <w:sz w:val="28"/>
          <w:szCs w:val="28"/>
        </w:rPr>
        <w:t xml:space="preserve"> warunkach zabudowy powierzono osobie spełniającej warunki określone w art. 5 pkt 4. Projekt decyzji znajduje się w aktach sprawy. </w:t>
      </w:r>
    </w:p>
    <w:p w14:paraId="572F5E6E" w14:textId="77777777" w:rsidR="004E5185" w:rsidRPr="004E5185" w:rsidRDefault="004E5185" w:rsidP="004E5185">
      <w:pPr>
        <w:widowControl w:val="0"/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F46737B" w14:textId="77777777" w:rsidR="004E5185" w:rsidRPr="004E5185" w:rsidRDefault="004E5185" w:rsidP="004E5185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5CC92780" w14:textId="77777777" w:rsidR="004E5185" w:rsidRPr="004E5185" w:rsidRDefault="004E5185" w:rsidP="004E5185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2BFD2FF8" w14:textId="77777777" w:rsidR="004E5185" w:rsidRPr="004E5185" w:rsidRDefault="004E5185" w:rsidP="004E5185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cstheme="minorHAnsi"/>
          <w:color w:val="000000" w:themeColor="text1"/>
          <w:sz w:val="28"/>
          <w:szCs w:val="28"/>
        </w:rPr>
      </w:pPr>
      <w:r w:rsidRPr="004E5185">
        <w:rPr>
          <w:rFonts w:cstheme="minorHAnsi"/>
          <w:color w:val="000000" w:themeColor="text1"/>
          <w:sz w:val="28"/>
          <w:szCs w:val="28"/>
        </w:rPr>
        <w:t>potrzebami w zakresie zapobiegania ruchom masowym ziemi i ich skutkom;</w:t>
      </w:r>
    </w:p>
    <w:p w14:paraId="2B260819" w14:textId="77777777" w:rsidR="004E5185" w:rsidRPr="004E5185" w:rsidRDefault="004E5185" w:rsidP="004E5185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ograniczeniami wynikającymi z ustanowienia w trybie ustawy z dnia 16 kwietnia 2004 r. o ochronie przyrody (Dz. U. z 2022 r. poz. 916) form ochrony przyrody oraz ustaleń obowiązujących planów ochrony;</w:t>
      </w:r>
    </w:p>
    <w:p w14:paraId="6D117A1A" w14:textId="77777777" w:rsidR="004E5185" w:rsidRPr="004E5185" w:rsidRDefault="004E5185" w:rsidP="004E5185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ograniczeniami wynikającymi z ustanowienia w trybie ustawy z dnia 20 lipca 2017 r. – Prawo wodne (Dz. U. z 2021 r. 2233, z późn. zm.) warunków korzystania z wód regionu wodnego i zlewni oraz ustanowienia stref ochronnych ujęć wód, a także obszarów ochronnych zbiorników wód śródlądowych,</w:t>
      </w:r>
    </w:p>
    <w:p w14:paraId="52861B2D" w14:textId="77777777" w:rsidR="004E5185" w:rsidRPr="004E5185" w:rsidRDefault="004E5185" w:rsidP="004E5185">
      <w:pPr>
        <w:tabs>
          <w:tab w:val="left" w:pos="993"/>
        </w:tabs>
        <w:rPr>
          <w:rFonts w:cstheme="minorHAnsi"/>
          <w:sz w:val="28"/>
          <w:szCs w:val="28"/>
        </w:rPr>
      </w:pPr>
    </w:p>
    <w:p w14:paraId="7DCD5E31" w14:textId="77777777" w:rsidR="004E5185" w:rsidRPr="004E5185" w:rsidRDefault="004E5185" w:rsidP="004E5185">
      <w:pPr>
        <w:widowControl w:val="0"/>
        <w:tabs>
          <w:tab w:val="left" w:pos="993"/>
        </w:tabs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AA37DA1" w14:textId="77777777" w:rsidR="004E5185" w:rsidRPr="004E5185" w:rsidRDefault="004E5185" w:rsidP="004E5185">
      <w:pPr>
        <w:widowControl w:val="0"/>
        <w:tabs>
          <w:tab w:val="left" w:pos="993"/>
        </w:tabs>
        <w:autoSpaceDE w:val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7D175ED4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Wydanie decyzji o warunkach zabudowy jest możliwe jedynie w przypadku łącznego spełnienia warunków, o których mowa w art. 61 ust. 1 ustawy z dnia 27 marca 2003 r. o planowaniu i zagospodarowaniu przestrzennym, a mianowicie:</w:t>
      </w:r>
    </w:p>
    <w:p w14:paraId="049DE6F3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1)</w:t>
      </w:r>
      <w:r w:rsidRPr="004E5185">
        <w:rPr>
          <w:rFonts w:cstheme="minorHAnsi"/>
          <w:sz w:val="28"/>
          <w:szCs w:val="28"/>
        </w:rPr>
        <w:tab/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 tym gabarytów i formy architektonicznej obiektów budowlanych, linii zabudowy oraz intensywności wykorzystania terenu;</w:t>
      </w:r>
    </w:p>
    <w:p w14:paraId="38B1BC8A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2)</w:t>
      </w:r>
      <w:r w:rsidRPr="004E5185">
        <w:rPr>
          <w:rFonts w:cstheme="minorHAnsi"/>
          <w:sz w:val="28"/>
          <w:szCs w:val="28"/>
        </w:rPr>
        <w:tab/>
        <w:t>teren ma dostęp do drogi publicznej rozumiany jako bezpośredni dostęp do tej drogi albo dostęp do niej przez drogę wewnętrzną lub przez ustanowienie odpowiedniej służebności drogowej;</w:t>
      </w:r>
    </w:p>
    <w:p w14:paraId="159ABFD2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3)</w:t>
      </w:r>
      <w:r w:rsidRPr="004E5185">
        <w:rPr>
          <w:rFonts w:cstheme="minorHAnsi"/>
          <w:sz w:val="28"/>
          <w:szCs w:val="28"/>
        </w:rPr>
        <w:tab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6CBD8BEA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4)</w:t>
      </w:r>
      <w:r w:rsidRPr="004E5185">
        <w:rPr>
          <w:rFonts w:cstheme="minorHAnsi"/>
          <w:sz w:val="28"/>
          <w:szCs w:val="28"/>
        </w:rPr>
        <w:tab/>
        <w:t>teren nie wymaga uzyskania zgody na zmianę przeznaczenia gruntów rolnych i leśnych na cele nierolnicze i nieleśne albo jest objęty zgodą uzyskaną przy sporządzaniu miejscowych planów, które utraciły moc na podstawie art. 67 ustawy, o której mowa w art. 88 ust. 1;</w:t>
      </w:r>
    </w:p>
    <w:p w14:paraId="3EAD8BCA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5)</w:t>
      </w:r>
      <w:r w:rsidRPr="004E5185">
        <w:rPr>
          <w:rFonts w:cstheme="minorHAnsi"/>
          <w:sz w:val="28"/>
          <w:szCs w:val="28"/>
        </w:rPr>
        <w:tab/>
        <w:t>decyzja jest zgodna z przepisami odrębnymi;</w:t>
      </w:r>
    </w:p>
    <w:p w14:paraId="22D8A0EC" w14:textId="77777777" w:rsidR="004E5185" w:rsidRPr="004E5185" w:rsidRDefault="004E5185" w:rsidP="004E5185">
      <w:pPr>
        <w:tabs>
          <w:tab w:val="left" w:pos="1134"/>
        </w:tabs>
        <w:ind w:left="993" w:hanging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  <w:shd w:val="clear" w:color="auto" w:fill="FFFFFF"/>
        </w:rPr>
        <w:t xml:space="preserve">6) </w:t>
      </w:r>
      <w:r w:rsidRPr="004E5185">
        <w:rPr>
          <w:rFonts w:cstheme="minorHAnsi"/>
          <w:sz w:val="28"/>
          <w:szCs w:val="28"/>
          <w:shd w:val="clear" w:color="auto" w:fill="FFFFFF"/>
        </w:rPr>
        <w:tab/>
        <w:t>zamierzenie budowlane nie znajdzie się w obszarze</w:t>
      </w:r>
      <w:r w:rsidRPr="004E5185">
        <w:rPr>
          <w:rFonts w:cstheme="minorHAnsi"/>
          <w:sz w:val="28"/>
          <w:szCs w:val="28"/>
          <w:lang w:eastAsia="pl-PL"/>
        </w:rPr>
        <w:t xml:space="preserve">: </w:t>
      </w:r>
    </w:p>
    <w:p w14:paraId="6BA23DB9" w14:textId="77777777" w:rsidR="004E5185" w:rsidRPr="004E5185" w:rsidRDefault="004E5185" w:rsidP="004E5185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 </w:t>
      </w:r>
      <w:proofErr w:type="gramStart"/>
      <w:r w:rsidRPr="004E5185">
        <w:rPr>
          <w:rFonts w:cstheme="minorHAnsi"/>
          <w:sz w:val="28"/>
          <w:szCs w:val="28"/>
        </w:rPr>
        <w:t>stosunku</w:t>
      </w:r>
      <w:proofErr w:type="gramEnd"/>
      <w:r w:rsidRPr="004E5185">
        <w:rPr>
          <w:rFonts w:cstheme="minorHAnsi"/>
          <w:sz w:val="28"/>
          <w:szCs w:val="28"/>
        </w:rPr>
        <w:t xml:space="preserve"> do którego decyzją o ustaleniu lokalizacji strategicznej inwestycji w zakresie sieci przesyłowej, o której mowa w art. 5 ust. 1 ustawy z dnia 24 lipca 2015 r. o przygotowaniu i realizacji strategicznych inwestycji w zakresie sieci przesyłowych (Dz.U. z 2022 r. poz. 273), ustanowiony został zakaz, o którym mowa w art. 22 ust. 2 pkt 1 tej ustawy,</w:t>
      </w:r>
    </w:p>
    <w:p w14:paraId="4A26C0B1" w14:textId="77777777" w:rsidR="004E5185" w:rsidRPr="004E5185" w:rsidRDefault="004E5185" w:rsidP="004E5185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  <w:lang w:eastAsia="pl-PL"/>
        </w:rPr>
        <w:lastRenderedPageBreak/>
        <w:t xml:space="preserve">strefy kontrolowanej wyznaczonej po obu stronach gazociągu, </w:t>
      </w:r>
    </w:p>
    <w:p w14:paraId="4BBB2216" w14:textId="77777777" w:rsidR="004E5185" w:rsidRPr="004E5185" w:rsidRDefault="004E5185" w:rsidP="004E5185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  <w:lang w:eastAsia="pl-PL"/>
        </w:rPr>
        <w:t>strefy bezpieczeństwa wyznaczonej po obu stronach rurociągu.</w:t>
      </w:r>
    </w:p>
    <w:p w14:paraId="65179363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Stosownie do art. 61 ust. 3 ustawy z dnia 27 marca 2003 r. o planowaniu i zagospodarowaniu przestrzennym przepisów ust. 1 pkt 1 i 2 nie stosuje się do instalacji odnawialnego źródła energii w rozumieniu art. 2 pkt 13 ustawy z dnia 20 lutego 2015 r. o odnawialnych źródłach energii.</w:t>
      </w:r>
    </w:p>
    <w:p w14:paraId="547E1E4C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Przepis ten przewiduje zwolnienie z obowiązku spełnienia tzw. zasady dobrego sąsiedztwa i dostępu do drogi publicznej m.in. instalacji odnawialnego źródła energii. Zwolnienie to wynika z faktu, że spełnienie takich wymogów w przypadku instalacji odnawialnego źródła energii jest z punktu zachowania ładu przestrzennego zbędne i racjonalnie nieuzasadnione.</w:t>
      </w:r>
    </w:p>
    <w:p w14:paraId="055D2194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Analiza warunków, o których mowa w art. 61 ust. 1 pkt 3 – 5 ustawy z dnia 27 marca 2003 r. o planowaniu i zagospodarowaniu przestrzennym, dokonana w trakcie prowadzonego postępowania potwierdza, że zostały one spełnione, bowiem:</w:t>
      </w:r>
    </w:p>
    <w:p w14:paraId="60DDE7AE" w14:textId="77777777" w:rsidR="004E5185" w:rsidRPr="004E5185" w:rsidRDefault="004E5185" w:rsidP="004E5185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3C0DF1E7" w14:textId="77777777" w:rsidR="004E5185" w:rsidRPr="004E5185" w:rsidRDefault="004E5185" w:rsidP="004E5185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teren nie wymaga uzyskania zgody na zmianę przeznaczenia gruntów rolnych i leśnych na cele nierolnicze i nieleśne, bowiem inwestycja planowana jest na działce, która zgodnie z ewidencją gruntów i budynków prowadzoną przez Starostę Śremskiego stanowi w części grunty orne klasy IVa (0,7124 ha), grunty orne klasy V (1,6780 ha), grunty orne klasy VI (0,7124 ha) oraz łąki trwałe oznaczone symbolem ŁV (0,5810 ha). Ponadto dla działki, która stanowi teren inwestycji została wydana decyzja o warunkach zabudowy;</w:t>
      </w:r>
    </w:p>
    <w:p w14:paraId="7E05EFC6" w14:textId="77777777" w:rsidR="004E5185" w:rsidRPr="004E5185" w:rsidRDefault="004E5185" w:rsidP="004E5185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decyzja jest zgodna z przepisami odrębnymi</w:t>
      </w:r>
      <w:r w:rsidRPr="004E5185">
        <w:rPr>
          <w:rFonts w:cstheme="minorHAnsi"/>
          <w:sz w:val="28"/>
          <w:szCs w:val="28"/>
          <w:lang w:eastAsia="pl-PL"/>
        </w:rPr>
        <w:t>;</w:t>
      </w:r>
    </w:p>
    <w:p w14:paraId="44CC7C5C" w14:textId="77777777" w:rsidR="004E5185" w:rsidRPr="004E5185" w:rsidRDefault="004E5185" w:rsidP="004E5185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cstheme="minorHAnsi"/>
          <w:sz w:val="28"/>
          <w:szCs w:val="28"/>
          <w:lang w:eastAsia="pl-PL"/>
        </w:rPr>
      </w:pPr>
      <w:r w:rsidRPr="004E5185">
        <w:rPr>
          <w:rFonts w:cstheme="minorHAnsi"/>
          <w:sz w:val="28"/>
          <w:szCs w:val="28"/>
          <w:lang w:eastAsia="pl-PL"/>
        </w:rPr>
        <w:t>zamierzenie budowlane nie znajdzie się w obszarze:</w:t>
      </w:r>
    </w:p>
    <w:p w14:paraId="73CBB1F5" w14:textId="77777777" w:rsidR="004E5185" w:rsidRPr="004E5185" w:rsidRDefault="004E5185" w:rsidP="004E5185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cstheme="minorHAnsi"/>
          <w:sz w:val="28"/>
          <w:szCs w:val="28"/>
          <w:lang w:eastAsia="pl-PL"/>
        </w:rPr>
      </w:pPr>
      <w:r w:rsidRPr="004E5185">
        <w:rPr>
          <w:rFonts w:cstheme="minorHAnsi"/>
          <w:sz w:val="28"/>
          <w:szCs w:val="28"/>
          <w:lang w:eastAsia="pl-PL"/>
        </w:rPr>
        <w:t>objętym zakazem wznoszenia i utrzymywania obiektów budowlanych przeznaczonych na pobyt ludzi związanym z lokalizacją sieci przesyłowej,</w:t>
      </w:r>
    </w:p>
    <w:p w14:paraId="6876EA5B" w14:textId="77777777" w:rsidR="004E5185" w:rsidRPr="004E5185" w:rsidRDefault="004E5185" w:rsidP="004E5185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cstheme="minorHAnsi"/>
          <w:sz w:val="28"/>
          <w:szCs w:val="28"/>
          <w:lang w:eastAsia="pl-PL"/>
        </w:rPr>
      </w:pPr>
      <w:r w:rsidRPr="004E5185">
        <w:rPr>
          <w:rFonts w:cstheme="minorHAnsi"/>
          <w:sz w:val="28"/>
          <w:szCs w:val="28"/>
          <w:lang w:eastAsia="pl-PL"/>
        </w:rPr>
        <w:t xml:space="preserve">strefy kontrolowanej wyznaczonej po obu stronach gazociągu, </w:t>
      </w:r>
    </w:p>
    <w:p w14:paraId="350983B2" w14:textId="77777777" w:rsidR="004E5185" w:rsidRPr="004E5185" w:rsidRDefault="004E5185" w:rsidP="004E5185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cstheme="minorHAnsi"/>
          <w:sz w:val="28"/>
          <w:szCs w:val="28"/>
          <w:lang w:eastAsia="pl-PL"/>
        </w:rPr>
      </w:pPr>
      <w:r w:rsidRPr="004E5185">
        <w:rPr>
          <w:rFonts w:cstheme="minorHAnsi"/>
          <w:sz w:val="28"/>
          <w:szCs w:val="28"/>
          <w:lang w:eastAsia="pl-PL"/>
        </w:rPr>
        <w:t>strefy bezpieczeństwa wyznaczonej po obu stronach rurociągu</w:t>
      </w:r>
    </w:p>
    <w:p w14:paraId="490E06F3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Linia zabudowy (linia regulacyjna) w rozumieniu § 1 pkt 1 w zw. z § 4 ust. 1 i 3 rozporządzenia określa nieprzekraczalną granicę terenu potencjalnej inwestycji, znajdującego się po przeciwnej stronie linii zabudowy niż pas drogowy. </w:t>
      </w:r>
    </w:p>
    <w:p w14:paraId="3A2D7676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Jest to zaledwie granica obszaru, ale niekoniecznie linia, do której budynki muszą przylegać. Budynki mogą pozostawać w zróżnicowanej relacji przestrzennej (odległości) do linii zabudowy. Wyznaczenie linii zabudowy powoduje wytyczenie na nieruchomości inwestora obszaru, na którym może odbywać się zabudowa (wyrok WSA w Warszawie z 11.01.2017 r. sygn. akt IV SA/Wa 2123/16).</w:t>
      </w:r>
    </w:p>
    <w:p w14:paraId="7D267311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 orzecznictwie sądów administracyjnych co do zasady dominuje pogląd, że w decyzji o warunkach zabudowy nie określa się dokładnego usytuowania planowanego obiektu na działce inwestycyjnej, </w:t>
      </w:r>
      <w:proofErr w:type="gramStart"/>
      <w:r w:rsidRPr="004E5185">
        <w:rPr>
          <w:rFonts w:cstheme="minorHAnsi"/>
          <w:sz w:val="28"/>
          <w:szCs w:val="28"/>
        </w:rPr>
        <w:t>za wyjątkiem</w:t>
      </w:r>
      <w:proofErr w:type="gramEnd"/>
      <w:r w:rsidRPr="004E5185">
        <w:rPr>
          <w:rFonts w:cstheme="minorHAnsi"/>
          <w:sz w:val="28"/>
          <w:szCs w:val="28"/>
        </w:rPr>
        <w:t xml:space="preserve"> wyznaczenia linii zabudowy – obowiązującej bądź nieprzekraczalnej (wyrok WSA w Poznaniu z 31.01.2019 r. sygn. akt II SA/Po 731/18).</w:t>
      </w:r>
    </w:p>
    <w:p w14:paraId="47194A16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pacing w:val="-4"/>
          <w:sz w:val="28"/>
          <w:szCs w:val="28"/>
        </w:rPr>
        <w:t xml:space="preserve">Dla planowanej inwestycji ustalono nieprzekraczalną linię zabudowy wyznaczoną </w:t>
      </w:r>
      <w:r w:rsidRPr="004E5185">
        <w:rPr>
          <w:rFonts w:cstheme="minorHAnsi"/>
          <w:sz w:val="28"/>
          <w:szCs w:val="28"/>
        </w:rPr>
        <w:t>w odległości 15,0 m od granicy z działkami drogowymi o nr ewid. 52 i 62, obręb Bystrzek (droga gminna) oraz w odległości 20,0 m od granicy z ul. Nadwarciańską (droga powiatowa)</w:t>
      </w:r>
      <w:r w:rsidRPr="004E5185">
        <w:rPr>
          <w:rFonts w:cstheme="minorHAnsi"/>
          <w:spacing w:val="-4"/>
          <w:sz w:val="28"/>
          <w:szCs w:val="28"/>
        </w:rPr>
        <w:t xml:space="preserve">, oznaczoną jako linię ciągłą, z umieszczonymi stycznie niewypełnionymi trójkątami. Stosownie bowiem do § 3 ust. 3 rozporządzenia Ministra Infrastruktury z dnia 26 sierpnia 2003 r. w sprawie oznaczeń i nazewnictwa stosowanych w decyzji o ustaleniu lokalizacji inwestycji celu publicznego oraz w decyzji o warunkach </w:t>
      </w:r>
      <w:r w:rsidRPr="004E5185">
        <w:rPr>
          <w:rFonts w:cstheme="minorHAnsi"/>
          <w:color w:val="000000" w:themeColor="text1"/>
          <w:spacing w:val="-4"/>
          <w:sz w:val="28"/>
          <w:szCs w:val="28"/>
        </w:rPr>
        <w:t>zabudowy (</w:t>
      </w:r>
      <w:r w:rsidRPr="004E5185">
        <w:rPr>
          <w:rFonts w:cstheme="minorHAnsi"/>
          <w:color w:val="000000" w:themeColor="text1"/>
          <w:sz w:val="28"/>
          <w:szCs w:val="28"/>
        </w:rPr>
        <w:t>Dz. U. Nr 164, poz. 1588</w:t>
      </w:r>
      <w:r w:rsidRPr="004E5185">
        <w:rPr>
          <w:rFonts w:cstheme="minorHAnsi"/>
          <w:color w:val="000000" w:themeColor="text1"/>
          <w:spacing w:val="-4"/>
          <w:sz w:val="28"/>
          <w:szCs w:val="28"/>
        </w:rPr>
        <w:t xml:space="preserve">) </w:t>
      </w:r>
      <w:r w:rsidRPr="004E5185">
        <w:rPr>
          <w:rFonts w:cstheme="minorHAnsi"/>
          <w:spacing w:val="-4"/>
          <w:sz w:val="28"/>
          <w:szCs w:val="28"/>
        </w:rPr>
        <w:t xml:space="preserve">„podstawowe jednobarwne oznaczenia graficzne dotyczące granic i linii regulacyjnych, a także elementów zagospodarowania przestrzennego, przeznaczone do stosowania w części graficznej decyzji, o których mowa w ust. 1, stosuje się zgodnie z Polską Normą PN-B-01027 z dnia 11 lipca 2002 r. </w:t>
      </w:r>
      <w:r w:rsidRPr="004E5185">
        <w:rPr>
          <w:rFonts w:cstheme="minorHAnsi"/>
          <w:sz w:val="28"/>
          <w:szCs w:val="28"/>
        </w:rPr>
        <w:t xml:space="preserve">Skoro Norma rozróżnia obowiązującą i nieprzekraczalną linię zabudowy, to nie sposób takich rozróżnień nie stosować przy ustalaniu warunków zabudowy w zakresie obowiązku wyznaczenia linii zabudowy (adekwatnie w miejscowym planie zagospodarowania przestrzennego). </w:t>
      </w:r>
    </w:p>
    <w:p w14:paraId="303C1206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Wyznaczona w niniejszej decyzji linia zabudowy ma charakter nieprzekraczalnej, co oznacza, że określa ona jedynie maksymalny zasięg położenia planowanej </w:t>
      </w:r>
      <w:r w:rsidRPr="004E5185">
        <w:rPr>
          <w:rFonts w:cstheme="minorHAnsi"/>
          <w:color w:val="000000" w:themeColor="text1"/>
          <w:sz w:val="28"/>
          <w:szCs w:val="28"/>
        </w:rPr>
        <w:t>inwestycji</w:t>
      </w:r>
      <w:r w:rsidRPr="004E5185">
        <w:rPr>
          <w:rFonts w:cstheme="minorHAnsi"/>
          <w:sz w:val="28"/>
          <w:szCs w:val="28"/>
        </w:rPr>
        <w:t xml:space="preserve"> względem drogi wewnętrznej</w:t>
      </w:r>
      <w:r w:rsidRPr="004E5185">
        <w:rPr>
          <w:rFonts w:cstheme="minorHAnsi"/>
          <w:color w:val="1F497D" w:themeColor="text2"/>
          <w:sz w:val="28"/>
          <w:szCs w:val="28"/>
        </w:rPr>
        <w:t xml:space="preserve">, </w:t>
      </w:r>
      <w:r w:rsidRPr="004E5185">
        <w:rPr>
          <w:rFonts w:cstheme="minorHAnsi"/>
          <w:sz w:val="28"/>
          <w:szCs w:val="28"/>
        </w:rPr>
        <w:t>nie przesądzając jednak o ostatecznej lokalizacji samego budynku na działce.</w:t>
      </w:r>
    </w:p>
    <w:p w14:paraId="0B8C3677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Planowana inwestycja nie zakłóca zastanego ładu przestrzennego. W analizowanej sprawie nie stwierdzono, aby planowana inwestycja pozostawała w kolizji z przepisami prawa materialnego, w tym istniejącym zagospodarowaniem i funkcją terenów.</w:t>
      </w:r>
    </w:p>
    <w:p w14:paraId="1D12353F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</w:p>
    <w:p w14:paraId="5E916656" w14:textId="77777777" w:rsidR="004E5185" w:rsidRPr="004E5185" w:rsidRDefault="004E5185" w:rsidP="004E5185">
      <w:pPr>
        <w:tabs>
          <w:tab w:val="left" w:pos="993"/>
        </w:tabs>
        <w:ind w:firstLine="567"/>
        <w:rPr>
          <w:rFonts w:cstheme="minorHAnsi"/>
          <w:sz w:val="28"/>
          <w:szCs w:val="28"/>
        </w:rPr>
      </w:pPr>
    </w:p>
    <w:p w14:paraId="0B0FD0C8" w14:textId="77777777" w:rsidR="004E5185" w:rsidRPr="004E5185" w:rsidRDefault="004E5185" w:rsidP="004E5185">
      <w:pPr>
        <w:widowControl w:val="0"/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 xml:space="preserve">Planowane przedsięwzięcie polegające na budowie farmy fotowoltaicznej o mocy do 10 MW i powierzchni zabudowy do 10,5 ha zostało zakwalifikowane do przedsięwzięć mogących potencjalnie znacząco oddziaływać na środowisko, o których mowa w rozporządzeniu Rady Ministrów z dnia 10 września 2019 r. w sprawie przedsięwzięć mogących znacząco oddziaływać na środowisko (Dz. U. z 2019 r. poz. 1839, z 2022 r. poz. 1071). 28.12.2022 r. została wydana decyzja o środowiskowych uwarunkowaniach znak PPSOŚ.6220.24.2021.BM, w której stwierdzono brak potrzeby przeprowadzenia oceny oddziaływania na środowisko oraz określono istotne warunki korzystania ze środowiska w fazie realizacji i eksploatacji lub użytkowania. </w:t>
      </w:r>
    </w:p>
    <w:p w14:paraId="78C92C78" w14:textId="77777777" w:rsidR="004E5185" w:rsidRPr="004E5185" w:rsidRDefault="004E5185" w:rsidP="004E5185">
      <w:pPr>
        <w:widowControl w:val="0"/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Projekt został uzgodniony przez organy, o których mowa w art. 53 ust. 4 pkt 2, pkt 5, pkt 8, pkt 9 ustawy z dnia 27 marca 2003 r. o planowaniu i zagospodarowaniu przestrzennym, a mianowicie przez:</w:t>
      </w:r>
    </w:p>
    <w:p w14:paraId="58BBF10D" w14:textId="77777777" w:rsidR="004E5185" w:rsidRPr="004E5185" w:rsidRDefault="004E5185" w:rsidP="004E5185">
      <w:pPr>
        <w:pStyle w:val="Akapitzlist"/>
        <w:widowControl w:val="0"/>
        <w:numPr>
          <w:ilvl w:val="0"/>
          <w:numId w:val="24"/>
        </w:numPr>
        <w:autoSpaceDE w:val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Wielkopolskiego Wojewódzkiego Konserwatora Zabytków w Poznaniu,</w:t>
      </w:r>
    </w:p>
    <w:p w14:paraId="3D1B6A7F" w14:textId="77777777" w:rsidR="004E5185" w:rsidRPr="004E5185" w:rsidRDefault="004E5185" w:rsidP="004E5185">
      <w:pPr>
        <w:pStyle w:val="Akapitzlist"/>
        <w:widowControl w:val="0"/>
        <w:numPr>
          <w:ilvl w:val="0"/>
          <w:numId w:val="24"/>
        </w:numPr>
        <w:autoSpaceDE w:val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Marszałka Województwa Wielkopolskiego,</w:t>
      </w:r>
    </w:p>
    <w:p w14:paraId="5FD15DC1" w14:textId="77777777" w:rsidR="004E5185" w:rsidRPr="004E5185" w:rsidRDefault="004E5185" w:rsidP="004E5185">
      <w:pPr>
        <w:pStyle w:val="Akapitzlist"/>
        <w:widowControl w:val="0"/>
        <w:numPr>
          <w:ilvl w:val="0"/>
          <w:numId w:val="24"/>
        </w:numPr>
        <w:autoSpaceDE w:val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Dyrektora Powiatowego Zarządu Dróg w Śremie;</w:t>
      </w:r>
    </w:p>
    <w:p w14:paraId="7E06AA39" w14:textId="77777777" w:rsidR="004E5185" w:rsidRPr="004E5185" w:rsidRDefault="004E5185" w:rsidP="004E5185">
      <w:pPr>
        <w:widowControl w:val="0"/>
        <w:autoSpaceDE w:val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oraz Wielkopolskiego Państwowego Inspektora Sanitarnego na podstawie art. 3 pkt 1a ustawy z dnia 14 marca 1985 r. o Państwowej Inspekcji Sanitarnej (Dz. U. z 2021 r. poz. 195).</w:t>
      </w:r>
    </w:p>
    <w:p w14:paraId="60BD493C" w14:textId="77777777" w:rsidR="004E5185" w:rsidRPr="004E5185" w:rsidRDefault="004E5185" w:rsidP="004E5185">
      <w:pPr>
        <w:widowControl w:val="0"/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Projekt decyzji uzyskał stanowisko zarządcy drogi gminnej – działki o nr ewid. 52 i 62, obręb Bystrzek, którym jest Burmistrz Śremu.</w:t>
      </w:r>
    </w:p>
    <w:p w14:paraId="58AF7ECD" w14:textId="77777777" w:rsidR="004E5185" w:rsidRPr="004E5185" w:rsidRDefault="004E5185" w:rsidP="004E5185">
      <w:pPr>
        <w:widowControl w:val="0"/>
        <w:autoSpaceDE w:val="0"/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Projekt decyzji nie wymagał zaopiniowania przez operatorów, o których mowa w art. 53 ust. 5e przywołanej ustawy.</w:t>
      </w:r>
    </w:p>
    <w:p w14:paraId="5FA06FEA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Niniejsza decyzja wymagała wcześniejszego uzyskania decyzji wymaganych przepisami odrębnymi.</w:t>
      </w:r>
    </w:p>
    <w:p w14:paraId="28F23E00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 sprawach o ustalenie warunków zabudowy materialnoprawną podstawą rozstrzygnięć są przepisy zawarte w ustawie z dnia 27 marca 2003 roku o planowaniu i zagospodarowaniu przestrzennym. W związku z tym, że powołana ustawa nie zawiera regulacji określającej zakres podmiotowy postępowania w sprawach o ustalenie warunków zabudowy, krąg stron tego postępowania ustala się w oparciu o treść art. 28 ustawy z dnia 14 czerwca 1960 r. – Kodeks postępowania administracyjnego.</w:t>
      </w:r>
    </w:p>
    <w:p w14:paraId="70413F3E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</w:p>
    <w:p w14:paraId="1224250A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</w:p>
    <w:p w14:paraId="0FAD9952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Zatem, oprócz Wnioskodawcy, stronami postępowania w sprawie warunków zabudowy są tylko te podmioty, które mają interes prawny, tj. interes znajdujący oparcie w normie obowiązującego prawa, a więc stronami postępowania w przedmiotowej sprawie jest Wnioskodawca oraz właściciel działki, która stanowi teren inwestycji (działka o nr ewid. 61, obręb Bystrzek).</w:t>
      </w:r>
    </w:p>
    <w:p w14:paraId="11DFAA78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Status strony w postępowaniu o ustalenie warunków zabudowy może być również determinowany oddziaływaniem planowanej inwestycji, oddziaływanie to jednak musi mieć charakter uciążliwy. </w:t>
      </w:r>
    </w:p>
    <w:p w14:paraId="4C9B829A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 toku prowadzonego postępowania wyjaśniającego Burmistrz Śremu przeprowadził analizę stanu prawnego i faktycznego terenu, w celu ustalenia czy planowane zamierzenie inwestycyjne nie będzie negatywnie oddziaływać na nieruchomości sąsiednie i uznał, że oddziaływanie to nie wystąpi.</w:t>
      </w:r>
    </w:p>
    <w:p w14:paraId="04EE32F4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Reasumując, wnioskowany teren oraz rodzaj inwestycji, przy spełnieniu ustaleń niniejszej decyzji, spełnia wymagania ustawy z dnia 27 marca 2003 r. o planowaniu i zagospodarowaniu przestrzennym.</w:t>
      </w:r>
    </w:p>
    <w:p w14:paraId="4125686C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W związku z powyższym orzeczono jak w sentencji.</w:t>
      </w:r>
    </w:p>
    <w:p w14:paraId="5323D066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Pouczenie</w:t>
      </w:r>
    </w:p>
    <w:p w14:paraId="1FFEB8BE" w14:textId="77777777" w:rsidR="004E5185" w:rsidRPr="004E5185" w:rsidRDefault="004E5185" w:rsidP="004E5185">
      <w:pPr>
        <w:ind w:firstLine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Od niniejszej decyzji służy stronom prawo wniesienia odwołania do Samorządowego Kolegium Odwoławczego w Poznaniu, za moim pośrednictwem, w terminie 14 dni od dnia doręczenia.</w:t>
      </w:r>
    </w:p>
    <w:p w14:paraId="0A0202C8" w14:textId="77777777" w:rsidR="004E5185" w:rsidRPr="004E5185" w:rsidRDefault="004E5185" w:rsidP="004E5185">
      <w:pPr>
        <w:ind w:firstLine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 trakcie biegu terminu do wniesienia odwołania strona może, na podstawie art. 127a § 1 ustawy z dnia 14 czerwca 1960 r. – Kodeks postępowania administracyjnego, zrzec się prawa do wniesienia odwołania wobec organu administracji publicznej, który wydał decyzję. </w:t>
      </w:r>
    </w:p>
    <w:p w14:paraId="0A315726" w14:textId="77777777" w:rsidR="004E5185" w:rsidRPr="004E5185" w:rsidRDefault="004E5185" w:rsidP="004E5185">
      <w:pPr>
        <w:ind w:firstLine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1E911E4" w14:textId="77777777" w:rsidR="004E5185" w:rsidRPr="004E5185" w:rsidRDefault="004E5185" w:rsidP="004E5185">
      <w:pPr>
        <w:ind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 xml:space="preserve"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</w:t>
      </w:r>
      <w:r w:rsidRPr="004E5185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05601D71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</w:p>
    <w:p w14:paraId="535621B6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</w:p>
    <w:p w14:paraId="2A581CA8" w14:textId="77777777" w:rsidR="004E5185" w:rsidRPr="004E5185" w:rsidRDefault="004E5185" w:rsidP="004E5185">
      <w:pPr>
        <w:jc w:val="center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>Informacja</w:t>
      </w:r>
    </w:p>
    <w:p w14:paraId="11503532" w14:textId="77777777" w:rsidR="004E5185" w:rsidRPr="004E5185" w:rsidRDefault="004E5185" w:rsidP="004E5185">
      <w:pPr>
        <w:ind w:firstLine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Stosownie do art. 63 pkt 2 ustawy z dnia 27 marca 2003 r. o planowaniu i zagospodarowaniu przestrzennym decyzja o warunkach zabudowy nie rodzi praw do terenu oraz nie narusza prawa własności i uprawnień osób trzecich.</w:t>
      </w:r>
    </w:p>
    <w:p w14:paraId="4D1582AD" w14:textId="77777777" w:rsidR="004E5185" w:rsidRPr="004E5185" w:rsidRDefault="004E5185" w:rsidP="004E5185">
      <w:pPr>
        <w:ind w:firstLine="426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Stosownie do art. 65 przywołanej ustawy w drodze decyzji, stwierdza się wygaśnięcie decyzji o warunkach zabudowy albo decyzji o lokalizacji inwestycji celu publicznego, jeżeli:</w:t>
      </w:r>
    </w:p>
    <w:p w14:paraId="4D42F393" w14:textId="77777777" w:rsidR="004E5185" w:rsidRPr="004E5185" w:rsidRDefault="004E5185" w:rsidP="004E5185">
      <w:pPr>
        <w:widowControl w:val="0"/>
        <w:numPr>
          <w:ilvl w:val="1"/>
          <w:numId w:val="20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inny wnioskodawca uzyskał pozwolenie na budowę;</w:t>
      </w:r>
    </w:p>
    <w:p w14:paraId="1C87283E" w14:textId="77777777" w:rsidR="004E5185" w:rsidRPr="004E5185" w:rsidRDefault="004E5185" w:rsidP="004E5185">
      <w:pPr>
        <w:widowControl w:val="0"/>
        <w:numPr>
          <w:ilvl w:val="1"/>
          <w:numId w:val="20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081FA433" w14:textId="77777777" w:rsidR="004E5185" w:rsidRPr="004E5185" w:rsidRDefault="004E5185" w:rsidP="004E5185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cstheme="minorHAnsi"/>
          <w:sz w:val="28"/>
          <w:szCs w:val="28"/>
        </w:rPr>
      </w:pPr>
    </w:p>
    <w:p w14:paraId="765C7390" w14:textId="77777777" w:rsidR="00FC5BFB" w:rsidRPr="008B7087" w:rsidRDefault="00FC5BFB" w:rsidP="00FC5BFB">
      <w:pPr>
        <w:pStyle w:val="Bezodstpw"/>
        <w:ind w:firstLine="4820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(-) z up. BURMISTRZA</w:t>
      </w:r>
    </w:p>
    <w:p w14:paraId="53CA58F7" w14:textId="77777777" w:rsidR="00FC5BFB" w:rsidRPr="008B7087" w:rsidRDefault="00FC5BFB" w:rsidP="00FC5BFB">
      <w:pPr>
        <w:pStyle w:val="Bezodstpw"/>
        <w:ind w:firstLine="4678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Katarzyna Bednarowicz</w:t>
      </w:r>
    </w:p>
    <w:p w14:paraId="14C3ED1A" w14:textId="77777777" w:rsidR="00FC5BFB" w:rsidRPr="008B7087" w:rsidRDefault="00FC5BFB" w:rsidP="00FC5BFB">
      <w:pPr>
        <w:pStyle w:val="Bezodstpw"/>
        <w:ind w:firstLine="4253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naczelnik Pionu Gospodarowania</w:t>
      </w:r>
    </w:p>
    <w:p w14:paraId="3B6BAB1A" w14:textId="77777777" w:rsidR="00FC5BFB" w:rsidRPr="008B7087" w:rsidRDefault="00FC5BFB" w:rsidP="00FC5BFB">
      <w:pPr>
        <w:pStyle w:val="Bezodstpw"/>
        <w:ind w:firstLine="4536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Przestrzenią i Środowiskiem</w:t>
      </w:r>
    </w:p>
    <w:p w14:paraId="2C8FE82D" w14:textId="77777777" w:rsidR="00FC5BFB" w:rsidRDefault="00FC5BFB" w:rsidP="00FC5BFB">
      <w:pPr>
        <w:pStyle w:val="Bezodstpw"/>
        <w:ind w:firstLine="3828"/>
        <w:rPr>
          <w:rFonts w:asciiTheme="minorHAnsi" w:hAnsiTheme="minorHAnsi" w:cstheme="minorHAnsi"/>
          <w:iCs/>
          <w:szCs w:val="28"/>
        </w:rPr>
      </w:pPr>
      <w:r>
        <w:rPr>
          <w:rFonts w:asciiTheme="minorHAnsi" w:hAnsiTheme="minorHAnsi" w:cstheme="minorHAnsi"/>
          <w:iCs/>
          <w:szCs w:val="28"/>
        </w:rPr>
        <w:t>/</w:t>
      </w:r>
      <w:r w:rsidRPr="008B7087">
        <w:rPr>
          <w:rFonts w:asciiTheme="minorHAnsi" w:hAnsiTheme="minorHAnsi" w:cstheme="minorHAnsi"/>
          <w:iCs/>
          <w:szCs w:val="28"/>
        </w:rPr>
        <w:t>dokument podpisany elektronicznie</w:t>
      </w:r>
      <w:r>
        <w:rPr>
          <w:rFonts w:asciiTheme="minorHAnsi" w:hAnsiTheme="minorHAnsi" w:cstheme="minorHAnsi"/>
          <w:iCs/>
          <w:szCs w:val="28"/>
        </w:rPr>
        <w:t>/</w:t>
      </w:r>
    </w:p>
    <w:p w14:paraId="429D1B51" w14:textId="77777777" w:rsidR="004E5185" w:rsidRPr="004E5185" w:rsidRDefault="004E5185" w:rsidP="004E5185">
      <w:pPr>
        <w:widowControl w:val="0"/>
        <w:tabs>
          <w:tab w:val="left" w:pos="993"/>
        </w:tabs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14:paraId="202DBE68" w14:textId="77777777" w:rsidR="004E5185" w:rsidRPr="004E5185" w:rsidRDefault="004E5185" w:rsidP="004E5185">
      <w:pPr>
        <w:widowControl w:val="0"/>
        <w:autoSpaceDE w:val="0"/>
        <w:autoSpaceDN w:val="0"/>
        <w:adjustRightInd w:val="0"/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Załączniki:</w:t>
      </w:r>
    </w:p>
    <w:p w14:paraId="15EE564E" w14:textId="77777777" w:rsidR="004E5185" w:rsidRPr="004E5185" w:rsidRDefault="004E5185" w:rsidP="004E5185">
      <w:pPr>
        <w:numPr>
          <w:ilvl w:val="0"/>
          <w:numId w:val="21"/>
        </w:numPr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załącznik nr 1 – część graficzna decyzji,</w:t>
      </w:r>
    </w:p>
    <w:p w14:paraId="73719C7D" w14:textId="77777777" w:rsidR="004E5185" w:rsidRPr="004E5185" w:rsidRDefault="004E5185" w:rsidP="004E5185">
      <w:pPr>
        <w:numPr>
          <w:ilvl w:val="0"/>
          <w:numId w:val="21"/>
        </w:numPr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załącznik nr 2 – część tekstowa wyników analizy funkcji oraz cech zabudowy i zagospodarowania terenu.</w:t>
      </w:r>
    </w:p>
    <w:p w14:paraId="688D636A" w14:textId="77777777" w:rsidR="004E5185" w:rsidRPr="004E5185" w:rsidRDefault="004E5185" w:rsidP="004E5185">
      <w:pPr>
        <w:spacing w:after="0"/>
        <w:rPr>
          <w:rFonts w:cstheme="minorHAnsi"/>
          <w:sz w:val="28"/>
          <w:szCs w:val="28"/>
        </w:rPr>
      </w:pPr>
    </w:p>
    <w:p w14:paraId="132BCB07" w14:textId="77777777" w:rsidR="004E5185" w:rsidRPr="004E5185" w:rsidRDefault="004E5185" w:rsidP="004E5185">
      <w:pPr>
        <w:spacing w:after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Sprawę prowadzi:</w:t>
      </w:r>
    </w:p>
    <w:p w14:paraId="12188624" w14:textId="77777777" w:rsidR="004E5185" w:rsidRPr="004E5185" w:rsidRDefault="004E5185" w:rsidP="004E5185">
      <w:pPr>
        <w:spacing w:after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Mikołaj Gaszek</w:t>
      </w:r>
    </w:p>
    <w:p w14:paraId="51DEC834" w14:textId="77777777" w:rsidR="004E5185" w:rsidRPr="004E5185" w:rsidRDefault="004E5185" w:rsidP="004E5185">
      <w:pPr>
        <w:spacing w:after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podinspektor</w:t>
      </w:r>
    </w:p>
    <w:p w14:paraId="6AB34469" w14:textId="77777777" w:rsidR="004E5185" w:rsidRPr="004E5185" w:rsidRDefault="004E5185" w:rsidP="004E5185">
      <w:pPr>
        <w:spacing w:after="0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tel. 61 28 47 190</w:t>
      </w:r>
    </w:p>
    <w:p w14:paraId="7A5461F5" w14:textId="77777777" w:rsidR="004E5185" w:rsidRPr="004E5185" w:rsidRDefault="004E5185" w:rsidP="004E5185">
      <w:pPr>
        <w:rPr>
          <w:rFonts w:cstheme="minorHAnsi"/>
          <w:sz w:val="28"/>
          <w:szCs w:val="28"/>
        </w:rPr>
      </w:pPr>
    </w:p>
    <w:p w14:paraId="123EF0D6" w14:textId="77777777" w:rsidR="004E5185" w:rsidRPr="004E5185" w:rsidRDefault="004E5185" w:rsidP="004E5185">
      <w:pPr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Otrzymują:</w:t>
      </w:r>
    </w:p>
    <w:p w14:paraId="13AA0CE6" w14:textId="77777777" w:rsidR="004E5185" w:rsidRPr="004E5185" w:rsidRDefault="004E5185" w:rsidP="004E5185">
      <w:pPr>
        <w:ind w:firstLine="284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Strony postępowania:</w:t>
      </w:r>
    </w:p>
    <w:p w14:paraId="7DBD8E25" w14:textId="031FD62B" w:rsidR="004E5185" w:rsidRPr="004E5185" w:rsidRDefault="004E5185" w:rsidP="004E5185">
      <w:pPr>
        <w:pStyle w:val="Akapitzlist"/>
        <w:numPr>
          <w:ilvl w:val="0"/>
          <w:numId w:val="27"/>
        </w:numPr>
        <w:jc w:val="left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  <w:lang w:val="en-US"/>
        </w:rPr>
        <w:t>Green Capital S.A.</w:t>
      </w:r>
      <w:r w:rsidRPr="004E5185">
        <w:rPr>
          <w:rFonts w:cstheme="minorHAnsi"/>
          <w:sz w:val="28"/>
          <w:szCs w:val="28"/>
          <w:lang w:val="en-US"/>
        </w:rPr>
        <w:br/>
        <w:t xml:space="preserve">ul. </w:t>
      </w:r>
      <w:r w:rsidRPr="004E5185">
        <w:rPr>
          <w:rFonts w:cstheme="minorHAnsi"/>
          <w:sz w:val="28"/>
          <w:szCs w:val="28"/>
        </w:rPr>
        <w:t>Słowackiego 59, 87-700 Aleksandrów Kujawski</w:t>
      </w:r>
      <w:r w:rsidRPr="004E5185">
        <w:rPr>
          <w:rFonts w:cstheme="minorHAnsi"/>
          <w:sz w:val="28"/>
          <w:szCs w:val="28"/>
        </w:rPr>
        <w:br/>
        <w:t>Pełnomocnik: Pani Sylwia Kupc</w:t>
      </w:r>
    </w:p>
    <w:p w14:paraId="6C03234A" w14:textId="77777777" w:rsidR="004E5185" w:rsidRPr="004E5185" w:rsidRDefault="004E5185" w:rsidP="004E5185">
      <w:pPr>
        <w:pStyle w:val="Akapitzlist"/>
        <w:numPr>
          <w:ilvl w:val="0"/>
          <w:numId w:val="27"/>
        </w:numPr>
        <w:jc w:val="left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Pozostałe strony postępowania według rozdzielnika</w:t>
      </w:r>
    </w:p>
    <w:p w14:paraId="0AF5B0B8" w14:textId="1E252852" w:rsidR="00FC5BFB" w:rsidRPr="004E5185" w:rsidRDefault="00FC5BFB" w:rsidP="00FC5BFB">
      <w:pPr>
        <w:ind w:left="360"/>
        <w:jc w:val="left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A</w:t>
      </w:r>
      <w:r w:rsidR="004E5185" w:rsidRPr="004E5185">
        <w:rPr>
          <w:rFonts w:cstheme="minorHAnsi"/>
          <w:sz w:val="28"/>
          <w:szCs w:val="28"/>
        </w:rPr>
        <w:t>a</w:t>
      </w:r>
    </w:p>
    <w:p w14:paraId="125CFA0C" w14:textId="77777777" w:rsidR="004E5185" w:rsidRPr="004E5185" w:rsidRDefault="004E5185" w:rsidP="004E5185">
      <w:pPr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lastRenderedPageBreak/>
        <w:t xml:space="preserve">Uiszczono opłaty skarbowy w kwocie: 598,00 zł i 17,00 zł </w:t>
      </w:r>
    </w:p>
    <w:p w14:paraId="13F1659F" w14:textId="77777777" w:rsidR="004E5185" w:rsidRPr="004E5185" w:rsidRDefault="004E5185" w:rsidP="004E5185">
      <w:pPr>
        <w:tabs>
          <w:tab w:val="right" w:pos="8788"/>
        </w:tabs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Data wpłaty: 24.02.2022 r.</w:t>
      </w:r>
      <w:r w:rsidRPr="004E5185">
        <w:rPr>
          <w:rFonts w:cstheme="minorHAnsi"/>
          <w:sz w:val="28"/>
          <w:szCs w:val="28"/>
        </w:rPr>
        <w:tab/>
      </w:r>
    </w:p>
    <w:p w14:paraId="2ED42E46" w14:textId="77777777" w:rsidR="004E5185" w:rsidRPr="004E5185" w:rsidRDefault="004E5185" w:rsidP="004E5185">
      <w:pPr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Nr rachunku bankowego Urzędu Miejskiego w Śremie:</w:t>
      </w:r>
    </w:p>
    <w:p w14:paraId="1CFFFF09" w14:textId="77777777" w:rsidR="004E5185" w:rsidRPr="004E5185" w:rsidRDefault="004E5185" w:rsidP="004E5185">
      <w:pPr>
        <w:ind w:right="-1"/>
        <w:rPr>
          <w:rFonts w:cstheme="minorHAnsi"/>
          <w:sz w:val="28"/>
          <w:szCs w:val="28"/>
        </w:rPr>
      </w:pPr>
      <w:r w:rsidRPr="004E5185">
        <w:rPr>
          <w:rFonts w:cstheme="minorHAnsi"/>
          <w:sz w:val="28"/>
          <w:szCs w:val="28"/>
        </w:rPr>
        <w:t>57 9084 0003 2102 0013 0521 0013</w:t>
      </w:r>
    </w:p>
    <w:p w14:paraId="28BD9AD1" w14:textId="77777777" w:rsidR="009304F4" w:rsidRPr="004E5185" w:rsidRDefault="009304F4">
      <w:pPr>
        <w:spacing w:after="200" w:line="276" w:lineRule="auto"/>
        <w:jc w:val="left"/>
        <w:rPr>
          <w:rFonts w:cstheme="minorHAnsi"/>
          <w:sz w:val="28"/>
          <w:szCs w:val="28"/>
        </w:rPr>
        <w:sectPr w:rsidR="009304F4" w:rsidRPr="004E5185" w:rsidSect="00C61B4D">
          <w:headerReference w:type="first" r:id="rId14"/>
          <w:footerReference w:type="first" r:id="rId15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  <w:r w:rsidRPr="004E5185">
        <w:rPr>
          <w:rFonts w:cstheme="minorHAnsi"/>
          <w:sz w:val="28"/>
          <w:szCs w:val="28"/>
        </w:rPr>
        <w:br w:type="page"/>
      </w:r>
    </w:p>
    <w:p w14:paraId="13653E7C" w14:textId="03E8387B" w:rsidR="00025C84" w:rsidRDefault="00FC5BFB" w:rsidP="00025C84">
      <w:pPr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object w:dxaOrig="17880" w:dyaOrig="25275" w14:anchorId="6C0408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36.75pt" o:ole="">
            <v:imagedata r:id="rId16" o:title=""/>
          </v:shape>
          <o:OLEObject Type="Embed" ProgID="Acrobat.Document.DC" ShapeID="_x0000_i1025" DrawAspect="Content" ObjectID="_1715770612" r:id="rId17"/>
        </w:object>
      </w:r>
    </w:p>
    <w:p w14:paraId="34B58643" w14:textId="7ECB8A0A" w:rsidR="004E5185" w:rsidRPr="004E5185" w:rsidRDefault="004E5185" w:rsidP="004E5185">
      <w:pPr>
        <w:tabs>
          <w:tab w:val="center" w:pos="6859"/>
        </w:tabs>
        <w:rPr>
          <w:rFonts w:ascii="Calibri" w:hAnsi="Calibri" w:cs="Calibri"/>
          <w:sz w:val="28"/>
          <w:szCs w:val="28"/>
        </w:rPr>
        <w:sectPr w:rsidR="004E5185" w:rsidRPr="004E5185" w:rsidSect="004E5185"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60DC97B4" w14:textId="3815BAF0" w:rsidR="00025C84" w:rsidRPr="00025C84" w:rsidRDefault="00025C84" w:rsidP="00025C84">
      <w:pPr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lastRenderedPageBreak/>
        <w:t>PPSPP.6730.3</w:t>
      </w:r>
      <w:r w:rsidR="00527C36">
        <w:rPr>
          <w:rFonts w:cstheme="minorHAnsi"/>
          <w:sz w:val="28"/>
          <w:szCs w:val="28"/>
        </w:rPr>
        <w:t>5</w:t>
      </w:r>
      <w:r w:rsidRPr="00025C84">
        <w:rPr>
          <w:rFonts w:cstheme="minorHAnsi"/>
          <w:sz w:val="28"/>
          <w:szCs w:val="28"/>
        </w:rPr>
        <w:t>.2022.GMI</w:t>
      </w:r>
    </w:p>
    <w:p w14:paraId="09B4C084" w14:textId="77777777" w:rsidR="00025C84" w:rsidRPr="00025C84" w:rsidRDefault="00025C84" w:rsidP="00025C84">
      <w:pPr>
        <w:rPr>
          <w:rFonts w:cstheme="minorHAnsi"/>
          <w:sz w:val="28"/>
          <w:szCs w:val="28"/>
        </w:rPr>
      </w:pPr>
    </w:p>
    <w:p w14:paraId="764A3F8C" w14:textId="77777777" w:rsidR="00025C84" w:rsidRPr="00025C84" w:rsidRDefault="00025C84" w:rsidP="00025C84">
      <w:pPr>
        <w:jc w:val="center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 xml:space="preserve">Wyniki analizy funkcji oraz cech zabudowy i zagospodarowania terenu w zakresie warunków, </w:t>
      </w:r>
    </w:p>
    <w:p w14:paraId="1974D586" w14:textId="77777777" w:rsidR="00025C84" w:rsidRPr="00025C84" w:rsidRDefault="00025C84" w:rsidP="00025C84">
      <w:pPr>
        <w:jc w:val="center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>o których mowa w art. 61 ust. 1 – 5 ustawy z dnia 27 marca 2003 r. o planowaniu i zagospodarowaniu przestrzennym</w:t>
      </w:r>
    </w:p>
    <w:p w14:paraId="32302C4E" w14:textId="77777777" w:rsidR="00025C84" w:rsidRPr="00025C84" w:rsidRDefault="00025C84" w:rsidP="00025C84">
      <w:pPr>
        <w:rPr>
          <w:rFonts w:cstheme="minorHAnsi"/>
          <w:sz w:val="28"/>
          <w:szCs w:val="28"/>
        </w:rPr>
      </w:pPr>
    </w:p>
    <w:p w14:paraId="7D206FC5" w14:textId="77777777" w:rsidR="00025C84" w:rsidRPr="00025C84" w:rsidRDefault="00025C84" w:rsidP="00025C84">
      <w:pPr>
        <w:ind w:firstLine="567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>Spełnienie warunków dopuszczających wydanie decyzji o warunkach zabudowy, których mowa w art. 61 ust. 1 ustawy z dnia 27 marca 2003 r. o planowaniu i zagospodarowaniu przestrzennym przedstawiono w poniższej tabeli.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05"/>
        <w:gridCol w:w="6136"/>
        <w:gridCol w:w="1828"/>
      </w:tblGrid>
      <w:tr w:rsidR="00025C84" w:rsidRPr="00025C84" w14:paraId="099B35BA" w14:textId="77777777" w:rsidTr="00D1332B"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06CC4B0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Punkt i treść warunku, o którym mowa w art. 61 ust. 1</w:t>
            </w: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71F9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Spełnienie warunku</w:t>
            </w:r>
          </w:p>
        </w:tc>
      </w:tr>
      <w:tr w:rsidR="00025C84" w:rsidRPr="00025C84" w14:paraId="0F9A5D00" w14:textId="77777777" w:rsidTr="00D133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2268D300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1</w:t>
            </w:r>
          </w:p>
        </w:tc>
        <w:tc>
          <w:tcPr>
            <w:tcW w:w="6237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2A7363D8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co najmniej jedna działka sąsiednia, dostępna z tej samej drogi publicznej, jest zabudowana w sposób pozwalający na określenie wymagań dotyczących nowej zabudowy w zakresie kontynuacji funkcji, parametrów, cech i wskaźników kształtowania zabudowy oraz zagospodarowania terenu, w tym gabarytów i formy architektonicznej obiektów budowlanych, linii zabudowy oraz intensywności wykorzystania terenu</w:t>
            </w: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7CA1BD4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  <w:tr w:rsidR="00025C84" w:rsidRPr="00025C84" w14:paraId="5D1DD177" w14:textId="77777777" w:rsidTr="00D1332B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2FEE7954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2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6AB16B6C" w14:textId="77777777" w:rsidR="00025C84" w:rsidRPr="00025C84" w:rsidRDefault="00025C84" w:rsidP="00D1332B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bookmarkStart w:id="0" w:name="mip44711609"/>
            <w:bookmarkEnd w:id="0"/>
            <w:r w:rsidRPr="00025C84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teren ma dostęp do drogi publicznej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372FB42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  <w:tr w:rsidR="00025C84" w:rsidRPr="00025C84" w14:paraId="5757AAA4" w14:textId="77777777" w:rsidTr="00D1332B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5BF9AECD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3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14B3CFE2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istniejące lub projektowane uzbrojenie terenu jest wystarczające dla zamierzenia budowlanego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13AC9AC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025C84" w:rsidRPr="00025C84" w14:paraId="24E267A9" w14:textId="77777777" w:rsidTr="00D1332B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593A49A4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4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2C280048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teren nie wymaga</w:t>
            </w:r>
            <w:r w:rsidRPr="00025C84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uzyskania zgody na zmianę przeznaczenia gruntów rolnych i leśnych na cele nierolnicze i nieleśne albo jest objęty zgodą uzyskaną przy sporządzaniu miejscowych planów, które utraciły moc na podstawie art. 67 ustawy, o której mowa w art. 88 ust. 1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59F8C9F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</w:tc>
      </w:tr>
      <w:tr w:rsidR="00025C84" w:rsidRPr="00025C84" w14:paraId="18468146" w14:textId="77777777" w:rsidTr="00D1332B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1CAF8534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5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1495E852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decyzja jest zgodna z przepisami odrębnymi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5FE4FC1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</w:tc>
      </w:tr>
      <w:tr w:rsidR="00025C84" w:rsidRPr="00025C84" w14:paraId="24C49BDD" w14:textId="77777777" w:rsidTr="00D1332B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3DA0BF5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pkt 6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F099251" w14:textId="77777777" w:rsidR="00025C84" w:rsidRPr="00025C84" w:rsidRDefault="00025C84" w:rsidP="00D1332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 xml:space="preserve">zamierzenie budowlane nie znajdzie się w obszarze: objętym zakazem wznoszenia i utrzymywania obiektów budowlanych przeznaczonych na pobyt ludzi związanym z lokalizacją sieci przesyłowej / strefy kontrolowanej wyznaczonej po obu stronach gazociągu </w:t>
            </w:r>
            <w:proofErr w:type="gramStart"/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/  strefy</w:t>
            </w:r>
            <w:proofErr w:type="gramEnd"/>
            <w:r w:rsidRPr="00025C84">
              <w:rPr>
                <w:rFonts w:asciiTheme="minorHAnsi" w:hAnsiTheme="minorHAnsi" w:cstheme="minorHAnsi"/>
                <w:sz w:val="24"/>
                <w:szCs w:val="24"/>
              </w:rPr>
              <w:t xml:space="preserve"> bezpieczeństwa wyznaczonej po obu stronach rurociągu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FEDF" w14:textId="77777777" w:rsidR="00025C84" w:rsidRPr="00025C84" w:rsidRDefault="00025C84" w:rsidP="00D1332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25C84"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</w:tbl>
    <w:p w14:paraId="34958812" w14:textId="77777777" w:rsidR="00025C84" w:rsidRPr="00025C84" w:rsidRDefault="00025C84" w:rsidP="00025C84">
      <w:pPr>
        <w:rPr>
          <w:rFonts w:cstheme="minorHAnsi"/>
          <w:szCs w:val="28"/>
        </w:rPr>
      </w:pPr>
    </w:p>
    <w:p w14:paraId="71C428F5" w14:textId="77777777" w:rsidR="00025C84" w:rsidRPr="00025C84" w:rsidRDefault="00025C84" w:rsidP="00025C84">
      <w:pPr>
        <w:ind w:firstLine="708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>Planowana inwestycja jest instalacją odnawialnego źródła energii.</w:t>
      </w:r>
    </w:p>
    <w:p w14:paraId="0D6433AC" w14:textId="77777777" w:rsidR="00025C84" w:rsidRPr="00025C84" w:rsidRDefault="00025C84" w:rsidP="00025C84">
      <w:pPr>
        <w:ind w:firstLine="708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>Zgodnie z art. 61 ust. 3 ustawy z dnia 27 marca 2003 r. o planowaniu i zagospodarowaniu przestrzennym przepisów ust. 1 pkt 1 i 2 nie stosuje się do instalacji odnawialnego źródła energii w rozumieniu art. 2 pkt 13 ustawy z dnia 20 lutego 2015 r. o odnawialnych źródłach energii.</w:t>
      </w:r>
    </w:p>
    <w:p w14:paraId="6F04605D" w14:textId="43DF90C3" w:rsidR="00C61B4D" w:rsidRPr="00025C84" w:rsidRDefault="00025C84" w:rsidP="00025C84">
      <w:pPr>
        <w:ind w:firstLine="708"/>
        <w:rPr>
          <w:rFonts w:cstheme="minorHAnsi"/>
          <w:sz w:val="28"/>
          <w:szCs w:val="28"/>
        </w:rPr>
      </w:pPr>
      <w:r w:rsidRPr="00025C84">
        <w:rPr>
          <w:rFonts w:cstheme="minorHAnsi"/>
          <w:sz w:val="28"/>
          <w:szCs w:val="28"/>
        </w:rPr>
        <w:t>Podsumowując, planowana inwestycja spełnia łącznie wszystkie pozostałe warunki określone w art. 61 ust. 1 pkt 3 – 6 ustawy z dnia 27 marca 2003 r. o planowaniu i zagospodarowaniu przestrzennym, tak więc wydanie decyzji o warunkach zabudowy jest możliwe.</w:t>
      </w:r>
    </w:p>
    <w:sectPr w:rsidR="00C61B4D" w:rsidRPr="00025C84" w:rsidSect="00025C84"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5F6BD" w14:textId="77777777" w:rsidR="006645D6" w:rsidRDefault="006645D6" w:rsidP="00053E5A">
      <w:pPr>
        <w:spacing w:after="0"/>
      </w:pPr>
      <w:r>
        <w:separator/>
      </w:r>
    </w:p>
  </w:endnote>
  <w:endnote w:type="continuationSeparator" w:id="0">
    <w:p w14:paraId="7E64065D" w14:textId="77777777" w:rsidR="006645D6" w:rsidRDefault="006645D6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DAF6" w14:textId="4CBF4462" w:rsidR="00FA372D" w:rsidRPr="00C636CE" w:rsidRDefault="00FA372D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  <w:p w14:paraId="0ADC6BAF" w14:textId="77777777" w:rsidR="00FA372D" w:rsidRDefault="00FA37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6A18E29C" w:rsidR="00722E64" w:rsidRDefault="006645D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/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85D0F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1276AB5E" w14:textId="77777777" w:rsidR="00C61B4D" w:rsidRDefault="006645D6" w:rsidP="00722E64">
    <w:pPr>
      <w:pStyle w:val="Stopka"/>
      <w:jc w:val="center"/>
    </w:pPr>
    <w:sdt>
      <w:sdtPr>
        <w:id w:val="-53925359"/>
        <w:docPartObj>
          <w:docPartGallery w:val="Page Numbers (Top of Page)"/>
          <w:docPartUnique/>
        </w:docPartObj>
      </w:sdtPr>
      <w:sdtEndPr/>
      <w:sdtContent/>
    </w:sdt>
  </w:p>
  <w:p w14:paraId="6D990159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</w:p>
  <w:p w14:paraId="21D5A91F" w14:textId="77777777" w:rsidR="00C61B4D" w:rsidRPr="00C61B4D" w:rsidRDefault="00C61B4D" w:rsidP="00C61B4D">
    <w:pPr>
      <w:pStyle w:val="Stopka"/>
      <w:jc w:val="center"/>
      <w:rPr>
        <w:sz w:val="28"/>
        <w:szCs w:val="28"/>
      </w:rPr>
    </w:pPr>
    <w:r w:rsidRPr="00C61B4D">
      <w:rPr>
        <w:sz w:val="28"/>
        <w:szCs w:val="28"/>
      </w:rPr>
      <w:fldChar w:fldCharType="begin"/>
    </w:r>
    <w:r w:rsidRPr="00C61B4D">
      <w:rPr>
        <w:sz w:val="28"/>
        <w:szCs w:val="28"/>
      </w:rPr>
      <w:instrText>PAGE  \* Arabic  \* MERGEFORMAT</w:instrText>
    </w:r>
    <w:r w:rsidRPr="00C61B4D">
      <w:rPr>
        <w:sz w:val="28"/>
        <w:szCs w:val="28"/>
      </w:rPr>
      <w:fldChar w:fldCharType="separate"/>
    </w:r>
    <w:r w:rsidRPr="00C61B4D">
      <w:rPr>
        <w:sz w:val="28"/>
        <w:szCs w:val="28"/>
      </w:rPr>
      <w:t>3</w:t>
    </w:r>
    <w:r w:rsidRPr="00C61B4D">
      <w:rPr>
        <w:sz w:val="28"/>
        <w:szCs w:val="28"/>
      </w:rPr>
      <w:fldChar w:fldCharType="end"/>
    </w:r>
    <w:r w:rsidRPr="00C61B4D">
      <w:rPr>
        <w:sz w:val="28"/>
        <w:szCs w:val="28"/>
      </w:rPr>
      <w:t xml:space="preserve"> z </w:t>
    </w:r>
    <w:r w:rsidRPr="00C61B4D">
      <w:rPr>
        <w:sz w:val="28"/>
        <w:szCs w:val="28"/>
      </w:rPr>
      <w:fldChar w:fldCharType="begin"/>
    </w:r>
    <w:r w:rsidRPr="00C61B4D">
      <w:rPr>
        <w:sz w:val="28"/>
        <w:szCs w:val="28"/>
      </w:rPr>
      <w:instrText>NUMPAGES  \* Arabic  \* MERGEFORMAT</w:instrText>
    </w:r>
    <w:r w:rsidRPr="00C61B4D">
      <w:rPr>
        <w:sz w:val="28"/>
        <w:szCs w:val="28"/>
      </w:rPr>
      <w:fldChar w:fldCharType="separate"/>
    </w:r>
    <w:r w:rsidRPr="00C61B4D">
      <w:rPr>
        <w:sz w:val="28"/>
        <w:szCs w:val="28"/>
      </w:rPr>
      <w:t>18</w:t>
    </w:r>
    <w:r w:rsidRPr="00C61B4D">
      <w:rPr>
        <w:sz w:val="28"/>
        <w:szCs w:val="28"/>
      </w:rPr>
      <w:fldChar w:fldCharType="end"/>
    </w:r>
  </w:p>
  <w:p w14:paraId="1CC5D26C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45D93" w14:textId="77777777" w:rsidR="006645D6" w:rsidRDefault="006645D6" w:rsidP="00053E5A">
      <w:pPr>
        <w:spacing w:after="0"/>
      </w:pPr>
      <w:r>
        <w:separator/>
      </w:r>
    </w:p>
  </w:footnote>
  <w:footnote w:type="continuationSeparator" w:id="0">
    <w:p w14:paraId="09A10EF0" w14:textId="77777777" w:rsidR="006645D6" w:rsidRDefault="006645D6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0011" w14:textId="2F65AFB1" w:rsidR="00C61B4D" w:rsidRDefault="00C61B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9008" w:hanging="360"/>
      </w:pPr>
    </w:lvl>
    <w:lvl w:ilvl="1" w:tplc="04150019" w:tentative="1">
      <w:start w:val="1"/>
      <w:numFmt w:val="lowerLetter"/>
      <w:lvlText w:val="%2."/>
      <w:lvlJc w:val="left"/>
      <w:pPr>
        <w:ind w:left="9728" w:hanging="360"/>
      </w:pPr>
    </w:lvl>
    <w:lvl w:ilvl="2" w:tplc="0415001B" w:tentative="1">
      <w:start w:val="1"/>
      <w:numFmt w:val="lowerRoman"/>
      <w:lvlText w:val="%3."/>
      <w:lvlJc w:val="right"/>
      <w:pPr>
        <w:ind w:left="10448" w:hanging="180"/>
      </w:pPr>
    </w:lvl>
    <w:lvl w:ilvl="3" w:tplc="0415000F" w:tentative="1">
      <w:start w:val="1"/>
      <w:numFmt w:val="decimal"/>
      <w:lvlText w:val="%4."/>
      <w:lvlJc w:val="left"/>
      <w:pPr>
        <w:ind w:left="11168" w:hanging="360"/>
      </w:pPr>
    </w:lvl>
    <w:lvl w:ilvl="4" w:tplc="04150019" w:tentative="1">
      <w:start w:val="1"/>
      <w:numFmt w:val="lowerLetter"/>
      <w:lvlText w:val="%5."/>
      <w:lvlJc w:val="left"/>
      <w:pPr>
        <w:ind w:left="11888" w:hanging="360"/>
      </w:pPr>
    </w:lvl>
    <w:lvl w:ilvl="5" w:tplc="0415001B" w:tentative="1">
      <w:start w:val="1"/>
      <w:numFmt w:val="lowerRoman"/>
      <w:lvlText w:val="%6."/>
      <w:lvlJc w:val="right"/>
      <w:pPr>
        <w:ind w:left="12608" w:hanging="180"/>
      </w:pPr>
    </w:lvl>
    <w:lvl w:ilvl="6" w:tplc="0415000F" w:tentative="1">
      <w:start w:val="1"/>
      <w:numFmt w:val="decimal"/>
      <w:lvlText w:val="%7."/>
      <w:lvlJc w:val="left"/>
      <w:pPr>
        <w:ind w:left="13328" w:hanging="360"/>
      </w:pPr>
    </w:lvl>
    <w:lvl w:ilvl="7" w:tplc="04150019" w:tentative="1">
      <w:start w:val="1"/>
      <w:numFmt w:val="lowerLetter"/>
      <w:lvlText w:val="%8."/>
      <w:lvlJc w:val="left"/>
      <w:pPr>
        <w:ind w:left="14048" w:hanging="360"/>
      </w:pPr>
    </w:lvl>
    <w:lvl w:ilvl="8" w:tplc="0415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" w15:restartNumberingAfterBreak="0">
    <w:nsid w:val="09DC604E"/>
    <w:multiLevelType w:val="hybridMultilevel"/>
    <w:tmpl w:val="BE90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13ECA"/>
    <w:multiLevelType w:val="hybridMultilevel"/>
    <w:tmpl w:val="6DA619FA"/>
    <w:lvl w:ilvl="0" w:tplc="0316D3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7510A"/>
    <w:multiLevelType w:val="hybridMultilevel"/>
    <w:tmpl w:val="35601E7E"/>
    <w:lvl w:ilvl="0" w:tplc="3544BB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52FE8"/>
    <w:multiLevelType w:val="hybridMultilevel"/>
    <w:tmpl w:val="30F223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F3C17F5"/>
    <w:multiLevelType w:val="hybridMultilevel"/>
    <w:tmpl w:val="87DC8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86BC4"/>
    <w:multiLevelType w:val="hybridMultilevel"/>
    <w:tmpl w:val="1E481A2E"/>
    <w:lvl w:ilvl="0" w:tplc="FFFFFFFF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647" w:hanging="360"/>
      </w:p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B9674FD"/>
    <w:multiLevelType w:val="hybridMultilevel"/>
    <w:tmpl w:val="1C7E87A6"/>
    <w:lvl w:ilvl="0" w:tplc="57A00F0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0701D"/>
    <w:multiLevelType w:val="hybridMultilevel"/>
    <w:tmpl w:val="C780FF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D5D08C5"/>
    <w:multiLevelType w:val="hybridMultilevel"/>
    <w:tmpl w:val="A16EABF4"/>
    <w:lvl w:ilvl="0" w:tplc="5E160D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E0E1C86"/>
    <w:multiLevelType w:val="hybridMultilevel"/>
    <w:tmpl w:val="EC38DEF8"/>
    <w:lvl w:ilvl="0" w:tplc="63B0E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000000" w:themeColor="text1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31689"/>
    <w:multiLevelType w:val="hybridMultilevel"/>
    <w:tmpl w:val="0ED2F1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1913">
    <w:abstractNumId w:val="21"/>
  </w:num>
  <w:num w:numId="2" w16cid:durableId="791441155">
    <w:abstractNumId w:val="26"/>
  </w:num>
  <w:num w:numId="3" w16cid:durableId="1685013734">
    <w:abstractNumId w:val="4"/>
  </w:num>
  <w:num w:numId="4" w16cid:durableId="1890143465">
    <w:abstractNumId w:val="14"/>
  </w:num>
  <w:num w:numId="5" w16cid:durableId="1075736888">
    <w:abstractNumId w:val="8"/>
  </w:num>
  <w:num w:numId="6" w16cid:durableId="176115080">
    <w:abstractNumId w:val="18"/>
  </w:num>
  <w:num w:numId="7" w16cid:durableId="12848814">
    <w:abstractNumId w:val="0"/>
  </w:num>
  <w:num w:numId="8" w16cid:durableId="2087652467">
    <w:abstractNumId w:val="20"/>
  </w:num>
  <w:num w:numId="9" w16cid:durableId="360126515">
    <w:abstractNumId w:val="3"/>
  </w:num>
  <w:num w:numId="10" w16cid:durableId="1499423351">
    <w:abstractNumId w:val="25"/>
  </w:num>
  <w:num w:numId="11" w16cid:durableId="1225141481">
    <w:abstractNumId w:val="28"/>
  </w:num>
  <w:num w:numId="12" w16cid:durableId="1051997355">
    <w:abstractNumId w:val="22"/>
  </w:num>
  <w:num w:numId="13" w16cid:durableId="559219063">
    <w:abstractNumId w:val="6"/>
  </w:num>
  <w:num w:numId="14" w16cid:durableId="1431393862">
    <w:abstractNumId w:val="23"/>
  </w:num>
  <w:num w:numId="15" w16cid:durableId="365329660">
    <w:abstractNumId w:val="15"/>
  </w:num>
  <w:num w:numId="16" w16cid:durableId="841550392">
    <w:abstractNumId w:val="24"/>
  </w:num>
  <w:num w:numId="17" w16cid:durableId="674113966">
    <w:abstractNumId w:val="5"/>
  </w:num>
  <w:num w:numId="18" w16cid:durableId="585725537">
    <w:abstractNumId w:val="17"/>
  </w:num>
  <w:num w:numId="19" w16cid:durableId="926496970">
    <w:abstractNumId w:val="10"/>
  </w:num>
  <w:num w:numId="20" w16cid:durableId="4179492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18414882">
    <w:abstractNumId w:val="27"/>
  </w:num>
  <w:num w:numId="22" w16cid:durableId="939802799">
    <w:abstractNumId w:val="2"/>
  </w:num>
  <w:num w:numId="23" w16cid:durableId="952790466">
    <w:abstractNumId w:val="11"/>
  </w:num>
  <w:num w:numId="24" w16cid:durableId="209615733">
    <w:abstractNumId w:val="19"/>
  </w:num>
  <w:num w:numId="25" w16cid:durableId="124465465">
    <w:abstractNumId w:val="7"/>
  </w:num>
  <w:num w:numId="26" w16cid:durableId="254214654">
    <w:abstractNumId w:val="9"/>
  </w:num>
  <w:num w:numId="27" w16cid:durableId="608322585">
    <w:abstractNumId w:val="1"/>
  </w:num>
  <w:num w:numId="28" w16cid:durableId="1001353640">
    <w:abstractNumId w:val="13"/>
  </w:num>
  <w:num w:numId="29" w16cid:durableId="15125273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C84"/>
    <w:rsid w:val="00053E5A"/>
    <w:rsid w:val="00076915"/>
    <w:rsid w:val="000C0935"/>
    <w:rsid w:val="000D71A8"/>
    <w:rsid w:val="0010000E"/>
    <w:rsid w:val="001B7C6C"/>
    <w:rsid w:val="001D3FE6"/>
    <w:rsid w:val="001E1007"/>
    <w:rsid w:val="001E45F7"/>
    <w:rsid w:val="00250690"/>
    <w:rsid w:val="00296D46"/>
    <w:rsid w:val="002B73BE"/>
    <w:rsid w:val="003036BE"/>
    <w:rsid w:val="003625F3"/>
    <w:rsid w:val="003E3C28"/>
    <w:rsid w:val="003E5702"/>
    <w:rsid w:val="004008AB"/>
    <w:rsid w:val="00425D66"/>
    <w:rsid w:val="004519AC"/>
    <w:rsid w:val="0048459B"/>
    <w:rsid w:val="004922DB"/>
    <w:rsid w:val="004E5185"/>
    <w:rsid w:val="00525346"/>
    <w:rsid w:val="00527C36"/>
    <w:rsid w:val="00547B25"/>
    <w:rsid w:val="0055257A"/>
    <w:rsid w:val="00575C7A"/>
    <w:rsid w:val="00582CAF"/>
    <w:rsid w:val="005A07CF"/>
    <w:rsid w:val="005B4C37"/>
    <w:rsid w:val="005E5887"/>
    <w:rsid w:val="00606A6E"/>
    <w:rsid w:val="00627DDE"/>
    <w:rsid w:val="006645D6"/>
    <w:rsid w:val="006A0E13"/>
    <w:rsid w:val="006A6F3E"/>
    <w:rsid w:val="00722E64"/>
    <w:rsid w:val="00775A53"/>
    <w:rsid w:val="0079088A"/>
    <w:rsid w:val="007C7130"/>
    <w:rsid w:val="008015EF"/>
    <w:rsid w:val="00801B47"/>
    <w:rsid w:val="00810AE7"/>
    <w:rsid w:val="0081559F"/>
    <w:rsid w:val="008248F6"/>
    <w:rsid w:val="00825443"/>
    <w:rsid w:val="00883567"/>
    <w:rsid w:val="008923CA"/>
    <w:rsid w:val="008A4EA9"/>
    <w:rsid w:val="008E67C0"/>
    <w:rsid w:val="00917C21"/>
    <w:rsid w:val="009304F4"/>
    <w:rsid w:val="009614DC"/>
    <w:rsid w:val="009937A8"/>
    <w:rsid w:val="00A16F05"/>
    <w:rsid w:val="00A360D6"/>
    <w:rsid w:val="00A91CA4"/>
    <w:rsid w:val="00AA4ACB"/>
    <w:rsid w:val="00AF3587"/>
    <w:rsid w:val="00B05EE8"/>
    <w:rsid w:val="00B46641"/>
    <w:rsid w:val="00B526B6"/>
    <w:rsid w:val="00B97B77"/>
    <w:rsid w:val="00BE76D1"/>
    <w:rsid w:val="00C61B4D"/>
    <w:rsid w:val="00C636CE"/>
    <w:rsid w:val="00C74A10"/>
    <w:rsid w:val="00C77736"/>
    <w:rsid w:val="00CF1B03"/>
    <w:rsid w:val="00D91D83"/>
    <w:rsid w:val="00DC53DB"/>
    <w:rsid w:val="00DF594D"/>
    <w:rsid w:val="00E07577"/>
    <w:rsid w:val="00E10450"/>
    <w:rsid w:val="00E43A7B"/>
    <w:rsid w:val="00E560F8"/>
    <w:rsid w:val="00E61E5A"/>
    <w:rsid w:val="00EA431D"/>
    <w:rsid w:val="00EC7B9C"/>
    <w:rsid w:val="00EE1FA3"/>
    <w:rsid w:val="00F11BA4"/>
    <w:rsid w:val="00FA372D"/>
    <w:rsid w:val="00FB65F5"/>
    <w:rsid w:val="00FC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702"/>
    <w:pPr>
      <w:spacing w:after="12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07577"/>
    <w:pPr>
      <w:ind w:left="720"/>
      <w:contextualSpacing/>
    </w:pPr>
  </w:style>
  <w:style w:type="table" w:styleId="Tabela-Siatka">
    <w:name w:val="Table Grid"/>
    <w:basedOn w:val="Standardowy"/>
    <w:uiPriority w:val="59"/>
    <w:rsid w:val="00C77736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304F4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7685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3743</Words>
  <Characters>22460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2022-06-03T09:52:00Z</dcterms:created>
  <dcterms:modified xsi:type="dcterms:W3CDTF">2022-06-03T12:10:00Z</dcterms:modified>
</cp:coreProperties>
</file>