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700A0"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63-100 Śrem</w:t>
      </w:r>
    </w:p>
    <w:p w14:paraId="69612C35" w14:textId="1F106257" w:rsidR="004922DB" w:rsidRPr="003A76C5" w:rsidRDefault="004922DB" w:rsidP="004922DB">
      <w:pPr>
        <w:spacing w:after="120" w:line="240" w:lineRule="auto"/>
        <w:jc w:val="right"/>
        <w:rPr>
          <w:rFonts w:cstheme="minorHAnsi"/>
          <w:sz w:val="28"/>
          <w:szCs w:val="28"/>
        </w:rPr>
      </w:pPr>
      <w:r w:rsidRPr="003A76C5">
        <w:rPr>
          <w:rFonts w:cstheme="minorHAnsi"/>
          <w:sz w:val="28"/>
          <w:szCs w:val="28"/>
        </w:rPr>
        <w:t xml:space="preserve">Śrem, </w:t>
      </w:r>
      <w:r w:rsidR="00A22672">
        <w:rPr>
          <w:rFonts w:cstheme="minorHAnsi"/>
          <w:sz w:val="28"/>
          <w:szCs w:val="28"/>
        </w:rPr>
        <w:t>7</w:t>
      </w:r>
      <w:r w:rsidR="002443CE">
        <w:rPr>
          <w:rFonts w:cstheme="minorHAnsi"/>
          <w:sz w:val="28"/>
          <w:szCs w:val="28"/>
        </w:rPr>
        <w:t xml:space="preserve"> czerwca</w:t>
      </w:r>
      <w:r>
        <w:rPr>
          <w:rFonts w:cstheme="minorHAnsi"/>
          <w:sz w:val="28"/>
          <w:szCs w:val="28"/>
        </w:rPr>
        <w:t xml:space="preserve"> 2022</w:t>
      </w:r>
      <w:r w:rsidRPr="003A76C5">
        <w:rPr>
          <w:rFonts w:cstheme="minorHAnsi"/>
          <w:sz w:val="28"/>
          <w:szCs w:val="28"/>
        </w:rPr>
        <w:t xml:space="preserve"> roku</w:t>
      </w:r>
    </w:p>
    <w:p w14:paraId="4FE9DCF9" w14:textId="1329FF71" w:rsidR="004922DB" w:rsidRPr="003A76C5" w:rsidRDefault="004922DB" w:rsidP="004922DB">
      <w:pPr>
        <w:spacing w:after="120" w:line="240" w:lineRule="auto"/>
        <w:rPr>
          <w:rFonts w:cstheme="minorHAnsi"/>
          <w:sz w:val="28"/>
          <w:szCs w:val="28"/>
        </w:rPr>
      </w:pPr>
      <w:r w:rsidRPr="003A76C5">
        <w:rPr>
          <w:rFonts w:cstheme="minorHAnsi"/>
          <w:sz w:val="28"/>
          <w:szCs w:val="28"/>
        </w:rPr>
        <w:t>PPSOŚ.6220.</w:t>
      </w:r>
      <w:r w:rsidR="00A831D2">
        <w:rPr>
          <w:rFonts w:cstheme="minorHAnsi"/>
          <w:sz w:val="28"/>
          <w:szCs w:val="28"/>
        </w:rPr>
        <w:t>14</w:t>
      </w:r>
      <w:r w:rsidR="009134E8">
        <w:rPr>
          <w:rFonts w:cstheme="minorHAnsi"/>
          <w:sz w:val="28"/>
          <w:szCs w:val="28"/>
        </w:rPr>
        <w:t>.2021</w:t>
      </w:r>
      <w:r w:rsidRPr="003A76C5">
        <w:rPr>
          <w:rFonts w:cstheme="minorHAnsi"/>
          <w:sz w:val="28"/>
          <w:szCs w:val="28"/>
        </w:rPr>
        <w:t>.BM</w:t>
      </w:r>
    </w:p>
    <w:p w14:paraId="59CF0FA0" w14:textId="77777777"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Obwieszczenie</w:t>
      </w:r>
    </w:p>
    <w:p w14:paraId="77975ECA" w14:textId="36EF96E4"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 xml:space="preserve">o wydaniu decyzji o </w:t>
      </w:r>
      <w:r w:rsidR="00C9190F">
        <w:rPr>
          <w:rFonts w:eastAsia="Times New Roman" w:cstheme="minorHAnsi"/>
          <w:sz w:val="28"/>
          <w:szCs w:val="28"/>
        </w:rPr>
        <w:t>środowiskowych uwarunkowaniach</w:t>
      </w:r>
    </w:p>
    <w:p w14:paraId="1A6B3892" w14:textId="77777777" w:rsidR="004E61DD" w:rsidRDefault="00A831D2" w:rsidP="00A831D2">
      <w:pPr>
        <w:spacing w:after="120" w:line="240" w:lineRule="auto"/>
        <w:ind w:firstLine="708"/>
        <w:jc w:val="both"/>
        <w:rPr>
          <w:rFonts w:eastAsia="Times New Roman" w:cstheme="minorHAnsi"/>
          <w:sz w:val="28"/>
          <w:szCs w:val="28"/>
          <w:lang w:eastAsia="pl-PL"/>
        </w:rPr>
      </w:pPr>
      <w:r w:rsidRPr="00A831D2">
        <w:rPr>
          <w:rFonts w:eastAsia="Times New Roman" w:cstheme="minorHAnsi"/>
          <w:sz w:val="28"/>
          <w:szCs w:val="28"/>
          <w:lang w:eastAsia="pl-PL"/>
        </w:rPr>
        <w:t>Na podstawie art. 85 ust. 3 ustawy z dnia 3 października 2008 r. o</w:t>
      </w:r>
      <w:r>
        <w:rPr>
          <w:rFonts w:eastAsia="Times New Roman" w:cstheme="minorHAnsi"/>
          <w:sz w:val="28"/>
          <w:szCs w:val="28"/>
          <w:lang w:eastAsia="pl-PL"/>
        </w:rPr>
        <w:t> </w:t>
      </w:r>
      <w:r w:rsidRPr="00A831D2">
        <w:rPr>
          <w:rFonts w:eastAsia="Times New Roman" w:cstheme="minorHAnsi"/>
          <w:sz w:val="28"/>
          <w:szCs w:val="28"/>
          <w:lang w:eastAsia="pl-PL"/>
        </w:rPr>
        <w:t xml:space="preserve">udostępnianiu informacji o środowisku i jego ochronie, udziale społeczeństwa w ochronie środowiska oraz o ocenach oddziaływania na środowisko (Dz. U. z </w:t>
      </w:r>
      <w:r>
        <w:rPr>
          <w:rFonts w:eastAsia="Times New Roman" w:cstheme="minorHAnsi"/>
          <w:sz w:val="28"/>
          <w:szCs w:val="28"/>
          <w:lang w:eastAsia="pl-PL"/>
        </w:rPr>
        <w:t>2022 r. poz. 1029</w:t>
      </w:r>
      <w:r w:rsidRPr="00A831D2">
        <w:rPr>
          <w:rFonts w:eastAsia="Times New Roman" w:cstheme="minorHAnsi"/>
          <w:sz w:val="28"/>
          <w:szCs w:val="28"/>
          <w:lang w:eastAsia="pl-PL"/>
        </w:rPr>
        <w:t>)</w:t>
      </w:r>
      <w:r w:rsidR="004E61DD">
        <w:rPr>
          <w:rFonts w:eastAsia="Times New Roman" w:cstheme="minorHAnsi"/>
          <w:sz w:val="28"/>
          <w:szCs w:val="28"/>
          <w:lang w:eastAsia="pl-PL"/>
        </w:rPr>
        <w:t>,</w:t>
      </w:r>
      <w:r w:rsidRPr="00A831D2">
        <w:rPr>
          <w:rFonts w:eastAsia="Times New Roman" w:cstheme="minorHAnsi"/>
          <w:sz w:val="28"/>
          <w:szCs w:val="28"/>
          <w:lang w:eastAsia="pl-PL"/>
        </w:rPr>
        <w:t xml:space="preserve"> podaję do publicznej wiadomości informację, że </w:t>
      </w:r>
      <w:r w:rsidR="004E61DD">
        <w:rPr>
          <w:rFonts w:eastAsia="Times New Roman" w:cstheme="minorHAnsi"/>
          <w:sz w:val="28"/>
          <w:szCs w:val="28"/>
          <w:lang w:eastAsia="pl-PL"/>
        </w:rPr>
        <w:t>3 czerwca 2022</w:t>
      </w:r>
      <w:r w:rsidRPr="00A831D2">
        <w:rPr>
          <w:rFonts w:eastAsia="Times New Roman" w:cstheme="minorHAnsi"/>
          <w:sz w:val="28"/>
          <w:szCs w:val="28"/>
          <w:lang w:eastAsia="pl-PL"/>
        </w:rPr>
        <w:t xml:space="preserve"> r. Burmistrz Śremu wydał decyzję znak PPSOŚ.6220.</w:t>
      </w:r>
      <w:r w:rsidR="004E61DD">
        <w:rPr>
          <w:rFonts w:eastAsia="Times New Roman" w:cstheme="minorHAnsi"/>
          <w:sz w:val="28"/>
          <w:szCs w:val="28"/>
          <w:lang w:eastAsia="pl-PL"/>
        </w:rPr>
        <w:t>14</w:t>
      </w:r>
      <w:r w:rsidRPr="00A831D2">
        <w:rPr>
          <w:rFonts w:eastAsia="Times New Roman" w:cstheme="minorHAnsi"/>
          <w:sz w:val="28"/>
          <w:szCs w:val="28"/>
          <w:lang w:eastAsia="pl-PL"/>
        </w:rPr>
        <w:t xml:space="preserve">.2021.BM o środowiskowych uwarunkowaniach na rzecz </w:t>
      </w:r>
      <w:r w:rsidR="002443CE" w:rsidRPr="002443CE">
        <w:rPr>
          <w:rFonts w:eastAsia="Times New Roman" w:cstheme="minorHAnsi"/>
          <w:sz w:val="28"/>
          <w:szCs w:val="28"/>
          <w:lang w:eastAsia="pl-PL"/>
        </w:rPr>
        <w:t>Pana Piotra Jędrzejczaka, prowadzącego działalność rolniczą pod nazwą Gospodarstwo Rolne Piotr Jędrzejczak, Kadzewo 14, 63-100 Śrem</w:t>
      </w:r>
      <w:r w:rsidR="009134E8" w:rsidRPr="009134E8">
        <w:rPr>
          <w:rFonts w:eastAsia="Times New Roman" w:cstheme="minorHAnsi"/>
          <w:sz w:val="28"/>
          <w:szCs w:val="28"/>
          <w:lang w:eastAsia="pl-PL"/>
        </w:rPr>
        <w:t>,</w:t>
      </w:r>
      <w:r w:rsidR="009134E8">
        <w:rPr>
          <w:rFonts w:eastAsia="Times New Roman" w:cstheme="minorHAnsi"/>
          <w:sz w:val="28"/>
          <w:szCs w:val="28"/>
          <w:lang w:eastAsia="pl-PL"/>
        </w:rPr>
        <w:t xml:space="preserve"> </w:t>
      </w:r>
      <w:r w:rsidR="009134E8" w:rsidRPr="009134E8">
        <w:rPr>
          <w:rFonts w:eastAsia="Times New Roman" w:cstheme="minorHAnsi"/>
          <w:sz w:val="28"/>
          <w:szCs w:val="28"/>
          <w:lang w:eastAsia="pl-PL"/>
        </w:rPr>
        <w:t xml:space="preserve">dla planowanego przedsięwzięcia polegającego na </w:t>
      </w:r>
      <w:r w:rsidR="002443CE" w:rsidRPr="002443CE">
        <w:rPr>
          <w:rFonts w:eastAsia="Times New Roman" w:cstheme="minorHAnsi"/>
          <w:sz w:val="28"/>
          <w:szCs w:val="28"/>
          <w:lang w:eastAsia="pl-PL"/>
        </w:rPr>
        <w:t>rozbudowie gospodarstwa rolnego poprzez budowę budynku inwentarskiego do chowu trzody chlewnej w bezściółkowym systemie utrzymania z niezbędną infrastrukturą techniczną na działce o numerze ewidencyjnym 189/2, obręb Kadzewo</w:t>
      </w:r>
      <w:r w:rsidR="009134E8" w:rsidRPr="009134E8">
        <w:rPr>
          <w:rFonts w:eastAsia="Times New Roman" w:cstheme="minorHAnsi"/>
          <w:sz w:val="28"/>
          <w:szCs w:val="28"/>
          <w:lang w:eastAsia="pl-PL"/>
        </w:rPr>
        <w:t xml:space="preserve">. </w:t>
      </w:r>
    </w:p>
    <w:p w14:paraId="20314B08" w14:textId="6E380371" w:rsidR="009134E8" w:rsidRDefault="00A831D2" w:rsidP="00A831D2">
      <w:pPr>
        <w:spacing w:after="120" w:line="240" w:lineRule="auto"/>
        <w:ind w:firstLine="708"/>
        <w:jc w:val="both"/>
        <w:rPr>
          <w:rFonts w:eastAsia="Times New Roman" w:cstheme="minorHAnsi"/>
          <w:sz w:val="28"/>
          <w:szCs w:val="28"/>
          <w:lang w:eastAsia="pl-PL"/>
        </w:rPr>
      </w:pPr>
      <w:r w:rsidRPr="00A831D2">
        <w:rPr>
          <w:rFonts w:eastAsia="Times New Roman" w:cstheme="minorHAnsi"/>
          <w:sz w:val="28"/>
          <w:szCs w:val="28"/>
          <w:lang w:eastAsia="pl-PL"/>
        </w:rPr>
        <w:t>Z treścią decyzji oraz z dokumentacją sprawy, w tym z opiniami organów współdziałających można zapoznać się w Urzędzie Miejskim w Śremie (ul.</w:t>
      </w:r>
      <w:r w:rsidR="004E61DD">
        <w:rPr>
          <w:rFonts w:eastAsia="Times New Roman" w:cstheme="minorHAnsi"/>
          <w:sz w:val="28"/>
          <w:szCs w:val="28"/>
          <w:lang w:eastAsia="pl-PL"/>
        </w:rPr>
        <w:t> </w:t>
      </w:r>
      <w:r w:rsidRPr="00A831D2">
        <w:rPr>
          <w:rFonts w:eastAsia="Times New Roman" w:cstheme="minorHAnsi"/>
          <w:sz w:val="28"/>
          <w:szCs w:val="28"/>
          <w:lang w:eastAsia="pl-PL"/>
        </w:rPr>
        <w:t>Plac</w:t>
      </w:r>
      <w:r w:rsidR="004E61DD">
        <w:rPr>
          <w:rFonts w:eastAsia="Times New Roman" w:cstheme="minorHAnsi"/>
          <w:sz w:val="28"/>
          <w:szCs w:val="28"/>
          <w:lang w:eastAsia="pl-PL"/>
        </w:rPr>
        <w:t> </w:t>
      </w:r>
      <w:r w:rsidRPr="00A831D2">
        <w:rPr>
          <w:rFonts w:eastAsia="Times New Roman" w:cstheme="minorHAnsi"/>
          <w:sz w:val="28"/>
          <w:szCs w:val="28"/>
          <w:lang w:eastAsia="pl-PL"/>
        </w:rPr>
        <w:t>20 Października 1, pok</w:t>
      </w:r>
      <w:r w:rsidR="004E61DD">
        <w:rPr>
          <w:rFonts w:eastAsia="Times New Roman" w:cstheme="minorHAnsi"/>
          <w:sz w:val="28"/>
          <w:szCs w:val="28"/>
          <w:lang w:eastAsia="pl-PL"/>
        </w:rPr>
        <w:t>ój</w:t>
      </w:r>
      <w:r w:rsidRPr="00A831D2">
        <w:rPr>
          <w:rFonts w:eastAsia="Times New Roman" w:cstheme="minorHAnsi"/>
          <w:sz w:val="28"/>
          <w:szCs w:val="28"/>
          <w:lang w:eastAsia="pl-PL"/>
        </w:rPr>
        <w:t xml:space="preserve"> 33) w godzinach od 7:00 do 15:00. Z treścią decyzji można zapoznać się również w Biuletynie Informacji Publicznej Urzędu Miejskiego w Śremie (</w:t>
      </w:r>
      <w:hyperlink r:id="rId8" w:history="1">
        <w:r w:rsidR="004E61DD" w:rsidRPr="004E61DD">
          <w:rPr>
            <w:rStyle w:val="Hipercze"/>
            <w:rFonts w:eastAsia="Times New Roman" w:cstheme="minorHAnsi"/>
            <w:color w:val="auto"/>
            <w:sz w:val="28"/>
            <w:szCs w:val="28"/>
            <w:u w:val="none"/>
            <w:lang w:eastAsia="pl-PL"/>
          </w:rPr>
          <w:t>http://umsrem.bip.eur.pl/public/?id=219256</w:t>
        </w:r>
      </w:hyperlink>
      <w:r w:rsidRPr="004E61DD">
        <w:rPr>
          <w:rFonts w:eastAsia="Times New Roman" w:cstheme="minorHAnsi"/>
          <w:sz w:val="28"/>
          <w:szCs w:val="28"/>
          <w:lang w:eastAsia="pl-PL"/>
        </w:rPr>
        <w:t>).</w:t>
      </w:r>
    </w:p>
    <w:p w14:paraId="31839D00" w14:textId="77777777" w:rsidR="004E61DD" w:rsidRPr="009134E8" w:rsidRDefault="004E61DD" w:rsidP="00A831D2">
      <w:pPr>
        <w:spacing w:after="120" w:line="240" w:lineRule="auto"/>
        <w:ind w:firstLine="708"/>
        <w:jc w:val="both"/>
        <w:rPr>
          <w:rFonts w:eastAsia="Times New Roman" w:cstheme="minorHAnsi"/>
          <w:sz w:val="28"/>
          <w:szCs w:val="28"/>
          <w:lang w:eastAsia="pl-PL"/>
        </w:rPr>
      </w:pPr>
    </w:p>
    <w:p w14:paraId="298CFFC1" w14:textId="648E5408" w:rsidR="002E64CC" w:rsidRDefault="008A398F" w:rsidP="008A398F">
      <w:pPr>
        <w:spacing w:after="120" w:line="240" w:lineRule="auto"/>
        <w:ind w:left="2829"/>
        <w:jc w:val="center"/>
        <w:rPr>
          <w:rFonts w:eastAsia="Times New Roman" w:cstheme="minorHAnsi"/>
          <w:sz w:val="28"/>
          <w:szCs w:val="28"/>
          <w:lang w:eastAsia="pl-PL"/>
        </w:rPr>
      </w:pPr>
      <w:r>
        <w:rPr>
          <w:rFonts w:eastAsia="Times New Roman" w:cstheme="minorHAnsi"/>
          <w:sz w:val="28"/>
          <w:szCs w:val="28"/>
          <w:lang w:eastAsia="pl-PL"/>
        </w:rPr>
        <w:t>Adam Lewandowski</w:t>
      </w:r>
    </w:p>
    <w:p w14:paraId="433A9491" w14:textId="22DF3A74" w:rsidR="008A398F" w:rsidRPr="00D51F82" w:rsidRDefault="008A398F" w:rsidP="008A398F">
      <w:pPr>
        <w:spacing w:after="120" w:line="240" w:lineRule="auto"/>
        <w:ind w:left="2829"/>
        <w:jc w:val="center"/>
        <w:rPr>
          <w:rFonts w:eastAsia="Times New Roman" w:cstheme="minorHAnsi"/>
          <w:sz w:val="28"/>
          <w:szCs w:val="28"/>
          <w:lang w:eastAsia="pl-PL"/>
        </w:rPr>
      </w:pPr>
      <w:r>
        <w:rPr>
          <w:rFonts w:eastAsia="Times New Roman" w:cstheme="minorHAnsi"/>
          <w:sz w:val="28"/>
          <w:szCs w:val="28"/>
          <w:lang w:eastAsia="pl-PL"/>
        </w:rPr>
        <w:t>Burmistrz Śremu</w:t>
      </w:r>
    </w:p>
    <w:p w14:paraId="431388DE" w14:textId="77777777" w:rsidR="009134E8" w:rsidRPr="009134E8" w:rsidRDefault="009134E8" w:rsidP="009134E8">
      <w:pPr>
        <w:spacing w:after="120" w:line="240" w:lineRule="auto"/>
        <w:ind w:firstLine="708"/>
        <w:jc w:val="both"/>
        <w:rPr>
          <w:rFonts w:eastAsia="Times New Roman" w:cstheme="minorHAnsi"/>
          <w:sz w:val="28"/>
          <w:szCs w:val="28"/>
          <w:lang w:eastAsia="pl-PL"/>
        </w:rPr>
      </w:pPr>
    </w:p>
    <w:p w14:paraId="5F767806" w14:textId="67A5F5BB" w:rsidR="009134E8" w:rsidRPr="009134E8" w:rsidRDefault="009134E8" w:rsidP="002E64CC">
      <w:pPr>
        <w:spacing w:after="120" w:line="240" w:lineRule="auto"/>
        <w:jc w:val="both"/>
        <w:rPr>
          <w:rFonts w:eastAsia="Times New Roman" w:cstheme="minorHAnsi"/>
          <w:sz w:val="28"/>
          <w:szCs w:val="28"/>
          <w:lang w:eastAsia="pl-PL"/>
        </w:rPr>
      </w:pPr>
      <w:r w:rsidRPr="009134E8">
        <w:rPr>
          <w:rFonts w:eastAsia="Times New Roman" w:cstheme="minorHAnsi"/>
          <w:sz w:val="28"/>
          <w:szCs w:val="28"/>
          <w:lang w:eastAsia="pl-PL"/>
        </w:rPr>
        <w:t xml:space="preserve">Wywieszono: </w:t>
      </w:r>
      <w:r w:rsidR="008A398F">
        <w:rPr>
          <w:rFonts w:eastAsia="Times New Roman" w:cstheme="minorHAnsi"/>
          <w:sz w:val="28"/>
          <w:szCs w:val="28"/>
          <w:lang w:eastAsia="pl-PL"/>
        </w:rPr>
        <w:t>07</w:t>
      </w:r>
      <w:r w:rsidR="004E61DD">
        <w:rPr>
          <w:rFonts w:eastAsia="Times New Roman" w:cstheme="minorHAnsi"/>
          <w:sz w:val="28"/>
          <w:szCs w:val="28"/>
          <w:lang w:eastAsia="pl-PL"/>
        </w:rPr>
        <w:t>.06</w:t>
      </w:r>
      <w:r w:rsidR="002E64CC">
        <w:rPr>
          <w:rFonts w:eastAsia="Times New Roman" w:cstheme="minorHAnsi"/>
          <w:sz w:val="28"/>
          <w:szCs w:val="28"/>
          <w:lang w:eastAsia="pl-PL"/>
        </w:rPr>
        <w:t>.2022 r.</w:t>
      </w:r>
    </w:p>
    <w:p w14:paraId="050E0CE9" w14:textId="199076F3" w:rsidR="009134E8" w:rsidRDefault="009134E8" w:rsidP="002E64CC">
      <w:pPr>
        <w:spacing w:after="120" w:line="240" w:lineRule="auto"/>
        <w:jc w:val="both"/>
        <w:rPr>
          <w:rFonts w:eastAsia="Times New Roman" w:cstheme="minorHAnsi"/>
          <w:sz w:val="28"/>
          <w:szCs w:val="28"/>
          <w:lang w:eastAsia="pl-PL"/>
        </w:rPr>
      </w:pPr>
      <w:r w:rsidRPr="009134E8">
        <w:rPr>
          <w:rFonts w:eastAsia="Times New Roman" w:cstheme="minorHAnsi"/>
          <w:sz w:val="28"/>
          <w:szCs w:val="28"/>
          <w:lang w:eastAsia="pl-PL"/>
        </w:rPr>
        <w:t>Zdjęto:</w:t>
      </w:r>
    </w:p>
    <w:p w14:paraId="563014DA" w14:textId="77777777" w:rsidR="001753AD" w:rsidRDefault="001753AD" w:rsidP="009134E8">
      <w:pPr>
        <w:spacing w:after="120" w:line="240" w:lineRule="auto"/>
        <w:ind w:firstLine="708"/>
        <w:jc w:val="both"/>
        <w:rPr>
          <w:rFonts w:eastAsia="Times New Roman" w:cstheme="minorHAnsi"/>
          <w:sz w:val="28"/>
          <w:szCs w:val="28"/>
          <w:lang w:eastAsia="pl-PL"/>
        </w:rPr>
      </w:pPr>
    </w:p>
    <w:p w14:paraId="4BD9058B" w14:textId="5C0B9419" w:rsidR="001753AD" w:rsidRDefault="001753AD">
      <w:pPr>
        <w:rPr>
          <w:rFonts w:ascii="Calibri" w:eastAsia="Times New Roman" w:hAnsi="Calibri" w:cs="Calibri"/>
          <w:bCs/>
          <w:sz w:val="28"/>
          <w:szCs w:val="28"/>
          <w:lang w:eastAsia="pl-PL"/>
        </w:rPr>
      </w:pPr>
      <w:r>
        <w:rPr>
          <w:rFonts w:ascii="Calibri" w:eastAsia="Times New Roman" w:hAnsi="Calibri" w:cs="Calibri"/>
          <w:bCs/>
          <w:sz w:val="28"/>
          <w:szCs w:val="28"/>
          <w:lang w:eastAsia="pl-PL"/>
        </w:rPr>
        <w:br w:type="page"/>
      </w:r>
    </w:p>
    <w:p w14:paraId="47DE785D" w14:textId="77777777" w:rsidR="004E61DD" w:rsidRPr="004E61DD" w:rsidRDefault="004E61DD" w:rsidP="004E61DD">
      <w:pPr>
        <w:spacing w:after="0" w:line="240" w:lineRule="auto"/>
        <w:ind w:right="5669"/>
        <w:jc w:val="center"/>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Burmistrz Śremu</w:t>
      </w:r>
    </w:p>
    <w:p w14:paraId="3CBC520A" w14:textId="77777777" w:rsidR="004E61DD" w:rsidRPr="004E61DD" w:rsidRDefault="004E61DD" w:rsidP="004E61DD">
      <w:pPr>
        <w:spacing w:after="0" w:line="240" w:lineRule="auto"/>
        <w:ind w:right="5669"/>
        <w:jc w:val="center"/>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ul. Plac 20 Października 1</w:t>
      </w:r>
    </w:p>
    <w:p w14:paraId="1FA423B3" w14:textId="77777777" w:rsidR="004E61DD" w:rsidRPr="004E61DD" w:rsidRDefault="004E61DD" w:rsidP="004E61DD">
      <w:pPr>
        <w:spacing w:after="0" w:line="240" w:lineRule="auto"/>
        <w:ind w:right="5669"/>
        <w:jc w:val="center"/>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63-100 Śrem</w:t>
      </w:r>
    </w:p>
    <w:p w14:paraId="76FA4A3D" w14:textId="77777777" w:rsidR="004E61DD" w:rsidRPr="004E61DD" w:rsidRDefault="004E61DD" w:rsidP="004E61DD">
      <w:pPr>
        <w:spacing w:after="120" w:line="240" w:lineRule="auto"/>
        <w:jc w:val="right"/>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Śrem, 3 czerwca 2022 roku</w:t>
      </w:r>
    </w:p>
    <w:p w14:paraId="7AFEF98C" w14:textId="77777777" w:rsidR="004E61DD" w:rsidRPr="004E61DD" w:rsidRDefault="004E61DD" w:rsidP="004E61DD">
      <w:pPr>
        <w:spacing w:after="12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PPSOŚ.6220.14.2021.BM</w:t>
      </w:r>
    </w:p>
    <w:p w14:paraId="22B86593" w14:textId="77777777" w:rsidR="004E61DD" w:rsidRPr="004E61DD" w:rsidRDefault="004E61DD" w:rsidP="004E61DD">
      <w:pPr>
        <w:spacing w:after="120" w:line="240" w:lineRule="auto"/>
        <w:jc w:val="center"/>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Decyzja</w:t>
      </w:r>
    </w:p>
    <w:p w14:paraId="171D79AB" w14:textId="77777777" w:rsidR="004E61DD" w:rsidRPr="004E61DD" w:rsidRDefault="004E61DD" w:rsidP="004E61DD">
      <w:pPr>
        <w:spacing w:after="12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ab/>
        <w:t xml:space="preserve">Na podstawie art. 71 ust. 2 pkt 1, art. 75 ust. 1 pkt 4, art. 82 oraz art. 85 ustawy z dnia 3 października 2008 r. o udostępnianiu informacji o środowisku i jego ochronie, udziale społeczeństwa w ochronie środowiska oraz o ocenach oddziaływania na środowisko (Dz. U. z 2022 r. poz. 1029), zwanej dalej ustawą, </w:t>
      </w:r>
      <w:r w:rsidRPr="004E61DD">
        <w:rPr>
          <w:rFonts w:ascii="Calibri" w:eastAsia="Calibri" w:hAnsi="Calibri" w:cs="Calibri"/>
          <w:sz w:val="28"/>
          <w:szCs w:val="28"/>
        </w:rPr>
        <w:t xml:space="preserve">§ 2 ust. 2 pkt 1, w związku z § 2 ust. 1 pkt 51 lit. b </w:t>
      </w:r>
      <w:r w:rsidRPr="004E61DD">
        <w:rPr>
          <w:rFonts w:ascii="Calibri" w:eastAsia="Times New Roman" w:hAnsi="Calibri" w:cs="Calibri"/>
          <w:sz w:val="28"/>
          <w:szCs w:val="28"/>
          <w:lang w:eastAsia="pl-PL"/>
        </w:rPr>
        <w:t>rozporządzenia Rady Ministrów z dnia 10 września 2019 r. w sprawie przedsięwzięć mogących znacząco oddziaływać na środowisko (Dz. U. poz. 1839 i z 2022 r. poz. 1071) oraz art. 104 ustawy z dnia 14 czerwca 1960 r. – Kodeks postępowania administracyjnego (Dz. U. z 2021 r. poz. 735, z późn. zm.), zwanej dalej K.p.a.,</w:t>
      </w:r>
    </w:p>
    <w:p w14:paraId="60D1509D" w14:textId="77777777" w:rsidR="004E61DD" w:rsidRPr="004E61DD" w:rsidRDefault="004E61DD" w:rsidP="004E61DD">
      <w:pPr>
        <w:spacing w:after="120" w:line="240" w:lineRule="auto"/>
        <w:jc w:val="center"/>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po rozpatrzeniu</w:t>
      </w:r>
    </w:p>
    <w:p w14:paraId="590E796A" w14:textId="77777777" w:rsidR="004E61DD" w:rsidRPr="004E61DD" w:rsidRDefault="004E61DD" w:rsidP="004E61DD">
      <w:pPr>
        <w:spacing w:after="120" w:line="240" w:lineRule="auto"/>
        <w:jc w:val="both"/>
        <w:rPr>
          <w:rFonts w:ascii="Calibri" w:eastAsia="Calibri" w:hAnsi="Calibri" w:cs="Calibri"/>
          <w:sz w:val="28"/>
          <w:szCs w:val="28"/>
        </w:rPr>
      </w:pPr>
      <w:r w:rsidRPr="004E61DD">
        <w:rPr>
          <w:rFonts w:ascii="Calibri" w:eastAsia="Times New Roman" w:hAnsi="Calibri" w:cs="Calibri"/>
          <w:sz w:val="28"/>
          <w:szCs w:val="28"/>
          <w:lang w:eastAsia="pl-PL"/>
        </w:rPr>
        <w:t xml:space="preserve">wniosku </w:t>
      </w:r>
      <w:r w:rsidRPr="004E61DD">
        <w:rPr>
          <w:rFonts w:ascii="Calibri" w:eastAsia="Calibri" w:hAnsi="Calibri" w:cs="Times New Roman"/>
          <w:sz w:val="28"/>
          <w:szCs w:val="28"/>
        </w:rPr>
        <w:t>Pana Piotra Jędrzejczaka, prowadzącego działalność rolniczą pod nazwą Gospodarstwo Rolne Piotr Jędrzejczak, Kadzewo 14, 63-100 Śrem</w:t>
      </w:r>
      <w:r w:rsidRPr="004E61DD">
        <w:rPr>
          <w:rFonts w:ascii="Calibri" w:eastAsia="Times New Roman" w:hAnsi="Calibri" w:cs="Calibri"/>
          <w:sz w:val="28"/>
          <w:szCs w:val="28"/>
          <w:lang w:eastAsia="pl-PL"/>
        </w:rPr>
        <w:t xml:space="preserve">, </w:t>
      </w:r>
      <w:r w:rsidRPr="004E61DD">
        <w:rPr>
          <w:rFonts w:ascii="Calibri" w:eastAsia="Calibri" w:hAnsi="Calibri" w:cs="Calibri"/>
          <w:sz w:val="28"/>
          <w:szCs w:val="28"/>
        </w:rPr>
        <w:t xml:space="preserve">o wydanie decyzji o środowiskowych uwarunkowaniach dla planowanego przedsięwzięcia polegającego na </w:t>
      </w:r>
      <w:r w:rsidRPr="004E61DD">
        <w:rPr>
          <w:rFonts w:ascii="Calibri" w:eastAsia="Times New Roman" w:hAnsi="Calibri" w:cs="Calibri"/>
          <w:sz w:val="28"/>
          <w:szCs w:val="28"/>
          <w:lang w:eastAsia="pl-PL"/>
        </w:rPr>
        <w:t>rozbudowie gospodarstwa rolnego poprzez budowę budynku inwentarskiego do chowu trzody chlewnej w bezściółkowym systemie utrzymania z niezbędną infrastrukturą techniczną na działce o numerze ewidencyjnym 189/2, obręb Kadzewo</w:t>
      </w:r>
    </w:p>
    <w:p w14:paraId="1B54C44E" w14:textId="77777777" w:rsidR="004E61DD" w:rsidRPr="004E61DD" w:rsidRDefault="004E61DD" w:rsidP="004E61DD">
      <w:pPr>
        <w:spacing w:after="12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i przeprowadzeniu postępowania w sprawie oceny oddziaływania na środowisko,</w:t>
      </w:r>
    </w:p>
    <w:p w14:paraId="1DFBB449" w14:textId="77777777" w:rsidR="004E61DD" w:rsidRPr="004E61DD" w:rsidRDefault="004E61DD" w:rsidP="004E61DD">
      <w:pPr>
        <w:spacing w:after="120" w:line="240" w:lineRule="auto"/>
        <w:jc w:val="center"/>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ustalam</w:t>
      </w:r>
    </w:p>
    <w:p w14:paraId="5C402717" w14:textId="77777777" w:rsidR="004E61DD" w:rsidRPr="004E61DD" w:rsidRDefault="004E61DD" w:rsidP="004E61DD">
      <w:pPr>
        <w:spacing w:after="12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środowiskowe uwarunkowania dla planowanego przedsięwzięcia </w:t>
      </w:r>
      <w:r w:rsidRPr="004E61DD">
        <w:rPr>
          <w:rFonts w:ascii="Calibri" w:eastAsia="Calibri" w:hAnsi="Calibri" w:cs="Calibri"/>
          <w:sz w:val="28"/>
          <w:szCs w:val="28"/>
        </w:rPr>
        <w:t xml:space="preserve">polegającego na </w:t>
      </w:r>
      <w:r w:rsidRPr="004E61DD">
        <w:rPr>
          <w:rFonts w:ascii="Calibri" w:eastAsia="Times New Roman" w:hAnsi="Calibri" w:cs="Calibri"/>
          <w:sz w:val="28"/>
          <w:szCs w:val="28"/>
          <w:lang w:eastAsia="pl-PL"/>
        </w:rPr>
        <w:t xml:space="preserve">rozbudowie gospodarstwa rolnego poprzez budowę budynku inwentarskiego do chowu trzody chlewnej w bezściółkowym systemie utrzymania z niezbędną infrastrukturą techniczną na działce o numerze ewidencyjnym 189/2, obręb </w:t>
      </w:r>
      <w:proofErr w:type="gramStart"/>
      <w:r w:rsidRPr="004E61DD">
        <w:rPr>
          <w:rFonts w:ascii="Calibri" w:eastAsia="Times New Roman" w:hAnsi="Calibri" w:cs="Calibri"/>
          <w:sz w:val="28"/>
          <w:szCs w:val="28"/>
          <w:lang w:eastAsia="pl-PL"/>
        </w:rPr>
        <w:t>Kadzewo,</w:t>
      </w:r>
      <w:proofErr w:type="gramEnd"/>
      <w:r w:rsidRPr="004E61DD">
        <w:rPr>
          <w:rFonts w:ascii="Calibri" w:eastAsia="Times New Roman" w:hAnsi="Calibri" w:cs="Calibri"/>
          <w:sz w:val="28"/>
          <w:szCs w:val="28"/>
          <w:lang w:eastAsia="pl-PL"/>
        </w:rPr>
        <w:t xml:space="preserve"> oraz:</w:t>
      </w:r>
    </w:p>
    <w:p w14:paraId="24287DA4"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4068BFB7" w14:textId="77777777" w:rsidR="004E61DD" w:rsidRPr="004E61DD" w:rsidRDefault="004E61DD" w:rsidP="004E61DD">
      <w:pPr>
        <w:spacing w:after="12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1. Określam:</w:t>
      </w:r>
    </w:p>
    <w:p w14:paraId="0D8F9FBB" w14:textId="77777777" w:rsidR="004E61DD" w:rsidRPr="004E61DD" w:rsidRDefault="004E61DD" w:rsidP="004E61DD">
      <w:pPr>
        <w:spacing w:after="12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1) rodzaj i miejsce realizacji przedsięwzięcia:</w:t>
      </w:r>
    </w:p>
    <w:p w14:paraId="59EF9103" w14:textId="77777777" w:rsidR="004E61DD" w:rsidRPr="004E61DD" w:rsidRDefault="004E61DD" w:rsidP="006D70A7">
      <w:pPr>
        <w:autoSpaceDE w:val="0"/>
        <w:autoSpaceDN w:val="0"/>
        <w:adjustRightInd w:val="0"/>
        <w:spacing w:after="120" w:line="240" w:lineRule="auto"/>
        <w:ind w:left="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planowane przedsięwzięcie polega na rozbudowie istniejącego gospodarstwa rolnego, na działce o numerze ewidencyjnym 189/2, obręb Kadzewo, w którym prowadzony jest chów trzody chlewnej w pięciu budynkach inwentarskich, to jest w chlewniach: I, III, IV, V</w:t>
      </w:r>
      <w:r w:rsidRPr="004E61DD">
        <w:rPr>
          <w:rFonts w:ascii="Calibri" w:eastAsia="Times New Roman" w:hAnsi="Calibri" w:cs="Calibri"/>
          <w:sz w:val="28"/>
          <w:szCs w:val="28"/>
          <w:vertAlign w:val="superscript"/>
          <w:lang w:eastAsia="pl-PL"/>
        </w:rPr>
        <w:footnoteReference w:id="1"/>
      </w:r>
      <w:r w:rsidRPr="004E61DD">
        <w:rPr>
          <w:rFonts w:ascii="Calibri" w:eastAsia="Times New Roman" w:hAnsi="Calibri" w:cs="Calibri"/>
          <w:sz w:val="28"/>
          <w:szCs w:val="28"/>
          <w:lang w:eastAsia="pl-PL"/>
        </w:rPr>
        <w:t>, w systemie bezściółkowym i w chlewni II</w:t>
      </w:r>
      <w:r w:rsidRPr="004E61DD">
        <w:rPr>
          <w:rFonts w:ascii="Calibri" w:eastAsia="Times New Roman" w:hAnsi="Calibri" w:cs="Calibri"/>
          <w:sz w:val="28"/>
          <w:szCs w:val="28"/>
          <w:vertAlign w:val="superscript"/>
          <w:lang w:eastAsia="pl-PL"/>
        </w:rPr>
        <w:t>1</w:t>
      </w:r>
      <w:r w:rsidRPr="004E61DD">
        <w:rPr>
          <w:rFonts w:ascii="Calibri" w:eastAsia="Times New Roman" w:hAnsi="Calibri" w:cs="Calibri"/>
          <w:sz w:val="28"/>
          <w:szCs w:val="28"/>
          <w:lang w:eastAsia="pl-PL"/>
        </w:rPr>
        <w:t>, na głębokiej ściółce, o aktualnej obsadzie zwierząt wynoszącej łącznie 246,9 DJP (Duże Jednostki Przeliczeniowe). W ramach przedsięwzięcia zaplanowano budowę:</w:t>
      </w:r>
    </w:p>
    <w:p w14:paraId="569B1640" w14:textId="77777777" w:rsidR="004E61DD" w:rsidRPr="004E61DD" w:rsidRDefault="004E61DD" w:rsidP="004E61DD">
      <w:pPr>
        <w:numPr>
          <w:ilvl w:val="0"/>
          <w:numId w:val="35"/>
        </w:numPr>
        <w:autoSpaceDE w:val="0"/>
        <w:autoSpaceDN w:val="0"/>
        <w:adjustRightInd w:val="0"/>
        <w:spacing w:after="120" w:line="240" w:lineRule="auto"/>
        <w:ind w:left="709" w:hanging="425"/>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budynku inwentarskiego do chowu trzody chlewnej, to jest chlewni VI</w:t>
      </w:r>
      <w:r w:rsidRPr="004E61DD">
        <w:rPr>
          <w:rFonts w:ascii="Calibri" w:eastAsia="Times New Roman" w:hAnsi="Calibri" w:cs="Calibri"/>
          <w:sz w:val="28"/>
          <w:szCs w:val="28"/>
          <w:vertAlign w:val="superscript"/>
          <w:lang w:eastAsia="pl-PL"/>
        </w:rPr>
        <w:t>1</w:t>
      </w:r>
      <w:r w:rsidRPr="004E61DD">
        <w:rPr>
          <w:rFonts w:ascii="Calibri" w:eastAsia="Times New Roman" w:hAnsi="Calibri" w:cs="Calibri"/>
          <w:bCs/>
          <w:sz w:val="28"/>
          <w:szCs w:val="28"/>
          <w:lang w:eastAsia="pl-PL"/>
        </w:rPr>
        <w:t>, w bezściółkowym systemie utrzymania zwierząt, o maksymalnej obsadzie 2 800 sztuk tuczników, łącznie 392 DJP,</w:t>
      </w:r>
    </w:p>
    <w:p w14:paraId="16B18040" w14:textId="77777777" w:rsidR="004E61DD" w:rsidRPr="004E61DD" w:rsidRDefault="004E61DD" w:rsidP="004E61DD">
      <w:pPr>
        <w:numPr>
          <w:ilvl w:val="0"/>
          <w:numId w:val="35"/>
        </w:numPr>
        <w:autoSpaceDE w:val="0"/>
        <w:autoSpaceDN w:val="0"/>
        <w:adjustRightInd w:val="0"/>
        <w:spacing w:after="120" w:line="240" w:lineRule="auto"/>
        <w:ind w:left="709" w:hanging="425"/>
        <w:jc w:val="both"/>
        <w:rPr>
          <w:rFonts w:ascii="Calibri" w:eastAsia="Times New Roman" w:hAnsi="Calibri" w:cs="Calibri"/>
          <w:sz w:val="28"/>
          <w:szCs w:val="28"/>
          <w:lang w:eastAsia="pl-PL"/>
        </w:rPr>
      </w:pPr>
      <w:bookmarkStart w:id="0" w:name="_Hlk100741053"/>
      <w:r w:rsidRPr="004E61DD">
        <w:rPr>
          <w:rFonts w:ascii="Calibri" w:eastAsia="Times New Roman" w:hAnsi="Calibri" w:cs="Calibri"/>
          <w:sz w:val="28"/>
          <w:szCs w:val="28"/>
          <w:lang w:eastAsia="pl-PL"/>
        </w:rPr>
        <w:t>dwóch silosów na pasze o możliwości przechowywania pasz w ilości ca 27 Mg każdy,</w:t>
      </w:r>
    </w:p>
    <w:p w14:paraId="3291D96A" w14:textId="77777777" w:rsidR="004E61DD" w:rsidRPr="004E61DD" w:rsidRDefault="004E61DD" w:rsidP="004E61DD">
      <w:pPr>
        <w:numPr>
          <w:ilvl w:val="0"/>
          <w:numId w:val="35"/>
        </w:numPr>
        <w:autoSpaceDE w:val="0"/>
        <w:autoSpaceDN w:val="0"/>
        <w:adjustRightInd w:val="0"/>
        <w:spacing w:after="120" w:line="240" w:lineRule="auto"/>
        <w:ind w:left="709" w:hanging="425"/>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dwóch silosów na pasze o możliwości przechowywania pasz w ilości ca 40 Mg każdy,</w:t>
      </w:r>
    </w:p>
    <w:p w14:paraId="204E79E6" w14:textId="77777777" w:rsidR="004E61DD" w:rsidRPr="004E61DD" w:rsidRDefault="004E61DD" w:rsidP="004E61DD">
      <w:pPr>
        <w:numPr>
          <w:ilvl w:val="0"/>
          <w:numId w:val="35"/>
        </w:numPr>
        <w:autoSpaceDE w:val="0"/>
        <w:autoSpaceDN w:val="0"/>
        <w:adjustRightInd w:val="0"/>
        <w:spacing w:after="120" w:line="240" w:lineRule="auto"/>
        <w:ind w:left="709" w:hanging="425"/>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zbiornika do przechowywania gnojowicy o pojemności nie większej niż 2 611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w:t>
      </w:r>
    </w:p>
    <w:p w14:paraId="7DA71D7B" w14:textId="77777777" w:rsidR="004E61DD" w:rsidRPr="004E61DD" w:rsidRDefault="004E61DD" w:rsidP="004E61DD">
      <w:pPr>
        <w:numPr>
          <w:ilvl w:val="0"/>
          <w:numId w:val="35"/>
        </w:numPr>
        <w:autoSpaceDE w:val="0"/>
        <w:autoSpaceDN w:val="0"/>
        <w:adjustRightInd w:val="0"/>
        <w:spacing w:after="120" w:line="240" w:lineRule="auto"/>
        <w:ind w:left="709" w:hanging="425"/>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zbiornika przepompowego na gnojowicę o pojemności nie większej niż 100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w:t>
      </w:r>
    </w:p>
    <w:p w14:paraId="0F22E8FA" w14:textId="77777777" w:rsidR="004E61DD" w:rsidRPr="004E61DD" w:rsidRDefault="004E61DD" w:rsidP="004E61DD">
      <w:pPr>
        <w:numPr>
          <w:ilvl w:val="0"/>
          <w:numId w:val="35"/>
        </w:numPr>
        <w:autoSpaceDE w:val="0"/>
        <w:autoSpaceDN w:val="0"/>
        <w:adjustRightInd w:val="0"/>
        <w:spacing w:after="120" w:line="240" w:lineRule="auto"/>
        <w:ind w:left="709" w:hanging="425"/>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ujęcia wód podziemnych</w:t>
      </w:r>
      <w:bookmarkEnd w:id="0"/>
      <w:r w:rsidRPr="004E61DD">
        <w:rPr>
          <w:rFonts w:ascii="Calibri" w:eastAsia="Times New Roman" w:hAnsi="Calibri" w:cs="Calibri"/>
          <w:sz w:val="28"/>
          <w:szCs w:val="28"/>
          <w:lang w:eastAsia="pl-PL"/>
        </w:rPr>
        <w:t>.</w:t>
      </w:r>
    </w:p>
    <w:p w14:paraId="49508ADF" w14:textId="77777777" w:rsidR="004E61DD" w:rsidRPr="004E61DD" w:rsidRDefault="004E61DD" w:rsidP="006D70A7">
      <w:pPr>
        <w:autoSpaceDE w:val="0"/>
        <w:autoSpaceDN w:val="0"/>
        <w:adjustRightInd w:val="0"/>
        <w:spacing w:after="120" w:line="240" w:lineRule="auto"/>
        <w:ind w:left="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W związku z realizacją przedsięwzięcia zostanie zaniechany chów trzody chlewnej w budynku chlewni oznaczonej symbolem I. Część tego budynku będzie pełniła funkcję izolatki dla zwierząt chorych i agresywnych, a część zostanie przeznaczona na pomieszczenia gospodarcze. Jednocześnie zostanie zmieniona wentylacja w budynku chlewni V. </w:t>
      </w:r>
      <w:r w:rsidRPr="004E61DD">
        <w:rPr>
          <w:rFonts w:ascii="Calibri" w:eastAsia="Times New Roman" w:hAnsi="Calibri" w:cs="Calibri"/>
          <w:b/>
          <w:bCs/>
          <w:sz w:val="28"/>
          <w:szCs w:val="28"/>
          <w:lang w:eastAsia="pl-PL"/>
        </w:rPr>
        <w:t>Po zrealizowaniu przedsięwzięcia obsada w gospodarstwie rolnym zostanie zwiększona o 526,68 DJP i będzie wynosić nie więcej niż 773,58 DJP</w:t>
      </w:r>
      <w:r w:rsidRPr="004E61DD">
        <w:rPr>
          <w:rFonts w:ascii="Calibri" w:eastAsia="Times New Roman" w:hAnsi="Calibri" w:cs="Calibri"/>
          <w:sz w:val="28"/>
          <w:szCs w:val="28"/>
          <w:lang w:eastAsia="pl-PL"/>
        </w:rPr>
        <w:t xml:space="preserve">; </w:t>
      </w:r>
    </w:p>
    <w:p w14:paraId="31EC74DD" w14:textId="77777777" w:rsidR="004E61DD" w:rsidRPr="004E61DD" w:rsidRDefault="004E61DD" w:rsidP="004E61DD">
      <w:pPr>
        <w:autoSpaceDE w:val="0"/>
        <w:autoSpaceDN w:val="0"/>
        <w:adjustRightInd w:val="0"/>
        <w:spacing w:after="120" w:line="240" w:lineRule="auto"/>
        <w:jc w:val="both"/>
        <w:rPr>
          <w:rFonts w:ascii="Calibri" w:eastAsia="Times New Roman" w:hAnsi="Calibri" w:cs="Calibri"/>
          <w:sz w:val="28"/>
          <w:szCs w:val="28"/>
          <w:lang w:eastAsia="pl-PL"/>
        </w:rPr>
      </w:pPr>
    </w:p>
    <w:p w14:paraId="574C12AF" w14:textId="77777777" w:rsidR="004E61DD" w:rsidRPr="004E61DD" w:rsidRDefault="004E61DD" w:rsidP="004E61DD">
      <w:pPr>
        <w:autoSpaceDE w:val="0"/>
        <w:autoSpaceDN w:val="0"/>
        <w:adjustRightInd w:val="0"/>
        <w:spacing w:after="120" w:line="240" w:lineRule="auto"/>
        <w:jc w:val="both"/>
        <w:rPr>
          <w:rFonts w:ascii="Calibri" w:eastAsia="Times New Roman" w:hAnsi="Calibri" w:cs="Calibri"/>
          <w:sz w:val="28"/>
          <w:szCs w:val="28"/>
          <w:lang w:eastAsia="pl-PL"/>
        </w:rPr>
      </w:pPr>
    </w:p>
    <w:p w14:paraId="1C759998" w14:textId="77777777" w:rsidR="004E61DD" w:rsidRPr="004E61DD" w:rsidRDefault="004E61DD" w:rsidP="006D70A7">
      <w:pPr>
        <w:tabs>
          <w:tab w:val="left" w:pos="284"/>
        </w:tabs>
        <w:spacing w:after="120" w:line="240" w:lineRule="auto"/>
        <w:ind w:left="284"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2)</w:t>
      </w:r>
      <w:r w:rsidRPr="004E61DD">
        <w:rPr>
          <w:rFonts w:ascii="Calibri" w:eastAsia="Times New Roman" w:hAnsi="Calibri" w:cs="Calibri"/>
          <w:sz w:val="28"/>
          <w:szCs w:val="28"/>
          <w:lang w:eastAsia="pl-PL"/>
        </w:rPr>
        <w:tab/>
        <w:t>istotne 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669223C6"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wykonać obiekt inwentarski (chlewnię VI) do chowu trzody chlewnej w liczbie nie większej niż 2 800 sztuk tuczników, to jest nie większej niż 392 DJP, o łącznej powierzchni przeznaczonej do hodowli zwierząt nie większej niż 2 112,2 m</w:t>
      </w:r>
      <w:r w:rsidRPr="004E61DD">
        <w:rPr>
          <w:rFonts w:ascii="Calibri" w:eastAsia="Times New Roman" w:hAnsi="Calibri" w:cs="Calibri"/>
          <w:sz w:val="28"/>
          <w:szCs w:val="28"/>
          <w:vertAlign w:val="superscript"/>
          <w:lang w:eastAsia="pl-PL"/>
        </w:rPr>
        <w:t>2</w:t>
      </w:r>
      <w:r w:rsidRPr="004E61DD">
        <w:rPr>
          <w:rFonts w:ascii="Calibri" w:eastAsia="Times New Roman" w:hAnsi="Calibri" w:cs="Calibri"/>
          <w:sz w:val="28"/>
          <w:szCs w:val="28"/>
          <w:lang w:eastAsia="pl-PL"/>
        </w:rPr>
        <w:t>,</w:t>
      </w:r>
    </w:p>
    <w:p w14:paraId="0F734EAE"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chów trzody chlewnej prowadzić w projektowanym budynku (chlewnia VI), o łącznej maksymalnej obsadzie wskazanej w ust. 1 pkt 2 lit. a, w ramach rozbudowy gospodarstwa rolnego, gdzie istniejącą infrastrukturę stanowią chlewnie: I, II, III, IV, V z planowaną łączną obsadą nie większą niż 381,58 DJP,</w:t>
      </w:r>
    </w:p>
    <w:p w14:paraId="559E2454"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nie przekraczać łącznej maksymalnej obsady zwierząt w chlewniach od I do VI, wynoszącej 773,58 DJP, przy czym w chlewni I powierzchnie użytkowe przeznaczyć na izolatkę i pomieszczenia gospodarcze,</w:t>
      </w:r>
    </w:p>
    <w:p w14:paraId="2EE4906B"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iCs/>
          <w:sz w:val="28"/>
          <w:szCs w:val="28"/>
          <w:lang w:eastAsia="pl-PL"/>
        </w:rPr>
        <w:t>po rozbudowie gospodarstwa rolnego utrzymywać maksymalnie:</w:t>
      </w:r>
    </w:p>
    <w:p w14:paraId="118533EA" w14:textId="77777777" w:rsidR="004E61DD" w:rsidRPr="004E61DD" w:rsidRDefault="004E61DD" w:rsidP="004E61DD">
      <w:pPr>
        <w:numPr>
          <w:ilvl w:val="0"/>
          <w:numId w:val="37"/>
        </w:numPr>
        <w:spacing w:after="120" w:line="240" w:lineRule="auto"/>
        <w:ind w:left="851" w:hanging="284"/>
        <w:jc w:val="both"/>
        <w:rPr>
          <w:rFonts w:ascii="Calibri" w:eastAsia="Times New Roman" w:hAnsi="Calibri" w:cs="Calibri"/>
          <w:sz w:val="28"/>
          <w:szCs w:val="28"/>
          <w:lang w:eastAsia="pl-PL"/>
        </w:rPr>
      </w:pPr>
      <w:r w:rsidRPr="004E61DD">
        <w:rPr>
          <w:rFonts w:ascii="Calibri" w:eastAsia="Times New Roman" w:hAnsi="Calibri" w:cs="Calibri"/>
          <w:iCs/>
          <w:sz w:val="28"/>
          <w:szCs w:val="28"/>
          <w:lang w:eastAsia="pl-PL"/>
        </w:rPr>
        <w:t>w chlewni II: 231 sztuk macior, to jest 80,85 DJP i jednego knura, to jest 0,4 DJP; łącznie nie więcej niż 81,25 DJP zwierząt, w systemie na głębokiej ściółce, na powierzchni hodowlanej nie większej niż 526 m</w:t>
      </w:r>
      <w:r w:rsidRPr="004E61DD">
        <w:rPr>
          <w:rFonts w:ascii="Calibri" w:eastAsia="Times New Roman" w:hAnsi="Calibri" w:cs="Calibri"/>
          <w:iCs/>
          <w:sz w:val="28"/>
          <w:szCs w:val="28"/>
          <w:vertAlign w:val="superscript"/>
          <w:lang w:eastAsia="pl-PL"/>
        </w:rPr>
        <w:t>2</w:t>
      </w:r>
      <w:r w:rsidRPr="004E61DD">
        <w:rPr>
          <w:rFonts w:ascii="Calibri" w:eastAsia="Times New Roman" w:hAnsi="Calibri" w:cs="Calibri"/>
          <w:iCs/>
          <w:sz w:val="28"/>
          <w:szCs w:val="28"/>
          <w:lang w:eastAsia="pl-PL"/>
        </w:rPr>
        <w:t>,</w:t>
      </w:r>
    </w:p>
    <w:p w14:paraId="3E253FB8" w14:textId="77777777" w:rsidR="004E61DD" w:rsidRPr="004E61DD" w:rsidRDefault="004E61DD" w:rsidP="004E61DD">
      <w:pPr>
        <w:numPr>
          <w:ilvl w:val="0"/>
          <w:numId w:val="37"/>
        </w:numPr>
        <w:spacing w:after="120" w:line="240" w:lineRule="auto"/>
        <w:ind w:left="851"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w chlewni III: 465 sztuk warchlaków, to jest 32,55 DJP, 420 sztuk prosiąt (porodówka), to jest 8,4 DJP, 28 sztuk macior (porodówka), to jest 9,8 DJP, 34 sztuk macior ( krycie), to jest 11,9 DJP i jednego knura, to jest 0,4 DJP; łącznie 63,05 DJP zwierząt, w systemie bezściółkowym, na powierzchni hodowlanej nie większej niż 308,8 m</w:t>
      </w:r>
      <w:r w:rsidRPr="004E61DD">
        <w:rPr>
          <w:rFonts w:ascii="Calibri" w:eastAsia="Times New Roman" w:hAnsi="Calibri" w:cs="Calibri"/>
          <w:sz w:val="28"/>
          <w:szCs w:val="28"/>
          <w:vertAlign w:val="superscript"/>
          <w:lang w:eastAsia="pl-PL"/>
        </w:rPr>
        <w:t>2</w:t>
      </w:r>
      <w:r w:rsidRPr="004E61DD">
        <w:rPr>
          <w:rFonts w:ascii="Calibri" w:eastAsia="Times New Roman" w:hAnsi="Calibri" w:cs="Calibri"/>
          <w:sz w:val="28"/>
          <w:szCs w:val="28"/>
          <w:lang w:eastAsia="pl-PL"/>
        </w:rPr>
        <w:t>,</w:t>
      </w:r>
    </w:p>
    <w:p w14:paraId="360A5A06" w14:textId="77777777" w:rsidR="004E61DD" w:rsidRPr="004E61DD" w:rsidRDefault="004E61DD" w:rsidP="004E61DD">
      <w:pPr>
        <w:numPr>
          <w:ilvl w:val="0"/>
          <w:numId w:val="37"/>
        </w:numPr>
        <w:spacing w:after="120" w:line="240" w:lineRule="auto"/>
        <w:ind w:left="851"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w chlewni IV: 420 sztuk prosiąt (porodówka), to jest 8,4 DJP, 302 sztuki warchlaków, to jest 21,14 DJP, 28 sztuk macior (porodówka), to jest 9,8 DJP, 88 sztuk macior (krycie), to jest 30,8 DJP, 90 sztuk loszek (tuczniki), to jest 12,6 DJP i jednego knura, to jest 0,4 DJP; łącznie 83,14 DJP zwierząt, w systemie bezściółkowym, na powierzchni hodowlanej nie większej niż 515,22 m</w:t>
      </w:r>
      <w:r w:rsidRPr="004E61DD">
        <w:rPr>
          <w:rFonts w:ascii="Calibri" w:eastAsia="Times New Roman" w:hAnsi="Calibri" w:cs="Calibri"/>
          <w:sz w:val="28"/>
          <w:szCs w:val="28"/>
          <w:vertAlign w:val="superscript"/>
          <w:lang w:eastAsia="pl-PL"/>
        </w:rPr>
        <w:t>2</w:t>
      </w:r>
      <w:r w:rsidRPr="004E61DD">
        <w:rPr>
          <w:rFonts w:ascii="Calibri" w:eastAsia="Times New Roman" w:hAnsi="Calibri" w:cs="Calibri"/>
          <w:sz w:val="28"/>
          <w:szCs w:val="28"/>
          <w:lang w:eastAsia="pl-PL"/>
        </w:rPr>
        <w:t>,</w:t>
      </w:r>
    </w:p>
    <w:p w14:paraId="462C6C66" w14:textId="77777777" w:rsidR="004E61DD" w:rsidRPr="004E61DD" w:rsidRDefault="004E61DD" w:rsidP="004E61DD">
      <w:pPr>
        <w:spacing w:after="120" w:line="240" w:lineRule="auto"/>
        <w:jc w:val="both"/>
        <w:rPr>
          <w:rFonts w:ascii="Calibri" w:eastAsia="Times New Roman" w:hAnsi="Calibri" w:cs="Calibri"/>
          <w:sz w:val="28"/>
          <w:szCs w:val="28"/>
          <w:lang w:eastAsia="pl-PL"/>
        </w:rPr>
      </w:pPr>
    </w:p>
    <w:p w14:paraId="31476530" w14:textId="4DD283E5" w:rsidR="004E61DD" w:rsidRDefault="004E61DD" w:rsidP="004E61DD">
      <w:pPr>
        <w:spacing w:after="120" w:line="240" w:lineRule="auto"/>
        <w:jc w:val="both"/>
        <w:rPr>
          <w:rFonts w:ascii="Calibri" w:eastAsia="Times New Roman" w:hAnsi="Calibri" w:cs="Calibri"/>
          <w:sz w:val="28"/>
          <w:szCs w:val="28"/>
          <w:lang w:eastAsia="pl-PL"/>
        </w:rPr>
      </w:pPr>
    </w:p>
    <w:p w14:paraId="201ABD63" w14:textId="77777777" w:rsidR="006D70A7" w:rsidRPr="004E61DD" w:rsidRDefault="006D70A7" w:rsidP="004E61DD">
      <w:pPr>
        <w:spacing w:after="120" w:line="240" w:lineRule="auto"/>
        <w:jc w:val="both"/>
        <w:rPr>
          <w:rFonts w:ascii="Calibri" w:eastAsia="Times New Roman" w:hAnsi="Calibri" w:cs="Calibri"/>
          <w:sz w:val="28"/>
          <w:szCs w:val="28"/>
          <w:lang w:eastAsia="pl-PL"/>
        </w:rPr>
      </w:pPr>
    </w:p>
    <w:p w14:paraId="1B01BE01" w14:textId="77777777" w:rsidR="004E61DD" w:rsidRPr="004E61DD" w:rsidRDefault="004E61DD" w:rsidP="004E61DD">
      <w:pPr>
        <w:numPr>
          <w:ilvl w:val="0"/>
          <w:numId w:val="37"/>
        </w:numPr>
        <w:spacing w:after="120" w:line="240" w:lineRule="auto"/>
        <w:ind w:left="851"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w chlewni V: 840 sztuk prosiąt (porodówka), to jest 16,8 DJP, 56 sztuk macior (porodówka), to jest 19,6 DJP, 882 sztuki warchlaków, to jest 61,74 DJP, 400 sztuk tuczników, to jest 56 DJP; łącznie 154,14 DJP zwierząt, w systemie bezściółkowym, na powierzchni hodowlanej nie większej niż 787,2 m</w:t>
      </w:r>
      <w:r w:rsidRPr="004E61DD">
        <w:rPr>
          <w:rFonts w:ascii="Calibri" w:eastAsia="Times New Roman" w:hAnsi="Calibri" w:cs="Calibri"/>
          <w:sz w:val="28"/>
          <w:szCs w:val="28"/>
          <w:vertAlign w:val="superscript"/>
          <w:lang w:eastAsia="pl-PL"/>
        </w:rPr>
        <w:t>2</w:t>
      </w:r>
      <w:r w:rsidRPr="004E61DD">
        <w:rPr>
          <w:rFonts w:ascii="Calibri" w:eastAsia="Times New Roman" w:hAnsi="Calibri" w:cs="Calibri"/>
          <w:sz w:val="28"/>
          <w:szCs w:val="28"/>
          <w:lang w:eastAsia="pl-PL"/>
        </w:rPr>
        <w:t>,</w:t>
      </w:r>
    </w:p>
    <w:p w14:paraId="2CE2DE7E"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iCs/>
          <w:sz w:val="28"/>
          <w:szCs w:val="28"/>
          <w:lang w:eastAsia="pl-PL"/>
        </w:rPr>
        <w:t>budynki inwentarskie wyposażyć w posadzkę betonową - szczelną, zabezpieczającą przed przenikaniem zanieczyszczeń do środowiska gruntowo-wodnego,</w:t>
      </w:r>
    </w:p>
    <w:p w14:paraId="167E4F1C"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zaprojektować i wykonać pod projektowanym obiektem inwentarskim szczelne kanały podrusztowe do przechowywania gnojowicy o łącznej pojemności nie mniejszej niż 2 083 m</w:t>
      </w:r>
      <w:r w:rsidRPr="004E61DD">
        <w:rPr>
          <w:rFonts w:ascii="Calibri" w:eastAsia="Times New Roman" w:hAnsi="Calibri" w:cs="Calibri"/>
          <w:sz w:val="28"/>
          <w:szCs w:val="28"/>
          <w:vertAlign w:val="superscript"/>
          <w:lang w:eastAsia="pl-PL"/>
        </w:rPr>
        <w:t xml:space="preserve">3 </w:t>
      </w:r>
      <w:r w:rsidRPr="004E61DD">
        <w:rPr>
          <w:rFonts w:ascii="Calibri" w:eastAsia="Times New Roman" w:hAnsi="Calibri" w:cs="Calibri"/>
          <w:sz w:val="28"/>
          <w:szCs w:val="28"/>
          <w:lang w:eastAsia="pl-PL"/>
        </w:rPr>
        <w:t>oraz zewnętrzny zbiornik na gnojowicę o pojemności nie większej niż 2 611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bCs/>
          <w:sz w:val="28"/>
          <w:szCs w:val="28"/>
          <w:lang w:eastAsia="pl-PL"/>
        </w:rPr>
        <w:t>. Zastosować materiały odporne na agresywne działanie gnojowicy</w:t>
      </w:r>
      <w:r w:rsidRPr="004E61DD">
        <w:rPr>
          <w:rFonts w:ascii="Calibri" w:eastAsia="Times New Roman" w:hAnsi="Calibri" w:cs="Calibri"/>
          <w:sz w:val="28"/>
          <w:szCs w:val="28"/>
          <w:lang w:eastAsia="pl-PL"/>
        </w:rPr>
        <w:t>,</w:t>
      </w:r>
    </w:p>
    <w:p w14:paraId="06AD95A8"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ograniczyć do niezbędnego minimum ruch pojazdów w obrębie gospodarstwa rolnego, a także postój maszyn z włączonym silnikiem;</w:t>
      </w:r>
    </w:p>
    <w:p w14:paraId="4C52EF26"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bCs/>
          <w:sz w:val="28"/>
          <w:szCs w:val="28"/>
          <w:lang w:eastAsia="pl-PL"/>
        </w:rPr>
        <w:t>ruch pojazdów po terenie przedmiotowego gospodarstwa rolnego ograniczyć do pory dnia, to jest godzin od 6:00 do 22:00,</w:t>
      </w:r>
    </w:p>
    <w:p w14:paraId="24AD6996"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bCs/>
          <w:sz w:val="28"/>
          <w:szCs w:val="28"/>
          <w:lang w:eastAsia="pl-PL"/>
        </w:rPr>
        <w:t>nie wykonywać hałaśliwych operacji w porze nocy. Ograniczyć wszelkie prace związane z funkcjonowaniem gospodarstwa rolnego do pory dnia, to jest godzin od 6:00 do 22:00,</w:t>
      </w:r>
    </w:p>
    <w:p w14:paraId="2BB85EBC" w14:textId="7032CBA4"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bCs/>
          <w:sz w:val="28"/>
          <w:szCs w:val="28"/>
          <w:lang w:eastAsia="pl-PL"/>
        </w:rPr>
        <w:t xml:space="preserve">w projektowanym budynku inwentarskim - chlewni VI – zainstalować nie więcej niż 17 wentylatorów dachowych z otwartymi wylotami pionowymi, z wylotami na wysokości minimum 6,2 m n.p.t., średnicy wylotu 0,91 m (±10%) oraz wydajności urządzenia </w:t>
      </w:r>
      <w:r w:rsidRPr="004E61DD">
        <w:rPr>
          <w:rFonts w:ascii="Calibri" w:eastAsia="Times New Roman" w:hAnsi="Calibri" w:cs="Calibri"/>
          <w:sz w:val="28"/>
          <w:szCs w:val="28"/>
          <w:lang w:eastAsia="pl-PL"/>
        </w:rPr>
        <w:t>25 000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 xml:space="preserve">/h </w:t>
      </w:r>
      <w:r w:rsidRPr="004E61DD">
        <w:rPr>
          <w:rFonts w:ascii="Calibri" w:eastAsia="Times New Roman" w:hAnsi="Calibri" w:cs="Calibri"/>
          <w:bCs/>
          <w:sz w:val="28"/>
          <w:szCs w:val="28"/>
          <w:lang w:eastAsia="pl-PL"/>
        </w:rPr>
        <w:t>(±10%),</w:t>
      </w:r>
      <w:r w:rsidRPr="004E61DD">
        <w:rPr>
          <w:rFonts w:ascii="Arial" w:eastAsia="Nimbus Roman No9 L" w:hAnsi="Arial" w:cs="Arial"/>
          <w:bCs/>
          <w:szCs w:val="20"/>
          <w:lang w:eastAsia="zh-CN"/>
        </w:rPr>
        <w:t xml:space="preserve"> </w:t>
      </w:r>
      <w:r w:rsidRPr="004E61DD">
        <w:rPr>
          <w:rFonts w:ascii="Calibri" w:eastAsia="Times New Roman" w:hAnsi="Calibri" w:cs="Calibri"/>
          <w:bCs/>
          <w:sz w:val="28"/>
          <w:szCs w:val="28"/>
          <w:lang w:eastAsia="pl-PL"/>
        </w:rPr>
        <w:t>o</w:t>
      </w:r>
      <w:r w:rsidR="008A398F">
        <w:rPr>
          <w:rFonts w:ascii="Calibri" w:eastAsia="Times New Roman" w:hAnsi="Calibri" w:cs="Calibri"/>
          <w:bCs/>
          <w:sz w:val="28"/>
          <w:szCs w:val="28"/>
          <w:lang w:eastAsia="pl-PL"/>
        </w:rPr>
        <w:t> </w:t>
      </w:r>
      <w:r w:rsidRPr="004E61DD">
        <w:rPr>
          <w:rFonts w:ascii="Calibri" w:eastAsia="Times New Roman" w:hAnsi="Calibri" w:cs="Calibri"/>
          <w:bCs/>
          <w:sz w:val="28"/>
          <w:szCs w:val="28"/>
          <w:lang w:eastAsia="pl-PL"/>
        </w:rPr>
        <w:t>poziomie mocy akustycznej nie wyższym niż 75 dB każdy,</w:t>
      </w:r>
    </w:p>
    <w:p w14:paraId="5B171176" w14:textId="2440BA1A"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bCs/>
          <w:sz w:val="28"/>
          <w:szCs w:val="28"/>
          <w:lang w:eastAsia="pl-PL"/>
        </w:rPr>
        <w:t xml:space="preserve">w istniejącym budynku inwentarskim - chlewni V </w:t>
      </w:r>
      <w:bookmarkStart w:id="1" w:name="_Hlk104891853"/>
      <w:r w:rsidRPr="004E61DD">
        <w:rPr>
          <w:rFonts w:ascii="Calibri" w:eastAsia="Times New Roman" w:hAnsi="Calibri" w:cs="Calibri"/>
          <w:bCs/>
          <w:sz w:val="28"/>
          <w:szCs w:val="28"/>
          <w:lang w:eastAsia="pl-PL"/>
        </w:rPr>
        <w:t xml:space="preserve">– zainstalować nie więcej niż 12 wentylatorów dachowych z otwartymi wylotami pionowymi, z wylotami na wysokości minimum 6,5 m n.p.t., średnicy wylotu 0,63 m (±10%) oraz wydajności urządzenia </w:t>
      </w:r>
      <w:r w:rsidRPr="004E61DD">
        <w:rPr>
          <w:rFonts w:ascii="Calibri" w:eastAsia="Times New Roman" w:hAnsi="Calibri" w:cs="Calibri"/>
          <w:sz w:val="28"/>
          <w:szCs w:val="28"/>
          <w:lang w:eastAsia="pl-PL"/>
        </w:rPr>
        <w:t>12 600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 xml:space="preserve">/h </w:t>
      </w:r>
      <w:r w:rsidRPr="004E61DD">
        <w:rPr>
          <w:rFonts w:ascii="Calibri" w:eastAsia="Times New Roman" w:hAnsi="Calibri" w:cs="Calibri"/>
          <w:bCs/>
          <w:sz w:val="28"/>
          <w:szCs w:val="28"/>
          <w:lang w:eastAsia="pl-PL"/>
        </w:rPr>
        <w:t>(±10%),</w:t>
      </w:r>
      <w:r w:rsidRPr="004E61DD">
        <w:rPr>
          <w:rFonts w:ascii="Arial" w:eastAsia="Times New Roman" w:hAnsi="Arial" w:cs="Arial"/>
          <w:color w:val="000000"/>
          <w:szCs w:val="20"/>
          <w:lang w:eastAsia="zh-CN"/>
        </w:rPr>
        <w:t xml:space="preserve"> </w:t>
      </w:r>
      <w:r w:rsidRPr="004E61DD">
        <w:rPr>
          <w:rFonts w:ascii="Calibri" w:eastAsia="Times New Roman" w:hAnsi="Calibri" w:cs="Calibri"/>
          <w:bCs/>
          <w:sz w:val="28"/>
          <w:szCs w:val="28"/>
          <w:lang w:eastAsia="pl-PL"/>
        </w:rPr>
        <w:t>o</w:t>
      </w:r>
      <w:r w:rsidR="008A398F">
        <w:rPr>
          <w:rFonts w:ascii="Calibri" w:eastAsia="Times New Roman" w:hAnsi="Calibri" w:cs="Calibri"/>
          <w:bCs/>
          <w:sz w:val="28"/>
          <w:szCs w:val="28"/>
          <w:lang w:eastAsia="pl-PL"/>
        </w:rPr>
        <w:t> </w:t>
      </w:r>
      <w:r w:rsidRPr="004E61DD">
        <w:rPr>
          <w:rFonts w:ascii="Calibri" w:eastAsia="Times New Roman" w:hAnsi="Calibri" w:cs="Calibri"/>
          <w:bCs/>
          <w:sz w:val="28"/>
          <w:szCs w:val="28"/>
          <w:lang w:eastAsia="pl-PL"/>
        </w:rPr>
        <w:t>poziomie mocy akustycznej nie wyższym niż 71 dB każdy</w:t>
      </w:r>
      <w:bookmarkEnd w:id="1"/>
      <w:r w:rsidRPr="004E61DD">
        <w:rPr>
          <w:rFonts w:ascii="Calibri" w:eastAsia="Times New Roman" w:hAnsi="Calibri" w:cs="Calibri"/>
          <w:bCs/>
          <w:sz w:val="28"/>
          <w:szCs w:val="28"/>
          <w:lang w:eastAsia="pl-PL"/>
        </w:rPr>
        <w:t>,</w:t>
      </w:r>
    </w:p>
    <w:p w14:paraId="1F05BA6E"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wentylatory konserwować zgodnie z zaleceniami producenta,</w:t>
      </w:r>
    </w:p>
    <w:p w14:paraId="39CDCA47"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wygasić produkcję w chlewni I,</w:t>
      </w:r>
    </w:p>
    <w:p w14:paraId="26D5E81A"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budynki inwentarskie utrzymywać w czystości oraz zapewniać odpowiednią temperaturę i wilgotność wewnątrz budynków,</w:t>
      </w:r>
    </w:p>
    <w:p w14:paraId="7735ECE8"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nie ogrzewać planowanej chlewni VI z wykorzystaniem źródeł stanowiących emisję substancji do powietrza,</w:t>
      </w:r>
    </w:p>
    <w:p w14:paraId="6ACE7AB6"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załadunek projektowanych silosów paszowych przeprowadzać w sposób szczelny, z zastosowaniem rur odpowietrzających silosy skierowanych wylotem w dół i filtrów odpylających,</w:t>
      </w:r>
    </w:p>
    <w:p w14:paraId="0E4690D4"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nawozy naturalne, to jest obornik pochodzący z chlewni II gromadzić na zewnątrz budynku na płytach obornikowych, zaś gnojowicę pochodzącą z chlewni: III, IV, V, VI oraz ścieki z mycia chlewni gromadzić w kanałach gnojowicowych znajdujących się pod posadzkami budynków oraz w zbiorniku zewnętrznym. Lokalizacja infrastruktury do magazynowania nawozów naturalnych, ich przechowywanie i zagospodarowanie muszą być zgodne z przepisami określonymi w „Programie działań mających na celu zmniejszenie zanieczyszczenia wód azotanami pochodzącymi ze źródeł rolniczych oraz zapobieganie dalszemu zanieczyszczeniu” przyjętym rozporządzeniem Rady Ministrów z dnia 12 lutego 2020 r. (Dz. U. poz. 243) oraz przepisami szczegółowymi, o których mowa w art. 105 ustawy z dnia 20 lipca 2017 r.- Prawo wodne,</w:t>
      </w:r>
    </w:p>
    <w:p w14:paraId="442EE078"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odbiór gnojowicy z projektowanej chlewni VI prowadzić z wykorzystaniem hermetycznego złącza,</w:t>
      </w:r>
    </w:p>
    <w:p w14:paraId="5566320F"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bCs/>
          <w:sz w:val="28"/>
          <w:szCs w:val="28"/>
          <w:lang w:eastAsia="pl-PL"/>
        </w:rPr>
        <w:t>nawozy naturalne powstające na terenie gospodarstwa rolnego zagospodarować w części na gruntach własnych, a w części przekazywać do biogazowni zgodnie z przepisami szczegółowymi,</w:t>
      </w:r>
    </w:p>
    <w:p w14:paraId="4C9B5AD1"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bCs/>
          <w:sz w:val="28"/>
          <w:szCs w:val="28"/>
          <w:lang w:eastAsia="pl-PL"/>
        </w:rPr>
        <w:t>stosować fazowy system żywienia oparty na zbilansowanych paszach dostosowanych do wieku zwierząt. Stosować pasze o obniżonej zawartości białka,</w:t>
      </w:r>
    </w:p>
    <w:p w14:paraId="7EF7D6F1"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zastosować szczelny system pojenia zwierząt z zastosowaniem poideł miseczkowych, zabezpieczony przed niekontrolowanym wyciekiem wody,</w:t>
      </w:r>
    </w:p>
    <w:p w14:paraId="04FDE5A6"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prowadzić regularne odczyty zużycia wody, a wykryte nieszczelności wewnętrznej sieci wodociągowej niezwłocznie naprawiać,</w:t>
      </w:r>
    </w:p>
    <w:p w14:paraId="1B5FBBCB"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obiekt inwentarski myć przy użyciu urządzenia wysokociśnieniowego, czystą wodą, bez użycia detergentów. Zużytą wodę z mycia zagospodarowywać wraz z gnojowicą,</w:t>
      </w:r>
    </w:p>
    <w:p w14:paraId="42B40DD9"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obiekt inwentarski dezynfekować z wykorzystaniem preparatu biodegradowalnego, bez generowania odcieków z tego procesu,</w:t>
      </w:r>
    </w:p>
    <w:p w14:paraId="10841307"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35DABB2D"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zaopatrzenie w wodę zapewnić z własnego ujęcia wód podziemnych o głębokości do 16 m p.p.t., maksymalnej godzinowej wydajności Q</w:t>
      </w:r>
      <w:r w:rsidRPr="004E61DD">
        <w:rPr>
          <w:rFonts w:ascii="Calibri" w:eastAsia="Times New Roman" w:hAnsi="Calibri" w:cs="Calibri"/>
          <w:sz w:val="28"/>
          <w:szCs w:val="28"/>
          <w:vertAlign w:val="subscript"/>
          <w:lang w:eastAsia="pl-PL"/>
        </w:rPr>
        <w:t>h max</w:t>
      </w:r>
      <w:r w:rsidRPr="004E61DD">
        <w:rPr>
          <w:rFonts w:ascii="Calibri" w:eastAsia="Times New Roman" w:hAnsi="Calibri" w:cs="Calibri"/>
          <w:sz w:val="28"/>
          <w:szCs w:val="28"/>
          <w:lang w:eastAsia="pl-PL"/>
        </w:rPr>
        <w:t>=6,0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/h i maksymalnym rocznym poborze Q</w:t>
      </w:r>
      <w:r w:rsidRPr="004E61DD">
        <w:rPr>
          <w:rFonts w:ascii="Calibri" w:eastAsia="Times New Roman" w:hAnsi="Calibri" w:cs="Calibri"/>
          <w:sz w:val="28"/>
          <w:szCs w:val="28"/>
          <w:vertAlign w:val="subscript"/>
          <w:lang w:eastAsia="pl-PL"/>
        </w:rPr>
        <w:t>roczne max</w:t>
      </w:r>
      <w:r w:rsidRPr="004E61DD">
        <w:rPr>
          <w:rFonts w:ascii="Calibri" w:eastAsia="Times New Roman" w:hAnsi="Calibri" w:cs="Calibri"/>
          <w:sz w:val="28"/>
          <w:szCs w:val="28"/>
          <w:lang w:eastAsia="pl-PL"/>
        </w:rPr>
        <w:t>=</w:t>
      </w:r>
      <w:r w:rsidRPr="004E61DD">
        <w:rPr>
          <w:rFonts w:ascii="Calibri" w:eastAsia="Times New Roman" w:hAnsi="Calibri" w:cs="Calibri"/>
          <w:bCs/>
          <w:sz w:val="28"/>
          <w:szCs w:val="28"/>
          <w:lang w:eastAsia="pl-PL"/>
        </w:rPr>
        <w:t> 21 776,45 m</w:t>
      </w:r>
      <w:r w:rsidRPr="004E61DD">
        <w:rPr>
          <w:rFonts w:ascii="Calibri" w:eastAsia="Times New Roman" w:hAnsi="Calibri" w:cs="Calibri"/>
          <w:bCs/>
          <w:sz w:val="28"/>
          <w:szCs w:val="28"/>
          <w:vertAlign w:val="superscript"/>
          <w:lang w:eastAsia="pl-PL"/>
        </w:rPr>
        <w:t>3</w:t>
      </w:r>
      <w:r w:rsidRPr="004E61DD">
        <w:rPr>
          <w:rFonts w:ascii="Calibri" w:eastAsia="Times New Roman" w:hAnsi="Calibri" w:cs="Calibri"/>
          <w:bCs/>
          <w:sz w:val="28"/>
          <w:szCs w:val="28"/>
          <w:lang w:eastAsia="pl-PL"/>
        </w:rPr>
        <w:t>/rok oraz z sieci wodociągowej,</w:t>
      </w:r>
    </w:p>
    <w:p w14:paraId="234B79B4" w14:textId="77777777" w:rsidR="004E61DD" w:rsidRPr="004E61DD" w:rsidRDefault="004E61DD" w:rsidP="004E61DD">
      <w:pPr>
        <w:numPr>
          <w:ilvl w:val="1"/>
          <w:numId w:val="16"/>
        </w:numPr>
        <w:spacing w:after="120" w:line="240" w:lineRule="auto"/>
        <w:ind w:left="567"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zaopatrzenie w wodę na potrzeby realizacji i eksploatacji przedsięwzięcia, w tym na cele produkcyjne (pojenie zwierząt, utrzymanie czystości w budynkach, cele socjalno-bytowe), realizować z gminnej sieci wodociągowej, na warunkach określonych przez gestora sieci w zakresie i ilościach posiadanych przez niego, stosownych pozwoleń na pobór wód oraz z własnego ujęcia wód podziemnych a pobór wód z własnego ujęcia ma się odbywać w ramach zatwierdzonych dla niego zasobów eksploatacyjnych i warunków określonych w stosownych pozwoleniach,</w:t>
      </w:r>
    </w:p>
    <w:p w14:paraId="2188A564" w14:textId="77777777" w:rsidR="004E61DD" w:rsidRPr="004E61DD" w:rsidRDefault="004E61DD" w:rsidP="006D70A7">
      <w:pPr>
        <w:tabs>
          <w:tab w:val="left" w:pos="426"/>
        </w:tabs>
        <w:spacing w:after="120" w:line="240" w:lineRule="auto"/>
        <w:ind w:left="426" w:hanging="426"/>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za)</w:t>
      </w:r>
      <w:r w:rsidRPr="004E61DD">
        <w:rPr>
          <w:rFonts w:ascii="Calibri" w:eastAsia="Times New Roman" w:hAnsi="Calibri" w:cs="Calibri"/>
          <w:sz w:val="28"/>
          <w:szCs w:val="28"/>
          <w:lang w:eastAsia="pl-PL"/>
        </w:rPr>
        <w:tab/>
        <w:t>wody opadowe i roztopowe, pochodzące z powierzchni dachowych oraz z terenów utwardzonych dróg i placów odprowadzać powierzchniowo, bez ujmowania w otwarte lub zamknięte systemy kanalizacji, na tereny biologicznie czynne, do których Inwestor posiada tytuł prawny, w sposób niepowodujący szkody dla terenów sąsiednich,</w:t>
      </w:r>
    </w:p>
    <w:p w14:paraId="123DAD3F" w14:textId="77777777" w:rsidR="004E61DD" w:rsidRPr="004E61DD" w:rsidRDefault="004E61DD" w:rsidP="006D70A7">
      <w:pPr>
        <w:tabs>
          <w:tab w:val="left" w:pos="426"/>
        </w:tabs>
        <w:spacing w:after="120" w:line="240" w:lineRule="auto"/>
        <w:ind w:left="426" w:hanging="426"/>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zb)</w:t>
      </w:r>
      <w:r w:rsidRPr="004E61DD">
        <w:rPr>
          <w:rFonts w:ascii="Calibri" w:eastAsia="Times New Roman" w:hAnsi="Calibri" w:cs="Calibri"/>
          <w:sz w:val="28"/>
          <w:szCs w:val="28"/>
          <w:lang w:eastAsia="pl-PL"/>
        </w:rPr>
        <w:tab/>
        <w:t>odpady magazynować w szczelnych pojemnikach i kontenerach, w wyznaczonym miejscu posiadającym uszczelnione podłoże, zabezpieczonym przed dostępem osób postronnych; odpady magazynować w sposób uniemożliwiający rozlewanie i mieszanie się ewentualnie występujących substancji niebezpiecznych, a następnie przekazywać uprawnionej jednostce posiadającej wymagane uprawnienia do ich dalszego zagospodarowania lub utylizacji,</w:t>
      </w:r>
    </w:p>
    <w:p w14:paraId="632BFB0A" w14:textId="77777777" w:rsidR="004E61DD" w:rsidRPr="004E61DD" w:rsidRDefault="004E61DD" w:rsidP="006D70A7">
      <w:pPr>
        <w:tabs>
          <w:tab w:val="left" w:pos="426"/>
        </w:tabs>
        <w:spacing w:after="120" w:line="240" w:lineRule="auto"/>
        <w:ind w:left="426" w:hanging="426"/>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zc)</w:t>
      </w:r>
      <w:r w:rsidRPr="004E61DD">
        <w:rPr>
          <w:rFonts w:ascii="Calibri" w:eastAsia="Times New Roman" w:hAnsi="Calibri" w:cs="Calibri"/>
          <w:sz w:val="28"/>
          <w:szCs w:val="28"/>
          <w:lang w:eastAsia="pl-PL"/>
        </w:rPr>
        <w:tab/>
        <w:t>padłe zwierzęta magazynować w konfiskatorze, a następnie przekazywać do przetwarzania zgodnie z przepisami szczegółowymi,</w:t>
      </w:r>
    </w:p>
    <w:p w14:paraId="294A8E78" w14:textId="77777777" w:rsidR="004E61DD" w:rsidRPr="004E61DD" w:rsidRDefault="004E61DD" w:rsidP="004E61DD">
      <w:pPr>
        <w:tabs>
          <w:tab w:val="left" w:pos="426"/>
        </w:tabs>
        <w:spacing w:after="12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zd)</w:t>
      </w:r>
      <w:r w:rsidRPr="004E61DD">
        <w:rPr>
          <w:rFonts w:ascii="Calibri" w:eastAsia="Times New Roman" w:hAnsi="Calibri" w:cs="Calibri"/>
          <w:sz w:val="28"/>
          <w:szCs w:val="28"/>
          <w:lang w:eastAsia="pl-PL"/>
        </w:rPr>
        <w:tab/>
        <w:t>nie wycinać drzew w związku z realizacją przedsięwzięcia,</w:t>
      </w:r>
    </w:p>
    <w:p w14:paraId="2C485149" w14:textId="77777777" w:rsidR="004E61DD" w:rsidRPr="004E61DD" w:rsidRDefault="004E61DD" w:rsidP="004E61DD">
      <w:pPr>
        <w:tabs>
          <w:tab w:val="left" w:pos="426"/>
        </w:tabs>
        <w:spacing w:after="12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ze)</w:t>
      </w:r>
      <w:r w:rsidRPr="004E61DD">
        <w:rPr>
          <w:rFonts w:ascii="Calibri" w:eastAsia="Times New Roman" w:hAnsi="Calibri" w:cs="Calibri"/>
          <w:sz w:val="28"/>
          <w:szCs w:val="28"/>
          <w:lang w:eastAsia="pl-PL"/>
        </w:rPr>
        <w:tab/>
        <w:t>w okresie realizacji przedsięwzięcia:</w:t>
      </w:r>
    </w:p>
    <w:p w14:paraId="6D632021" w14:textId="77777777" w:rsidR="004E61DD" w:rsidRPr="004E61DD" w:rsidRDefault="004E61DD" w:rsidP="004E61DD">
      <w:pPr>
        <w:numPr>
          <w:ilvl w:val="0"/>
          <w:numId w:val="38"/>
        </w:numPr>
        <w:spacing w:after="120" w:line="240" w:lineRule="auto"/>
        <w:ind w:left="709" w:hanging="283"/>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zaplecze techniczne, miejsca magazynowania materiałów budowlanych, ewentualne miejsca postoju, tankowania i serwisowania pojazdów i maszyn należy zorganizować na terenie utwardzonym,</w:t>
      </w:r>
    </w:p>
    <w:p w14:paraId="0ED47E30"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08F9B602" w14:textId="77777777" w:rsidR="004E61DD" w:rsidRPr="004E61DD" w:rsidRDefault="004E61DD" w:rsidP="004E61DD">
      <w:pPr>
        <w:numPr>
          <w:ilvl w:val="0"/>
          <w:numId w:val="38"/>
        </w:numPr>
        <w:spacing w:after="120" w:line="240" w:lineRule="auto"/>
        <w:ind w:left="851"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we wszystkich miejscach wymienionych w ust. 1 pkt 2 lit. ze tiret pierwsze oraz w miejscach bezpośrednich prac remontowo-budowlanych należy zapewnić dostępność sorbentów, właściwych w zakresie ilości i rodzaju do potencjalnego zagrożenia, mogącego wystąpić w następstwie sytuacji awaryjnych,</w:t>
      </w:r>
    </w:p>
    <w:p w14:paraId="6EC81189" w14:textId="77777777" w:rsidR="004E61DD" w:rsidRPr="004E61DD" w:rsidRDefault="004E61DD" w:rsidP="004E61DD">
      <w:pPr>
        <w:numPr>
          <w:ilvl w:val="0"/>
          <w:numId w:val="38"/>
        </w:numPr>
        <w:spacing w:after="120" w:line="240" w:lineRule="auto"/>
        <w:ind w:left="851"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w czasie prowadzenia robót remontowo-budowlanych należy prowadzić stały monitoring stanu technicznego sprzętu budowlanego i transportowego oraz przypadków wystąpienia zanieczyszczenia gruntu i neutralizację miejsc mogących powodować ewentualne zagrożenie dla środowiska gruntowo-wodnego,</w:t>
      </w:r>
    </w:p>
    <w:p w14:paraId="0C55B86C" w14:textId="77777777" w:rsidR="004E61DD" w:rsidRPr="004E61DD" w:rsidRDefault="004E61DD" w:rsidP="004E61DD">
      <w:pPr>
        <w:numPr>
          <w:ilvl w:val="0"/>
          <w:numId w:val="38"/>
        </w:numPr>
        <w:spacing w:after="120" w:line="240" w:lineRule="auto"/>
        <w:ind w:left="851" w:hanging="284"/>
        <w:contextualSpacing/>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wszystkie odpady wytworzone w fazie realizacji przedsięwzięcia zbierać selektywnie w odpowiednie, przystosowane do tego celu kontenery i pojemniki lub gromadzić w wydzielonych miejscach. Wytworzone odpady komunalne zbierać selektywnie na placu budowy, w odpowiednio oznaczonych szczelnych pojemnikach;</w:t>
      </w:r>
    </w:p>
    <w:p w14:paraId="4F90C041" w14:textId="77777777" w:rsidR="004E61DD" w:rsidRPr="004E61DD" w:rsidRDefault="004E61DD" w:rsidP="00760E88">
      <w:pPr>
        <w:tabs>
          <w:tab w:val="left" w:pos="284"/>
        </w:tabs>
        <w:spacing w:after="120" w:line="240" w:lineRule="auto"/>
        <w:ind w:left="284"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3)</w:t>
      </w:r>
      <w:r w:rsidRPr="004E61DD">
        <w:rPr>
          <w:rFonts w:ascii="Calibri" w:eastAsia="Times New Roman" w:hAnsi="Calibri" w:cs="Calibri"/>
          <w:sz w:val="28"/>
          <w:szCs w:val="28"/>
          <w:lang w:eastAsia="pl-PL"/>
        </w:rPr>
        <w:tab/>
        <w:t>wymagania dotyczące ochrony środowiska konieczne do uwzględnienia w dokumentacji wymaganej do wydania decyzji, o których mowa w art. 72 ust. 1, w szczególności w projekcie zagospodarowania działki lub terenu lub projekcie architektoniczno-budowlanym, w przypadku decyzji, o których mowa w art. 72 ust. 1 pkt 1, 10, 14, 18, 23, 26 i 27 ustawy:</w:t>
      </w:r>
    </w:p>
    <w:p w14:paraId="7F2C6037" w14:textId="77777777" w:rsidR="004E61DD" w:rsidRPr="004E61DD" w:rsidRDefault="004E61DD" w:rsidP="00760E88">
      <w:pPr>
        <w:spacing w:after="120" w:line="240" w:lineRule="auto"/>
        <w:ind w:left="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wnioskodawca winien uwzględnić rozwiązania, jakie przedstawiono w raporcie o oddziaływaniu przedsięwzięcia na środowisko, sporządzonym w kwietniu 2021 r. przez Bartosza Jeszke oraz w jego uzupełnieniach z 12.08.2021 r., 18.10.2021 r. i 08.11.2021 r., a także wskazanych w ust. 1 pkt 2 decyzji;</w:t>
      </w:r>
    </w:p>
    <w:p w14:paraId="64741FAE" w14:textId="77777777" w:rsidR="004E61DD" w:rsidRPr="004E61DD" w:rsidRDefault="004E61DD" w:rsidP="00760E88">
      <w:pPr>
        <w:tabs>
          <w:tab w:val="left" w:pos="284"/>
        </w:tabs>
        <w:spacing w:after="120" w:line="240" w:lineRule="auto"/>
        <w:ind w:left="284"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4)</w:t>
      </w:r>
      <w:r w:rsidRPr="004E61DD">
        <w:rPr>
          <w:rFonts w:ascii="Calibri" w:eastAsia="Times New Roman" w:hAnsi="Calibri" w:cs="Calibri"/>
          <w:sz w:val="28"/>
          <w:szCs w:val="28"/>
          <w:lang w:eastAsia="pl-PL"/>
        </w:rPr>
        <w:tab/>
        <w:t xml:space="preserve">wymogi w zakresie przeciwdziałania skutkom awarii przemysłowych, w odniesieniu do przedsięwzięć zaliczanych do zakładów stwarzających zagrożenie wystąpienia poważnych awarii w rozumieniu ustawy z dnia 27 kwietnia 2001 r. - Prawo ochrony środowiska: </w:t>
      </w:r>
      <w:r w:rsidRPr="004E61DD">
        <w:rPr>
          <w:rFonts w:ascii="Calibri" w:eastAsia="Times New Roman" w:hAnsi="Calibri" w:cs="Calibri"/>
          <w:sz w:val="28"/>
          <w:szCs w:val="28"/>
          <w:lang w:eastAsia="pl-PL"/>
        </w:rPr>
        <w:tab/>
      </w:r>
    </w:p>
    <w:p w14:paraId="55F0403C" w14:textId="77777777" w:rsidR="004E61DD" w:rsidRPr="004E61DD" w:rsidRDefault="004E61DD" w:rsidP="00760E88">
      <w:pPr>
        <w:spacing w:after="120" w:line="240" w:lineRule="auto"/>
        <w:ind w:left="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przedmiotowe przedsięwzięcie nie będzie zaliczane do zakładów stwarzających zagrożenie wystąpienia poważnych awarii;</w:t>
      </w:r>
    </w:p>
    <w:p w14:paraId="7CDD1875" w14:textId="77777777" w:rsidR="004E61DD" w:rsidRPr="004E61DD" w:rsidRDefault="004E61DD" w:rsidP="00760E88">
      <w:pPr>
        <w:tabs>
          <w:tab w:val="left" w:pos="284"/>
        </w:tabs>
        <w:spacing w:after="120" w:line="240" w:lineRule="auto"/>
        <w:ind w:left="284"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5)</w:t>
      </w:r>
      <w:r w:rsidRPr="004E61DD">
        <w:rPr>
          <w:rFonts w:ascii="Calibri" w:eastAsia="Times New Roman" w:hAnsi="Calibri" w:cs="Calibri"/>
          <w:sz w:val="28"/>
          <w:szCs w:val="28"/>
          <w:lang w:eastAsia="pl-PL"/>
        </w:rPr>
        <w:tab/>
        <w:t xml:space="preserve">wymogi w zakresie ograniczania transgranicznego oddziaływania na środowisko w odniesieniu do przedsięwzięć, dla których przeprowadzono postępowanie dotyczące transgranicznego oddziaływania na środowisko: </w:t>
      </w:r>
    </w:p>
    <w:p w14:paraId="49003877" w14:textId="77777777" w:rsidR="004E61DD" w:rsidRPr="004E61DD" w:rsidRDefault="004E61DD" w:rsidP="00760E88">
      <w:pPr>
        <w:spacing w:after="120" w:line="240" w:lineRule="auto"/>
        <w:ind w:left="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przedsięwzięcie nie oddziałuje transgranicznie;</w:t>
      </w:r>
    </w:p>
    <w:p w14:paraId="2882FFBA" w14:textId="77777777" w:rsidR="004E61DD" w:rsidRPr="004E61DD" w:rsidRDefault="004E61DD" w:rsidP="00883E3F">
      <w:pPr>
        <w:tabs>
          <w:tab w:val="left" w:pos="284"/>
        </w:tabs>
        <w:spacing w:after="120" w:line="240" w:lineRule="auto"/>
        <w:ind w:left="284"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6)</w:t>
      </w:r>
      <w:r w:rsidRPr="004E61DD">
        <w:rPr>
          <w:rFonts w:ascii="Calibri" w:eastAsia="Times New Roman" w:hAnsi="Calibri" w:cs="Calibri"/>
          <w:sz w:val="28"/>
          <w:szCs w:val="28"/>
          <w:lang w:eastAsia="pl-PL"/>
        </w:rPr>
        <w:tab/>
        <w:t>gotowość instalacji do wychwytywania dwutlenku węgla w przypadku instalacji do spalania paliw w celu wytwarzania energii elektrycznej, o elektrycznej mocy znamionowej nie mniejszej niż 300 MW:</w:t>
      </w:r>
    </w:p>
    <w:p w14:paraId="44995BE3" w14:textId="77777777" w:rsidR="004E61DD" w:rsidRPr="004E61DD" w:rsidRDefault="004E61DD" w:rsidP="00883E3F">
      <w:pPr>
        <w:autoSpaceDE w:val="0"/>
        <w:autoSpaceDN w:val="0"/>
        <w:adjustRightInd w:val="0"/>
        <w:spacing w:after="120" w:line="240" w:lineRule="auto"/>
        <w:ind w:left="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przedsięwzięcie nie będzie wyposażone w instalację do spalania paliw w celu wytwarzania energii elektrycznej.</w:t>
      </w:r>
    </w:p>
    <w:p w14:paraId="4A66DAB9" w14:textId="77777777" w:rsidR="004E61DD" w:rsidRPr="004E61DD" w:rsidRDefault="004E61DD" w:rsidP="00883E3F">
      <w:pPr>
        <w:tabs>
          <w:tab w:val="left" w:pos="280"/>
        </w:tabs>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2.</w:t>
      </w:r>
      <w:r w:rsidRPr="004E61DD">
        <w:rPr>
          <w:rFonts w:ascii="Calibri" w:eastAsia="Times New Roman" w:hAnsi="Calibri" w:cs="Calibri"/>
          <w:sz w:val="28"/>
          <w:szCs w:val="28"/>
          <w:lang w:eastAsia="pl-PL"/>
        </w:rPr>
        <w:tab/>
        <w:t>Stwierdzam konieczność unikania, zapobiegania i ograniczania oddziaływania przedsięwzięcia na środowisko, w zakresie:</w:t>
      </w:r>
    </w:p>
    <w:p w14:paraId="66E1BB14" w14:textId="77777777" w:rsidR="004E61DD" w:rsidRPr="004E61DD" w:rsidRDefault="004E61DD" w:rsidP="004E61DD">
      <w:pPr>
        <w:numPr>
          <w:ilvl w:val="0"/>
          <w:numId w:val="19"/>
        </w:numPr>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emisji zanieczyszczeń do środowiska gruntowo-wodnego, zgodnie z warunkami określonymi w ust. 1 pkt 2 decyzji i przepisami szczegółowymi;</w:t>
      </w:r>
    </w:p>
    <w:p w14:paraId="7CD2E03A" w14:textId="77777777" w:rsidR="004E61DD" w:rsidRPr="004E61DD" w:rsidRDefault="004E61DD" w:rsidP="004E61DD">
      <w:pPr>
        <w:numPr>
          <w:ilvl w:val="0"/>
          <w:numId w:val="19"/>
        </w:numPr>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4E61DD">
        <w:rPr>
          <w:rFonts w:ascii="Calibri" w:eastAsia="Times New Roman" w:hAnsi="Calibri" w:cs="Calibri"/>
          <w:bCs/>
          <w:sz w:val="28"/>
          <w:szCs w:val="28"/>
          <w:lang w:eastAsia="pl-PL"/>
        </w:rPr>
        <w:t>emisji substancji zanieczyszczających do powietrza, w tym hałasu, zgodnie z warunkami określonymi w ust. 1 pkt 2 decyzji i przepisami szczegółowymi</w:t>
      </w:r>
    </w:p>
    <w:p w14:paraId="40F11BD6" w14:textId="77777777" w:rsidR="004E61DD" w:rsidRPr="004E61DD" w:rsidRDefault="004E61DD" w:rsidP="004E61DD">
      <w:pPr>
        <w:numPr>
          <w:ilvl w:val="0"/>
          <w:numId w:val="19"/>
        </w:numPr>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gospodarki odpadami, zgodnie z warunkami określonymi w ust. 1 pkt 2 decyzji i przepisami szczegółowymi.</w:t>
      </w:r>
    </w:p>
    <w:p w14:paraId="7CC5C9DD" w14:textId="77777777" w:rsidR="004E61DD" w:rsidRPr="004E61DD" w:rsidRDefault="004E61DD" w:rsidP="00883E3F">
      <w:pPr>
        <w:tabs>
          <w:tab w:val="left" w:pos="284"/>
        </w:tabs>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3.</w:t>
      </w:r>
      <w:r w:rsidRPr="004E61DD">
        <w:rPr>
          <w:rFonts w:ascii="Calibri" w:eastAsia="Times New Roman" w:hAnsi="Calibri" w:cs="Calibri"/>
          <w:sz w:val="28"/>
          <w:szCs w:val="28"/>
          <w:lang w:eastAsia="pl-PL"/>
        </w:rPr>
        <w:tab/>
        <w:t>Nie stwierdzam konieczności utworzenia obszaru ograniczonego użytkowania.</w:t>
      </w:r>
    </w:p>
    <w:p w14:paraId="4ADE1D6B" w14:textId="77777777" w:rsidR="004E61DD" w:rsidRPr="004E61DD" w:rsidRDefault="004E61DD" w:rsidP="00883E3F">
      <w:pPr>
        <w:tabs>
          <w:tab w:val="left" w:pos="284"/>
        </w:tabs>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4.</w:t>
      </w:r>
      <w:r w:rsidRPr="004E61DD">
        <w:rPr>
          <w:rFonts w:ascii="Calibri" w:eastAsia="Times New Roman" w:hAnsi="Calibri" w:cs="Calibri"/>
          <w:sz w:val="28"/>
          <w:szCs w:val="28"/>
          <w:lang w:eastAsia="pl-PL"/>
        </w:rPr>
        <w:tab/>
        <w:t>Nie stwierdzam konieczności przeprowadzenia oceny oddziaływania przedsięwzięcia na środowisko oraz postępowania w sprawie transgranicznego oddziaływania na środowisko w ramach postępowania w sprawie wydania decyzji, o których mowa w art. 72 ust. 1 pkt 1 ustawy.</w:t>
      </w:r>
    </w:p>
    <w:p w14:paraId="461B6EB5" w14:textId="77777777" w:rsidR="004E61DD" w:rsidRPr="004E61DD" w:rsidRDefault="004E61DD" w:rsidP="004C3713">
      <w:pPr>
        <w:tabs>
          <w:tab w:val="left" w:pos="284"/>
        </w:tabs>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5.</w:t>
      </w:r>
      <w:r w:rsidRPr="004E61DD">
        <w:rPr>
          <w:rFonts w:ascii="Calibri" w:eastAsia="Times New Roman" w:hAnsi="Calibri" w:cs="Calibri"/>
          <w:sz w:val="28"/>
          <w:szCs w:val="28"/>
          <w:lang w:eastAsia="pl-PL"/>
        </w:rPr>
        <w:tab/>
        <w:t>Nie nakładam obowiązku monitorowania oddziaływania przedsięwzięcia na środowisko ani przedstawienia analizy porealizacyjnej.</w:t>
      </w:r>
    </w:p>
    <w:p w14:paraId="2572F19E" w14:textId="77777777" w:rsidR="004E61DD" w:rsidRPr="004E61DD" w:rsidRDefault="004E61DD" w:rsidP="004E61DD">
      <w:pPr>
        <w:spacing w:after="120" w:line="240" w:lineRule="auto"/>
        <w:jc w:val="center"/>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Uzasadnienie</w:t>
      </w:r>
    </w:p>
    <w:p w14:paraId="45AC0866" w14:textId="1FE6F6A7" w:rsidR="004E61DD" w:rsidRPr="004E61DD" w:rsidRDefault="004E61DD" w:rsidP="004E61DD">
      <w:pPr>
        <w:spacing w:after="12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ab/>
        <w:t>05.05.2021 r. do Burmistrza Śremu wpłynął wniosek Pana Piotra Jędrzejczaka, prowadzącego działalność rolniczą pod nazwą Gospodarstwo Rolne Piotr Jędrzejczak, Kadzewo 14, 63-100 Śrem,</w:t>
      </w:r>
      <w:r w:rsidRPr="004E61DD">
        <w:rPr>
          <w:rFonts w:ascii="Times New Roman" w:eastAsia="Times New Roman" w:hAnsi="Times New Roman" w:cs="Times New Roman"/>
          <w:sz w:val="28"/>
          <w:szCs w:val="28"/>
          <w:lang w:eastAsia="pl-PL"/>
        </w:rPr>
        <w:t xml:space="preserve"> </w:t>
      </w:r>
      <w:r w:rsidRPr="004E61DD">
        <w:rPr>
          <w:rFonts w:ascii="Calibri" w:eastAsia="Times New Roman" w:hAnsi="Calibri" w:cs="Calibri"/>
          <w:sz w:val="28"/>
          <w:szCs w:val="28"/>
          <w:lang w:eastAsia="pl-PL"/>
        </w:rPr>
        <w:t xml:space="preserve">NIP 7851621705, działającego przez pełnomocników Panią Katarzynę Szymurską i Pana Zbigniewa Napartego, uzupełniony 21.06.2021 r., o wydanie decyzji o środowiskowych uwarunkowaniach dla planowanego przedsięwzięcia polegającego na </w:t>
      </w:r>
      <w:r w:rsidRPr="004E61DD">
        <w:rPr>
          <w:rFonts w:ascii="Calibri" w:eastAsia="Times New Roman" w:hAnsi="Calibri" w:cs="Calibri"/>
          <w:bCs/>
          <w:sz w:val="28"/>
          <w:szCs w:val="28"/>
          <w:lang w:eastAsia="pl-PL"/>
        </w:rPr>
        <w:t>rozbudowie gospodarstwa rolnego poprzez budowę budynku inwentarskiego do chowu trzody chlewnej w bezściółkowym systemie utrzymania z niezbędną infrastrukturą techniczną na działce o numerze ewidencyjnym 189/2, obręb Kadzewo.</w:t>
      </w:r>
      <w:r w:rsidRPr="004E61DD">
        <w:rPr>
          <w:rFonts w:ascii="Calibri" w:eastAsia="Times New Roman" w:hAnsi="Calibri" w:cs="Calibri"/>
          <w:sz w:val="28"/>
          <w:szCs w:val="28"/>
          <w:lang w:eastAsia="pl-PL"/>
        </w:rPr>
        <w:t xml:space="preserve"> Do wniosku załączony został raport o</w:t>
      </w:r>
      <w:r w:rsidR="004C3713">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oddziaływaniu przedsięwzięcia na środowisko, sporządzony w kwietniu</w:t>
      </w:r>
      <w:r w:rsidR="004C3713">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2021 r. przez Pana Bartosza Jeszke wraz z wymaganymi załącznikami, zwany dalej raportem.</w:t>
      </w:r>
    </w:p>
    <w:p w14:paraId="73CB0E43" w14:textId="77777777" w:rsidR="004E61DD" w:rsidRPr="004E61DD" w:rsidRDefault="004E61DD" w:rsidP="004C3713">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Zgodnie z art. 73 ust.1 ustawy, postępowanie w sprawie wydania decyzji o środowiskowych uwarunkowaniach wszczyna się na wniosek podmiotu planującego podjęcie realizacji przedsięwzięcia.</w:t>
      </w:r>
    </w:p>
    <w:p w14:paraId="4FEF1F0B" w14:textId="77777777" w:rsidR="004E61DD" w:rsidRPr="004E61DD" w:rsidRDefault="004E61DD" w:rsidP="004C3713">
      <w:pPr>
        <w:spacing w:after="120" w:line="240" w:lineRule="auto"/>
        <w:ind w:firstLine="708"/>
        <w:jc w:val="both"/>
        <w:rPr>
          <w:rFonts w:ascii="Calibri" w:eastAsia="Times New Roman" w:hAnsi="Calibri" w:cs="Calibri"/>
          <w:sz w:val="28"/>
          <w:szCs w:val="28"/>
          <w:lang w:eastAsia="pl-PL"/>
        </w:rPr>
      </w:pPr>
      <w:r w:rsidRPr="004E61DD">
        <w:rPr>
          <w:rFonts w:ascii="Calibri" w:eastAsia="Calibri" w:hAnsi="Calibri" w:cs="Calibri"/>
          <w:sz w:val="28"/>
          <w:szCs w:val="28"/>
        </w:rPr>
        <w:t xml:space="preserve">Na podstawie art. 75 ust. 1 pkt 4 ustawy, w przypadku przedmiotowego przedsięwzięcia, właściwym organem do wydania decyzji o środowiskowych uwarunkowaniach jest Burmistrz Śremu. </w:t>
      </w:r>
    </w:p>
    <w:p w14:paraId="2386C8D5" w14:textId="2D21208D" w:rsidR="004E61DD" w:rsidRPr="004E61DD" w:rsidRDefault="004E61DD" w:rsidP="004C3713">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Przedmiotowe przedsięwzięcie planowane jest do realizacji na terenie istniejącego gospodarstwa rolnego, zajmującego się chowem trzody chlewnej, o łącznej obsadzie 246,9 DJP. Chów trzody chlewnej prowadzony jest w pięciu budynkach inwentarskich, w systemie bezściółkowym na rusztach, w</w:t>
      </w:r>
      <w:r w:rsidR="004C3713">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 xml:space="preserve">chlewniach: I, III, IV, V i na głębokiej ściółce, w chlewni II. </w:t>
      </w:r>
    </w:p>
    <w:p w14:paraId="04D35312" w14:textId="77777777" w:rsidR="004E61DD" w:rsidRPr="004E61DD" w:rsidRDefault="004E61DD" w:rsidP="004C3713">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W ramach przedsięwzięcia planuje się budowę nowego budynku inwentarskiego, chlewni VI, przeznaczonego do chowu 2 800 tuczników, to jest 392 DJP, czterech silosów na paszę, zbiornika do przechowywania gnojowicy, zbiornika przepompowego na gnojowicę, ujęcia wód podziemnych, a także zmianę wentylacji w chlewni V i likwidację produkcji rolnej w chlewni I. Część budynku chlewni I będzie pełniła funkcję izolatki dla zwierząt chorych i agresywnych, a część zostanie przeznaczona na pomieszczenia gospodarcze. </w:t>
      </w:r>
    </w:p>
    <w:p w14:paraId="3A269C27" w14:textId="77777777" w:rsidR="004E61DD" w:rsidRPr="004E61DD" w:rsidRDefault="004E61DD" w:rsidP="004C3713">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Po zrealizowaniu przedsięwzięcia obsada zwierząt zostanie zwiększona </w:t>
      </w:r>
      <w:bookmarkStart w:id="2" w:name="_Hlk103147116"/>
      <w:r w:rsidRPr="004E61DD">
        <w:rPr>
          <w:rFonts w:ascii="Calibri" w:eastAsia="Times New Roman" w:hAnsi="Calibri" w:cs="Calibri"/>
          <w:sz w:val="28"/>
          <w:szCs w:val="28"/>
          <w:lang w:eastAsia="pl-PL"/>
        </w:rPr>
        <w:t xml:space="preserve">o 526,68 DJP i będzie wynosić łącznie nie więcej niż 773,58 DJP. </w:t>
      </w:r>
    </w:p>
    <w:bookmarkEnd w:id="2"/>
    <w:p w14:paraId="7D0BD474" w14:textId="538FD629" w:rsidR="004C3713" w:rsidRPr="004C3713" w:rsidRDefault="004C3713" w:rsidP="004C3713">
      <w:pPr>
        <w:spacing w:after="120" w:line="240" w:lineRule="auto"/>
        <w:ind w:firstLine="708"/>
        <w:jc w:val="both"/>
        <w:rPr>
          <w:rFonts w:ascii="Calibri" w:eastAsia="Times New Roman" w:hAnsi="Calibri" w:cs="Calibri"/>
          <w:sz w:val="28"/>
          <w:szCs w:val="28"/>
          <w:lang w:eastAsia="pl-PL"/>
        </w:rPr>
      </w:pPr>
      <w:r w:rsidRPr="004C3713">
        <w:rPr>
          <w:rFonts w:ascii="Calibri" w:eastAsia="Times New Roman" w:hAnsi="Calibri" w:cs="Calibri"/>
          <w:sz w:val="28"/>
          <w:szCs w:val="28"/>
          <w:lang w:eastAsia="pl-PL"/>
        </w:rPr>
        <w:t>Przedmiotowe przedsięwzięcie zakwalifikowano do przedsięwzięć mogących zawsze znacząco oddziaływać na środowisko, dla których obowiązek przeprowadzenia oceny oddziaływania na środowisko jest obligatoryjny, wymienionych w § 2 ust. 2 pkt 1 rozporządzenia Rady Ministrów z dnia 10 września 2019 r. w sprawie przedsięwzięć mogących znacząco oddziaływać na środowisko: „przedsięwzięcia polegające na rozbudowie, przebudowie lub montażu przedsięwzięć realizowanych lub zrealizowanych wymienionych w ust. 1, jeżeli ta rozbudowa, przebudowa lub montaż osiąga progi określone w ust. 1, o ile progi te zostały określone, w związku z § 2 ust.</w:t>
      </w:r>
      <w:r>
        <w:rPr>
          <w:rFonts w:ascii="Calibri" w:eastAsia="Times New Roman" w:hAnsi="Calibri" w:cs="Calibri"/>
          <w:sz w:val="28"/>
          <w:szCs w:val="28"/>
          <w:lang w:eastAsia="pl-PL"/>
        </w:rPr>
        <w:t> </w:t>
      </w:r>
      <w:r w:rsidRPr="004C3713">
        <w:rPr>
          <w:rFonts w:ascii="Calibri" w:eastAsia="Times New Roman" w:hAnsi="Calibri" w:cs="Calibri"/>
          <w:sz w:val="28"/>
          <w:szCs w:val="28"/>
          <w:lang w:eastAsia="pl-PL"/>
        </w:rPr>
        <w:t>1 pkt 51 lit b: „chów lub hodowla zwierząt innych niż wymienione w lit. a w</w:t>
      </w:r>
      <w:r>
        <w:rPr>
          <w:rFonts w:ascii="Calibri" w:eastAsia="Times New Roman" w:hAnsi="Calibri" w:cs="Calibri"/>
          <w:sz w:val="28"/>
          <w:szCs w:val="28"/>
          <w:lang w:eastAsia="pl-PL"/>
        </w:rPr>
        <w:t> </w:t>
      </w:r>
      <w:r w:rsidRPr="004C3713">
        <w:rPr>
          <w:rFonts w:ascii="Calibri" w:eastAsia="Times New Roman" w:hAnsi="Calibri" w:cs="Calibri"/>
          <w:sz w:val="28"/>
          <w:szCs w:val="28"/>
          <w:lang w:eastAsia="pl-PL"/>
        </w:rPr>
        <w:t xml:space="preserve">liczbie nie mniejszej niż 210 DJP - przy czym za liczbę DJP przyjmuje się maksymalną możliwą obsadę zwierząt;”. </w:t>
      </w:r>
    </w:p>
    <w:p w14:paraId="41C0C6EE"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1B9C65B7"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Stosownie do art. 74 ust. 3a ustawy Burmistrz Śremu ustalił krąg podmiotów, którym przysługuje przymiot strony. Przymiot strony postępowania otrzymali: wnioskodawca i właściciel terenu, na którym realizowane będzie przedsięwzięcie (działka o numerze ewidencyjnym 189/2, obręb Kadzewo) oraz podmioty, którym przysługuje prawo rzeczowe do nieruchomości znajdujących się w obszarze wyznaczonym w odległości 100 m od granic terenu przedsięwzięcia. Obszar ten objął więc działki o numerach ewidencyjnych: 190/3; 80/2; 247; 248/2; 248/1; 186/1; 186/2; 185; 188/2; 188/1; 182/2; 182/3; 184; 189/1; 188/3; 190/4; 190/5, obręb Kadzewo oraz 1/1 i 16, obręb Mełpin, gmina Dolsk.</w:t>
      </w:r>
    </w:p>
    <w:p w14:paraId="59F6DB5F"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Zgodnie z art. 61 § 4 K.p.a. strony postępowania zostały powiadomione o wszczęciu postępowania pismem z 28.06.2021 r. </w:t>
      </w:r>
    </w:p>
    <w:p w14:paraId="6E4AA6B2"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Na podstawie art. 77 ust. 1 ustawy Burmistrz Śremu, pismami z 28.06.2021 r., wystąpił do Regionalnego Dyrektora Ochrony Środowiska w Poznaniu i Dyrektora Regionalnego Zarządu Gospodarki Wodnej Państwowego Gospodarstwa Wodnego Wody Polskie w Poznaniu, o uzgodnienie środowiskowych uwarunkowań dla planowanego przedsięwzięcia oraz do Państwowego Powiatowego Inspektora Sanitarnego w Śremie i Marszałka Województwa Wielkopolskiego, o wyrażenie opinii w sprawie warunków realizacji planowanego przedsięwzięcia. </w:t>
      </w:r>
      <w:bookmarkStart w:id="3" w:name="mip45490946"/>
      <w:bookmarkEnd w:id="3"/>
    </w:p>
    <w:p w14:paraId="40E9FD0A"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Zgodnie z art. 33 ust. 1 i art. 79 ust. 1 ustawy, w celu zapewnienia udziału społeczeństwa w postępowaniu, w Biuletynie Informacji Publicznej Urzędu Miejskiego w Śremie (http://umsrem.bip.eur.pl/public/?id=214735), w gablotach informacyjnych Urzędu, na tablicy ogłoszeniowej w Kadzewie oraz w prasie lokalnej (Tydzień Ziemi Śremskiej, Nr 26 (1127) z 01.07.2021 r.) zamieszczono informacje o: złożeniu wniosku w sprawie wydania decyzji o środowiskowych uwarunkowaniach na realizację przedmiotowego przedsięwzięcia; przystąpieniu do przeprowadzenia oceny oddziaływania na środowisko dla przedmiotowego przedsięwzięcia; organie właściwym do wydania decyzji oraz organach właściwych do dokonania uzgodnienia i wyrażenia opinii; możliwości zapoznania się z dokumentacją sprawy oraz składania uwag i wniosków w terminie 30 dni, to jest od 01.07.2021 r. do 30.07.2021 r. We wskazanym terminie do Burmistrza Śremu nie wpłynęły żadne uwagi i wnioski.</w:t>
      </w:r>
    </w:p>
    <w:p w14:paraId="6B9D4491"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0B5C6A03"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Regionalny Dyrektor Ochrony Środowiska w Poznaniu, pismem z 02.07.2021 r., zwrócił się do Burmistrza Śremu, o przedstawienie informacji dotyczącej faktycznego zagospodarowania i wykorzystania terenów otaczających przedsięwzięcie i o ocenę, do którego rodzaju terenów, o których mowa w tabeli 1 załącznika do rozporządzenia Ministra Środowiska z dnia 14 czerwca 2007 r. w sprawie dopuszczalnych poziomów hałasu w środowisku (Dz. U. z 2014 r. poz. 112) należą sąsiednie tereny oraz o wskazanie gdzie i w jakiej odległości znajdują się najbliższe tereny wymienione w przywołanym rozporządzeniu, wymagające ochrony akustycznej. W piśmie z 08.07.2021 r. Burmistrz Śremu uczynił zadość wezwaniu.</w:t>
      </w:r>
    </w:p>
    <w:p w14:paraId="735BA7F7"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bookmarkStart w:id="4" w:name="_Hlk103084362"/>
      <w:r w:rsidRPr="004E61DD">
        <w:rPr>
          <w:rFonts w:ascii="Calibri" w:eastAsia="Times New Roman" w:hAnsi="Calibri" w:cs="Calibri"/>
          <w:sz w:val="28"/>
          <w:szCs w:val="28"/>
          <w:lang w:eastAsia="pl-PL"/>
        </w:rPr>
        <w:t>Państwowy Powiatowy Inspektor Sanitarny w Śremie, w piśmie z 22.07.2021 r. znak ON-NS.9011.18.36.2021, zaopiniował warunki w zakresie wymagań higienicznych i zdrowotnych do decyzji o środowiskowych uwarunkowaniach z uwagami.</w:t>
      </w:r>
    </w:p>
    <w:bookmarkEnd w:id="4"/>
    <w:p w14:paraId="1E479562"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13.08.2021 r. do Burmistrza Śremu wpłynęło uzupełnienie raportu, sporządzone 12.08.2022 r. Uzupełnienie raportu, Burmistrz Śremu, pismem z 16.08.2021 r., przekazał Marszałkowi Województwa Wielkopolskiego i Dyrektorowi Regionalnego Zarządu Gospodarki Wodnej Państwowego Gospodarstwa Wodnego Wody Polskie w Poznaniu, w celu uwzględnienia zawartych w nim informacji przed zajęciem stanowiska w sprawie. </w:t>
      </w:r>
    </w:p>
    <w:p w14:paraId="3B3AA4BF"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20.10.2021 r. do Burmistrza Śremu wpłynęło kolejne uzupełnienie raportu, sporządzone 18.10.2021 r., które Burmistrz Śremu przekazał następnie, pismem z 21.10.2021 r., Marszałkowi Województwa Wielkopolskiego i Dyrektorowi Regionalnego Zarządu Gospodarki Wodnej Państwowego Gospodarstwa Wodnego Wody Polskie w Poznaniu. </w:t>
      </w:r>
    </w:p>
    <w:p w14:paraId="53CF0C8D"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Postanowieniem z 27.10.2021 r. znak PO.RZŚ.4360.74.2021.AO Dyrektor Regionalnego Zarządu Gospodarki Wodnej Państwowego Gospodarstwa Wodnego Wody Polskie w Poznaniu uzgodnił realizację przedsięwzięcia oraz określił warunki tej realizacji, które zostały uwzględnione w ust. 1 pkt 2 decyzji.</w:t>
      </w:r>
    </w:p>
    <w:p w14:paraId="49215CE8" w14:textId="77777777" w:rsidR="004E61DD" w:rsidRPr="004E61DD" w:rsidRDefault="004E61DD" w:rsidP="004E61DD">
      <w:pPr>
        <w:spacing w:after="12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ab/>
        <w:t>10.11.2021 r. do Burmistrza Śremu wpłynęło kolejne uzupełnienie raportu, sporządzone 08.11.2021 r.</w:t>
      </w:r>
    </w:p>
    <w:p w14:paraId="1FF60866"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Postanowieniem z 12.11.2021 r. znak WOO-I.4221.136.202.NB.7 Regionalny Dyrektor Ochrony Środowiska w Poznaniu uzgodnił realizację planowanego przedsięwzięcia i określił warunki tej realizacji.</w:t>
      </w:r>
    </w:p>
    <w:p w14:paraId="3CACFBE9"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 xml:space="preserve">Postanowieniem z 15.02.2022 r. znak DSK-III.7030.1.30.2021 Marszałek Województwa Wielkopolskiego zaopiniował pozytywnie realizację planowanego przedsięwzięcia. </w:t>
      </w:r>
    </w:p>
    <w:p w14:paraId="5348DEBA"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W związku z uzupełnieniami raportu, stosownie do art. 77 ust 1 ustawy Burmistrz Śremu, pismami z 25.02.2022 r., ponownie wystąpił do Dyrektora Regionalnego Zarządu Gospodarki Wodnej Państwowego Gospodarstwa Wodnego Wody Polskie w Poznaniu, Regionalnego Dyrektora Ochrony Środowiska w Poznaniu oraz Państwowego Powiatowego Inspektora Sanitarnego w Śremie, o zajęcie stanowiska w sprawie warunków realizacji planowanego przedsięwzięcia. </w:t>
      </w:r>
    </w:p>
    <w:p w14:paraId="2D95718B"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Państwowy Powiatowy Inspektor Sanitarny w Śremie, w piśmie z 23.03.2022 r. znak ON-NS.9011.</w:t>
      </w:r>
      <w:proofErr w:type="gramStart"/>
      <w:r w:rsidRPr="004E61DD">
        <w:rPr>
          <w:rFonts w:ascii="Calibri" w:eastAsia="Times New Roman" w:hAnsi="Calibri" w:cs="Calibri"/>
          <w:sz w:val="28"/>
          <w:szCs w:val="28"/>
          <w:lang w:eastAsia="pl-PL"/>
        </w:rPr>
        <w:t>18.5.2022</w:t>
      </w:r>
      <w:proofErr w:type="gramEnd"/>
      <w:r w:rsidRPr="004E61DD">
        <w:rPr>
          <w:rFonts w:ascii="Calibri" w:eastAsia="Times New Roman" w:hAnsi="Calibri" w:cs="Calibri"/>
          <w:sz w:val="28"/>
          <w:szCs w:val="28"/>
          <w:lang w:eastAsia="pl-PL"/>
        </w:rPr>
        <w:t xml:space="preserve">, zaopiniował warunki w zakresie wymagań higienicznych i zdrowotnych do decyzji o środowiskowych uwarunkowaniach z uwagami, które zostały uwzględnione w ust. 1 pkt 2 decyzji. </w:t>
      </w:r>
    </w:p>
    <w:p w14:paraId="5931B185"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Dyrektor Regionalnego Zarządu Gospodarki Wodnej Państwowego Gospodarstwa Wodnego Wody Polskie w Poznaniu, w piśmie z 24.03.2022 r. znak PO.RZŚ.4360.74.2021.AO, poinformował, że podtrzymuje swoje stanowisko przedstawione w postanowieniu z 27.10.2021 r.</w:t>
      </w:r>
    </w:p>
    <w:p w14:paraId="627414DB"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Postanowieniem z 12.04.2022 r. znak WOO-I.4221.55.2022.NB.2 Regionalny Dyrektor Ochrony Środowiska w Poznaniu uzgodnił realizację planowanego przedsięwzięcia i określił warunki, które zostały uwzględnione w ust. 1 pkt 2 decyzji.</w:t>
      </w:r>
    </w:p>
    <w:p w14:paraId="1A50F1B9"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Stosownie do art. 33 ust. 1 i art. 79 ust. 1 ustawy Burmistrz Śremu zapewnił udział społeczeństwa w postępowaniu. W Biuletynie Informacji Publicznej Urzędu Miejskiego w Śremie (http://umsrem.bip.eur.pl/public/?id=219256), w gablotach informacyjnych Urzędu oraz na tablicy ogłoszeniowej w Kadzewie zamieszczono informacje o: złożeniu wniosku w sprawie wydania decyzji o środowiskowych uwarunkowaniach na realizację przedmiotowego przedsięwzięcia; przystąpieniu do przeprowadzenia oceny oddziaływania na środowisko dla przedmiotowego przedsięwzięcia; organie właściwym do wydania decyzji oraz organach właściwych do dokonania uzgodnienia i wyrażenia opinii; możliwości zapoznania się z dokumentacją sprawy oraz składania uwag i wniosków w terminie 30 dni, to jest od 19.04.2022 r. do 18.05.2022 r. We wskazanym terminie do Burmistrza Śremu nie wpłynęły żadne uwagi i wnioski.</w:t>
      </w:r>
    </w:p>
    <w:p w14:paraId="2E5609B8"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Zgodnie z art. 10 § 1 K.p.a. Burmistrz Śremu, pismem z 20.05.2022 r., zawiadomił strony postępowania o możliwości zapoznania się i wypowiedzenia co do materiałów zgromadzonych w przedmiotowym postępowaniu. Żadna ze stron postępowania nie skorzystała z przysługującego jej prawa.</w:t>
      </w:r>
    </w:p>
    <w:p w14:paraId="35BFA492"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Zgodnie z art. 80 ust. 1 ustawy, jeżeli była przeprowadzona ocena oddziaływania przedsięwzięcia na środowisko, właściwy organ wydaje decyzję o środowiskowych uwarunkowaniach biorąc pod uwagę: wyniki uzgodnień i opinii, o których mowa w art. 77 ust. 1 ustawy; ustalenia zawarte w raporcie o oddziaływaniu przedsięwzięcia na środowisko; wyniki postępowania z udziałem społeczeństwa; wyniki postępowania w sprawie transgranicznego oddziaływania na środowisko, jeżeli zostało przeprowadzone.</w:t>
      </w:r>
      <w:bookmarkStart w:id="5" w:name="mip45490988"/>
      <w:bookmarkEnd w:id="5"/>
      <w:r w:rsidRPr="004E61DD">
        <w:rPr>
          <w:rFonts w:ascii="Calibri" w:eastAsia="Times New Roman" w:hAnsi="Calibri" w:cs="Calibri"/>
          <w:sz w:val="28"/>
          <w:szCs w:val="28"/>
          <w:lang w:eastAsia="pl-PL"/>
        </w:rPr>
        <w:t xml:space="preserve"> </w:t>
      </w:r>
    </w:p>
    <w:p w14:paraId="14194EE2"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Zgodnie z art. 62 ust. 1 ustawy w ramach oceny oddziaływania przedsięwzięcia na środowisko określa się, analizuje oraz ocenia: bezpośredni i pośredni wpływ danego przedsięwzięcia na środowisko oraz ludność, w tym zdrowie i warunki życia ludzi, dobra materialne, zabytki, krajobraz, w tym krajobraz kulturowy, wzajemne oddziaływanie między wyżej wymienionymi elementami, a także dostępność do złóż kopalin; ryzyko wystąpienia poważnych awarii oraz katastrof naturalnych i budowlanych; możliwości oraz sposoby zapobiegania i zmniejszania negatywnego oddziaływania przedsięwzięcia na środowisko; wymagany zakres monitoringu.</w:t>
      </w:r>
    </w:p>
    <w:p w14:paraId="29F3DF69"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Wobec powyższego przedstawia się co następuje.</w:t>
      </w:r>
      <w:bookmarkStart w:id="6" w:name="_Hlk89684937"/>
    </w:p>
    <w:p w14:paraId="0BCE988A"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Planowane przedsięwzięcie polega na rozbudowie gospodarstwa rolnego, na działce o numerze ewidencyjnym 189/1, obręb Kadzewo, poprzez budowę: budynku inwentarskiego, przeznaczonego do chowu trzody chlewnej, to jest chlewni VI, o maksymalnej obsadzie 2 800 sztuk tuczników, co stanowi 392 DJP, dwóch silosów na paszę o możliwości przechowywania pasz w ilości ca 27 Mg każdy, dwóch silosów na pasze o możliwości przechowywania pasz w ilości ca 40 Mg każdy, zbiornika do przechowywania gnojowicy o pojemności nie większej niż 2 611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 zbiornika przepompowego na gnojowicę o pojemności nie większej niż 100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 ujęcia wód podziemnych o zdolności poboru wody wynoszącej 6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 xml:space="preserve">/h. </w:t>
      </w:r>
    </w:p>
    <w:p w14:paraId="0FBE8DFF"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1C5A3B64"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Obecnie w gospodarstwie rolnym prowadzony jest chów trzody chlewnej w pięciu budynkach inwentarskich o łącznej obsadzie 246,9 DJP. W czterech budynkach inwentarskich, to jest w chlewniach: I, III, IV i V, zwierzęta utrzymywane są w systemie bezściółkowym, natomiast w chlewni II prowadzony jest chów zwierząt w systemie na głębokiej ściółce. Projektowana chlewnia VI funkcjonować będzie w systemie bezściółkowym.</w:t>
      </w:r>
    </w:p>
    <w:p w14:paraId="4CA5374E" w14:textId="688E4E0E" w:rsidR="004E61DD" w:rsidRPr="004E61DD" w:rsidRDefault="004E61DD" w:rsidP="00C114F0">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Na terenie przedsięwzięcia znajdują się również: dwie płyty obornikowe o powierzchniach 150 m</w:t>
      </w:r>
      <w:r w:rsidRPr="004E61DD">
        <w:rPr>
          <w:rFonts w:ascii="Calibri" w:eastAsia="Times New Roman" w:hAnsi="Calibri" w:cs="Calibri"/>
          <w:sz w:val="28"/>
          <w:szCs w:val="28"/>
          <w:vertAlign w:val="superscript"/>
          <w:lang w:eastAsia="pl-PL"/>
        </w:rPr>
        <w:t>2</w:t>
      </w:r>
      <w:r w:rsidRPr="004E61DD">
        <w:rPr>
          <w:rFonts w:ascii="Calibri" w:eastAsia="Times New Roman" w:hAnsi="Calibri" w:cs="Calibri"/>
          <w:sz w:val="28"/>
          <w:szCs w:val="28"/>
          <w:lang w:eastAsia="pl-PL"/>
        </w:rPr>
        <w:t xml:space="preserve"> i 300 m</w:t>
      </w:r>
      <w:r w:rsidRPr="004E61DD">
        <w:rPr>
          <w:rFonts w:ascii="Calibri" w:eastAsia="Times New Roman" w:hAnsi="Calibri" w:cs="Calibri"/>
          <w:sz w:val="28"/>
          <w:szCs w:val="28"/>
          <w:vertAlign w:val="superscript"/>
          <w:lang w:eastAsia="pl-PL"/>
        </w:rPr>
        <w:t>2</w:t>
      </w:r>
      <w:r w:rsidRPr="004E61DD">
        <w:rPr>
          <w:rFonts w:ascii="Calibri" w:eastAsia="Times New Roman" w:hAnsi="Calibri" w:cs="Calibri"/>
          <w:sz w:val="28"/>
          <w:szCs w:val="28"/>
          <w:lang w:eastAsia="pl-PL"/>
        </w:rPr>
        <w:t>, dwa zbiorniki na gnojowicę o pojemnościach 453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 xml:space="preserve"> i 789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 trzy zbiorniki przepompowe na gnojowicę o pojemnościach 14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 18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 xml:space="preserve"> i 20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 dwa silosy paszowe o możliwości przechowywania pasz w ilości 5 Mg każdy, silos paszowy o możliwości przechowywania pasz w ilości 8 Mg, cztery silosy zbożowe o możliwości przechowywania zboża w ilości 100 Mg każdy, agregat prądotwórczy, zbiornik na ścieki bytowe o pojemności 3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 xml:space="preserve">, pomieszczenie socjalne, pomieszczenie kotłowni w chlewni III wraz z kotłem węglowym o mocy 105 kW, budynki gospodarcze i budynek mieszkalny. Ponadto, Wnioskodawca uzyskał decyzję </w:t>
      </w:r>
      <w:bookmarkStart w:id="7" w:name="_Hlk104883548"/>
      <w:r w:rsidRPr="004E61DD">
        <w:rPr>
          <w:rFonts w:ascii="Calibri" w:eastAsia="Times New Roman" w:hAnsi="Calibri" w:cs="Calibri"/>
          <w:sz w:val="28"/>
          <w:szCs w:val="28"/>
          <w:lang w:eastAsia="pl-PL"/>
        </w:rPr>
        <w:t>Burmistrza Śremu z 04.06.2019 r. znak PPSOŚ.6220.18.2018.BM o</w:t>
      </w:r>
      <w:r w:rsidR="00C114F0">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 xml:space="preserve">środowiskowych uwarunkowaniach </w:t>
      </w:r>
      <w:bookmarkEnd w:id="7"/>
      <w:r w:rsidRPr="004E61DD">
        <w:rPr>
          <w:rFonts w:ascii="Calibri" w:eastAsia="Times New Roman" w:hAnsi="Calibri" w:cs="Calibri"/>
          <w:sz w:val="28"/>
          <w:szCs w:val="28"/>
          <w:lang w:eastAsia="pl-PL"/>
        </w:rPr>
        <w:t>na rozbudowę gospodarstwa rolnego, polegającą na budowie kurnika wraz z infrastrukturą towarzyszącą (awaryjny zbiornik na odcieki o pojemności nie większej niż 20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 zbiornik na ścieki bytowe o pojemności nie większej niż 5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 trzy silosy paszowe do przechowywania pasz w ilości ca 2 x 24 Mg i 1 x 16 Mg, dwa zbiorniki na gaz płynny o pojemności nie większej niż 6 400 dm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 xml:space="preserve"> każdy, agregat prądotwórczy, konfiskator). W związku z realizacją przedsięwzięcia Wnioskodawca nie przewiduje zmian w obsadzie kurnika (56 700 sztuk drobiu do 5 tygodnia życia, to jest 226,8 DJP i 47 250 sztuk drobiu po 5 tygodniu życia, to jest 189 DJP). </w:t>
      </w:r>
    </w:p>
    <w:p w14:paraId="79478C37" w14:textId="77777777" w:rsidR="004E61DD" w:rsidRPr="004E61DD" w:rsidRDefault="004E61DD" w:rsidP="00C114F0">
      <w:pPr>
        <w:spacing w:after="0" w:line="240" w:lineRule="auto"/>
        <w:ind w:firstLine="708"/>
        <w:jc w:val="both"/>
        <w:rPr>
          <w:rFonts w:ascii="Calibri" w:eastAsia="Calibri" w:hAnsi="Calibri" w:cs="Times New Roman"/>
          <w:sz w:val="28"/>
        </w:rPr>
      </w:pPr>
      <w:r w:rsidRPr="004E61DD">
        <w:rPr>
          <w:rFonts w:ascii="Calibri" w:eastAsia="Times New Roman" w:hAnsi="Calibri" w:cs="Calibri"/>
          <w:sz w:val="28"/>
          <w:szCs w:val="28"/>
          <w:lang w:eastAsia="pl-PL"/>
        </w:rPr>
        <w:t>W ramach przedsięwzięcia zaplanowano również zmianę wentylacji w chlewni V i likwidację produkcji rolnej w chlewni I. Część budynku chlewni I będzie pełniła funkcję izolatki dla zwierząt chorych i agresywnych, a część zostanie przeznaczona na pomieszczenia gospodarcze, co uwzględniono w warunkach decyzji, zgodnie z postanowieniami Regionalnego Dyrektora Ochrony Środowiska w Poznaniu i Dyrektora Regionalnego Zarządu Gospodarki Wodnej Państwowego Gospodarstwa Wodnego Wody Polskie w Poznaniu.</w:t>
      </w:r>
    </w:p>
    <w:p w14:paraId="48DB14DD"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17BC37EE" w14:textId="77777777" w:rsidR="004E61DD" w:rsidRPr="004E61DD" w:rsidRDefault="004E61DD" w:rsidP="00C114F0">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Obsada zwierząt wraz ze sposobem ich utrzymywania w budynkach inwentarskich przed i po realizacji przedsięwzięcia przedstawia się następująco:</w:t>
      </w:r>
    </w:p>
    <w:tbl>
      <w:tblPr>
        <w:tblStyle w:val="Tabela-Siatka"/>
        <w:tblW w:w="0" w:type="auto"/>
        <w:tblLook w:val="04A0" w:firstRow="1" w:lastRow="0" w:firstColumn="1" w:lastColumn="0" w:noHBand="0" w:noVBand="1"/>
      </w:tblPr>
      <w:tblGrid>
        <w:gridCol w:w="1148"/>
        <w:gridCol w:w="778"/>
        <w:gridCol w:w="642"/>
        <w:gridCol w:w="1527"/>
        <w:gridCol w:w="1473"/>
        <w:gridCol w:w="778"/>
        <w:gridCol w:w="763"/>
        <w:gridCol w:w="1527"/>
      </w:tblGrid>
      <w:tr w:rsidR="004E61DD" w:rsidRPr="004E61DD" w14:paraId="3181DCDF" w14:textId="77777777" w:rsidTr="00955276">
        <w:trPr>
          <w:tblHeader/>
        </w:trPr>
        <w:tc>
          <w:tcPr>
            <w:tcW w:w="4095" w:type="dxa"/>
            <w:gridSpan w:val="4"/>
            <w:vAlign w:val="center"/>
          </w:tcPr>
          <w:p w14:paraId="2ABA708A" w14:textId="77777777" w:rsidR="004E61DD" w:rsidRPr="004E61DD" w:rsidRDefault="004E61DD" w:rsidP="004E61DD">
            <w:pPr>
              <w:spacing w:after="120"/>
              <w:jc w:val="center"/>
              <w:rPr>
                <w:rFonts w:ascii="Calibri" w:eastAsia="Times New Roman" w:hAnsi="Calibri" w:cs="Calibri"/>
                <w:color w:val="2F5496"/>
                <w:sz w:val="24"/>
                <w:szCs w:val="24"/>
              </w:rPr>
            </w:pPr>
            <w:bookmarkStart w:id="8" w:name="_Hlk100744655"/>
            <w:r w:rsidRPr="004E61DD">
              <w:rPr>
                <w:rFonts w:ascii="Calibri" w:eastAsia="Times New Roman" w:hAnsi="Calibri" w:cs="Calibri"/>
                <w:color w:val="2F5496"/>
                <w:sz w:val="24"/>
                <w:szCs w:val="24"/>
              </w:rPr>
              <w:t>Obsada zwierząt przed realizacją przedsięwzięcia</w:t>
            </w:r>
          </w:p>
        </w:tc>
        <w:tc>
          <w:tcPr>
            <w:tcW w:w="4541" w:type="dxa"/>
            <w:gridSpan w:val="4"/>
            <w:vAlign w:val="center"/>
          </w:tcPr>
          <w:p w14:paraId="4D7C381F"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t>Obsada zwierząt po zrealizowaniu przedsięwzięcia</w:t>
            </w:r>
          </w:p>
        </w:tc>
      </w:tr>
      <w:tr w:rsidR="004E61DD" w:rsidRPr="004E61DD" w14:paraId="16F92CDA" w14:textId="77777777" w:rsidTr="00955276">
        <w:trPr>
          <w:tblHeader/>
        </w:trPr>
        <w:tc>
          <w:tcPr>
            <w:tcW w:w="1148" w:type="dxa"/>
            <w:vAlign w:val="center"/>
          </w:tcPr>
          <w:p w14:paraId="5E032828"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t>Rodzaj zwierząt</w:t>
            </w:r>
          </w:p>
        </w:tc>
        <w:tc>
          <w:tcPr>
            <w:tcW w:w="778" w:type="dxa"/>
            <w:vAlign w:val="center"/>
          </w:tcPr>
          <w:p w14:paraId="3A287BDF"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t>sztuki</w:t>
            </w:r>
          </w:p>
        </w:tc>
        <w:tc>
          <w:tcPr>
            <w:tcW w:w="642" w:type="dxa"/>
            <w:vAlign w:val="center"/>
          </w:tcPr>
          <w:p w14:paraId="3E24DEB9"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t>DJP</w:t>
            </w:r>
          </w:p>
        </w:tc>
        <w:tc>
          <w:tcPr>
            <w:tcW w:w="1527" w:type="dxa"/>
            <w:vAlign w:val="center"/>
          </w:tcPr>
          <w:p w14:paraId="27812857"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t>System chowu</w:t>
            </w:r>
          </w:p>
        </w:tc>
        <w:tc>
          <w:tcPr>
            <w:tcW w:w="1473" w:type="dxa"/>
            <w:vAlign w:val="center"/>
          </w:tcPr>
          <w:p w14:paraId="20F54FE0"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t>Rodzaj zwierząt</w:t>
            </w:r>
          </w:p>
        </w:tc>
        <w:tc>
          <w:tcPr>
            <w:tcW w:w="778" w:type="dxa"/>
            <w:vAlign w:val="center"/>
          </w:tcPr>
          <w:p w14:paraId="7E05F5AD"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t>sztuki</w:t>
            </w:r>
          </w:p>
        </w:tc>
        <w:tc>
          <w:tcPr>
            <w:tcW w:w="763" w:type="dxa"/>
            <w:vAlign w:val="center"/>
          </w:tcPr>
          <w:p w14:paraId="45AEDB9E"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t>DJP</w:t>
            </w:r>
          </w:p>
        </w:tc>
        <w:tc>
          <w:tcPr>
            <w:tcW w:w="1527" w:type="dxa"/>
            <w:vAlign w:val="center"/>
          </w:tcPr>
          <w:p w14:paraId="602C1A48"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t>System chowu</w:t>
            </w:r>
          </w:p>
        </w:tc>
      </w:tr>
      <w:bookmarkEnd w:id="8"/>
      <w:tr w:rsidR="004E61DD" w:rsidRPr="004E61DD" w14:paraId="0AC93DBF" w14:textId="77777777" w:rsidTr="00955276">
        <w:tc>
          <w:tcPr>
            <w:tcW w:w="8636" w:type="dxa"/>
            <w:gridSpan w:val="8"/>
            <w:vAlign w:val="center"/>
          </w:tcPr>
          <w:p w14:paraId="703A61DD"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Chlewnia I</w:t>
            </w:r>
          </w:p>
        </w:tc>
      </w:tr>
      <w:tr w:rsidR="004E61DD" w:rsidRPr="004E61DD" w14:paraId="534BBF59" w14:textId="77777777" w:rsidTr="00955276">
        <w:tc>
          <w:tcPr>
            <w:tcW w:w="1148" w:type="dxa"/>
            <w:vAlign w:val="center"/>
          </w:tcPr>
          <w:p w14:paraId="65526F93"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warchlaki</w:t>
            </w:r>
          </w:p>
        </w:tc>
        <w:tc>
          <w:tcPr>
            <w:tcW w:w="778" w:type="dxa"/>
            <w:vAlign w:val="center"/>
          </w:tcPr>
          <w:p w14:paraId="268F342B"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120</w:t>
            </w:r>
          </w:p>
        </w:tc>
        <w:tc>
          <w:tcPr>
            <w:tcW w:w="642" w:type="dxa"/>
            <w:vAlign w:val="center"/>
          </w:tcPr>
          <w:p w14:paraId="5ED12053"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8,4</w:t>
            </w:r>
          </w:p>
        </w:tc>
        <w:tc>
          <w:tcPr>
            <w:tcW w:w="1527" w:type="dxa"/>
            <w:vAlign w:val="center"/>
          </w:tcPr>
          <w:p w14:paraId="17D1EDAA"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c>
          <w:tcPr>
            <w:tcW w:w="1473" w:type="dxa"/>
            <w:vAlign w:val="center"/>
          </w:tcPr>
          <w:p w14:paraId="6B97609B"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778" w:type="dxa"/>
            <w:vAlign w:val="center"/>
          </w:tcPr>
          <w:p w14:paraId="29620FF3"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763" w:type="dxa"/>
            <w:vAlign w:val="center"/>
          </w:tcPr>
          <w:p w14:paraId="320A97A6"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1527" w:type="dxa"/>
            <w:vAlign w:val="center"/>
          </w:tcPr>
          <w:p w14:paraId="5B6881E3"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r>
      <w:tr w:rsidR="004E61DD" w:rsidRPr="004E61DD" w14:paraId="34CCA553" w14:textId="77777777" w:rsidTr="00955276">
        <w:tc>
          <w:tcPr>
            <w:tcW w:w="1148" w:type="dxa"/>
            <w:vAlign w:val="center"/>
          </w:tcPr>
          <w:p w14:paraId="1BF8AA07"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tuczniki</w:t>
            </w:r>
          </w:p>
        </w:tc>
        <w:tc>
          <w:tcPr>
            <w:tcW w:w="778" w:type="dxa"/>
            <w:vAlign w:val="center"/>
          </w:tcPr>
          <w:p w14:paraId="2D9F8937"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60</w:t>
            </w:r>
          </w:p>
        </w:tc>
        <w:tc>
          <w:tcPr>
            <w:tcW w:w="642" w:type="dxa"/>
            <w:vAlign w:val="center"/>
          </w:tcPr>
          <w:p w14:paraId="5C5FBF12"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8,4</w:t>
            </w:r>
          </w:p>
        </w:tc>
        <w:tc>
          <w:tcPr>
            <w:tcW w:w="1527" w:type="dxa"/>
            <w:vAlign w:val="center"/>
          </w:tcPr>
          <w:p w14:paraId="6032094D"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c>
          <w:tcPr>
            <w:tcW w:w="1473" w:type="dxa"/>
            <w:vAlign w:val="center"/>
          </w:tcPr>
          <w:p w14:paraId="7A9BC129"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778" w:type="dxa"/>
            <w:vAlign w:val="center"/>
          </w:tcPr>
          <w:p w14:paraId="444E3B34"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763" w:type="dxa"/>
            <w:vAlign w:val="center"/>
          </w:tcPr>
          <w:p w14:paraId="084216BB"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1527" w:type="dxa"/>
            <w:vAlign w:val="center"/>
          </w:tcPr>
          <w:p w14:paraId="6A6EB96E"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r>
      <w:tr w:rsidR="004E61DD" w:rsidRPr="004E61DD" w14:paraId="5A384E20" w14:textId="77777777" w:rsidTr="00955276">
        <w:tc>
          <w:tcPr>
            <w:tcW w:w="8636" w:type="dxa"/>
            <w:gridSpan w:val="8"/>
            <w:vAlign w:val="center"/>
          </w:tcPr>
          <w:p w14:paraId="29EF3E5D"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Chlewnia II</w:t>
            </w:r>
          </w:p>
        </w:tc>
      </w:tr>
      <w:tr w:rsidR="004E61DD" w:rsidRPr="004E61DD" w14:paraId="283BF389" w14:textId="77777777" w:rsidTr="00955276">
        <w:tc>
          <w:tcPr>
            <w:tcW w:w="1148" w:type="dxa"/>
            <w:vAlign w:val="center"/>
          </w:tcPr>
          <w:p w14:paraId="3D1A0162"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warchlaki</w:t>
            </w:r>
          </w:p>
        </w:tc>
        <w:tc>
          <w:tcPr>
            <w:tcW w:w="778" w:type="dxa"/>
            <w:vAlign w:val="center"/>
          </w:tcPr>
          <w:p w14:paraId="29B3EBB0"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240</w:t>
            </w:r>
          </w:p>
        </w:tc>
        <w:tc>
          <w:tcPr>
            <w:tcW w:w="642" w:type="dxa"/>
            <w:vAlign w:val="center"/>
          </w:tcPr>
          <w:p w14:paraId="766585AB"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16,8</w:t>
            </w:r>
          </w:p>
        </w:tc>
        <w:tc>
          <w:tcPr>
            <w:tcW w:w="1527" w:type="dxa"/>
            <w:vAlign w:val="center"/>
          </w:tcPr>
          <w:p w14:paraId="2FC5DCF2"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głęboka ściółka</w:t>
            </w:r>
          </w:p>
        </w:tc>
        <w:tc>
          <w:tcPr>
            <w:tcW w:w="1473" w:type="dxa"/>
            <w:vAlign w:val="center"/>
          </w:tcPr>
          <w:p w14:paraId="54B9F213"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maciory</w:t>
            </w:r>
          </w:p>
        </w:tc>
        <w:tc>
          <w:tcPr>
            <w:tcW w:w="778" w:type="dxa"/>
            <w:vAlign w:val="center"/>
          </w:tcPr>
          <w:p w14:paraId="7C88ABA6"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231</w:t>
            </w:r>
          </w:p>
        </w:tc>
        <w:tc>
          <w:tcPr>
            <w:tcW w:w="763" w:type="dxa"/>
            <w:vAlign w:val="center"/>
          </w:tcPr>
          <w:p w14:paraId="222DFCF6"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80,85</w:t>
            </w:r>
          </w:p>
        </w:tc>
        <w:tc>
          <w:tcPr>
            <w:tcW w:w="1527" w:type="dxa"/>
            <w:vAlign w:val="center"/>
          </w:tcPr>
          <w:p w14:paraId="594E345F"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głęboka ściółka</w:t>
            </w:r>
          </w:p>
        </w:tc>
      </w:tr>
      <w:tr w:rsidR="004E61DD" w:rsidRPr="004E61DD" w14:paraId="1CD62724" w14:textId="77777777" w:rsidTr="00955276">
        <w:tc>
          <w:tcPr>
            <w:tcW w:w="1148" w:type="dxa"/>
            <w:vAlign w:val="center"/>
          </w:tcPr>
          <w:p w14:paraId="1EFA8C23"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tuczniki</w:t>
            </w:r>
          </w:p>
        </w:tc>
        <w:tc>
          <w:tcPr>
            <w:tcW w:w="778" w:type="dxa"/>
            <w:vAlign w:val="center"/>
          </w:tcPr>
          <w:p w14:paraId="0CDEEB7E"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240</w:t>
            </w:r>
          </w:p>
        </w:tc>
        <w:tc>
          <w:tcPr>
            <w:tcW w:w="642" w:type="dxa"/>
            <w:vAlign w:val="center"/>
          </w:tcPr>
          <w:p w14:paraId="5EFCECE8"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33,6</w:t>
            </w:r>
          </w:p>
        </w:tc>
        <w:tc>
          <w:tcPr>
            <w:tcW w:w="1527" w:type="dxa"/>
            <w:vAlign w:val="center"/>
          </w:tcPr>
          <w:p w14:paraId="28195999"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głęboka ściółka</w:t>
            </w:r>
          </w:p>
        </w:tc>
        <w:tc>
          <w:tcPr>
            <w:tcW w:w="1473" w:type="dxa"/>
            <w:vAlign w:val="center"/>
          </w:tcPr>
          <w:p w14:paraId="6F8F09D6"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knur</w:t>
            </w:r>
          </w:p>
        </w:tc>
        <w:tc>
          <w:tcPr>
            <w:tcW w:w="778" w:type="dxa"/>
            <w:vAlign w:val="center"/>
          </w:tcPr>
          <w:p w14:paraId="5D794CFA"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1</w:t>
            </w:r>
          </w:p>
        </w:tc>
        <w:tc>
          <w:tcPr>
            <w:tcW w:w="763" w:type="dxa"/>
            <w:vAlign w:val="center"/>
          </w:tcPr>
          <w:p w14:paraId="118B04F0"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0,4</w:t>
            </w:r>
          </w:p>
        </w:tc>
        <w:tc>
          <w:tcPr>
            <w:tcW w:w="1527" w:type="dxa"/>
            <w:vAlign w:val="center"/>
          </w:tcPr>
          <w:p w14:paraId="1D49372B"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głęboka ściółka</w:t>
            </w:r>
          </w:p>
        </w:tc>
      </w:tr>
      <w:tr w:rsidR="004E61DD" w:rsidRPr="004E61DD" w14:paraId="7D281739" w14:textId="77777777" w:rsidTr="00955276">
        <w:tc>
          <w:tcPr>
            <w:tcW w:w="8636" w:type="dxa"/>
            <w:gridSpan w:val="8"/>
            <w:vAlign w:val="center"/>
          </w:tcPr>
          <w:p w14:paraId="5EA86498"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Chlewnia III</w:t>
            </w:r>
          </w:p>
        </w:tc>
      </w:tr>
      <w:tr w:rsidR="004E61DD" w:rsidRPr="004E61DD" w14:paraId="11F3C166" w14:textId="77777777" w:rsidTr="00955276">
        <w:tc>
          <w:tcPr>
            <w:tcW w:w="1148" w:type="dxa"/>
            <w:vAlign w:val="center"/>
          </w:tcPr>
          <w:p w14:paraId="060FD727"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prosięta</w:t>
            </w:r>
          </w:p>
        </w:tc>
        <w:tc>
          <w:tcPr>
            <w:tcW w:w="778" w:type="dxa"/>
            <w:vAlign w:val="center"/>
          </w:tcPr>
          <w:p w14:paraId="28BDA6F2"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300</w:t>
            </w:r>
          </w:p>
        </w:tc>
        <w:tc>
          <w:tcPr>
            <w:tcW w:w="642" w:type="dxa"/>
            <w:vAlign w:val="center"/>
          </w:tcPr>
          <w:p w14:paraId="0EBA5919"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6,0</w:t>
            </w:r>
          </w:p>
        </w:tc>
        <w:tc>
          <w:tcPr>
            <w:tcW w:w="1527" w:type="dxa"/>
            <w:vAlign w:val="center"/>
          </w:tcPr>
          <w:p w14:paraId="1DF8DCFD"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c>
          <w:tcPr>
            <w:tcW w:w="1473" w:type="dxa"/>
            <w:vAlign w:val="center"/>
          </w:tcPr>
          <w:p w14:paraId="6F42A5A2"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warchlaki</w:t>
            </w:r>
          </w:p>
        </w:tc>
        <w:tc>
          <w:tcPr>
            <w:tcW w:w="778" w:type="dxa"/>
            <w:vAlign w:val="center"/>
          </w:tcPr>
          <w:p w14:paraId="6AD91BE1"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465</w:t>
            </w:r>
          </w:p>
        </w:tc>
        <w:tc>
          <w:tcPr>
            <w:tcW w:w="763" w:type="dxa"/>
            <w:vAlign w:val="center"/>
          </w:tcPr>
          <w:p w14:paraId="260F7376"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32,55</w:t>
            </w:r>
          </w:p>
        </w:tc>
        <w:tc>
          <w:tcPr>
            <w:tcW w:w="1527" w:type="dxa"/>
            <w:vAlign w:val="center"/>
          </w:tcPr>
          <w:p w14:paraId="39CD3EEC"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r>
      <w:tr w:rsidR="004E61DD" w:rsidRPr="004E61DD" w14:paraId="615839E6" w14:textId="77777777" w:rsidTr="00955276">
        <w:tc>
          <w:tcPr>
            <w:tcW w:w="1148" w:type="dxa"/>
            <w:vAlign w:val="center"/>
          </w:tcPr>
          <w:p w14:paraId="4F4F1B7A"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maciory</w:t>
            </w:r>
          </w:p>
        </w:tc>
        <w:tc>
          <w:tcPr>
            <w:tcW w:w="778" w:type="dxa"/>
            <w:vAlign w:val="center"/>
          </w:tcPr>
          <w:p w14:paraId="28DE04B8"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62</w:t>
            </w:r>
          </w:p>
        </w:tc>
        <w:tc>
          <w:tcPr>
            <w:tcW w:w="642" w:type="dxa"/>
            <w:vAlign w:val="center"/>
          </w:tcPr>
          <w:p w14:paraId="6867C1CF"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21,7</w:t>
            </w:r>
          </w:p>
        </w:tc>
        <w:tc>
          <w:tcPr>
            <w:tcW w:w="1527" w:type="dxa"/>
            <w:vAlign w:val="center"/>
          </w:tcPr>
          <w:p w14:paraId="6F832087"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c>
          <w:tcPr>
            <w:tcW w:w="1473" w:type="dxa"/>
            <w:vAlign w:val="center"/>
          </w:tcPr>
          <w:p w14:paraId="1483BE53"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prosięta (porodówka)</w:t>
            </w:r>
          </w:p>
        </w:tc>
        <w:tc>
          <w:tcPr>
            <w:tcW w:w="778" w:type="dxa"/>
            <w:vAlign w:val="center"/>
          </w:tcPr>
          <w:p w14:paraId="1D29438E"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420</w:t>
            </w:r>
          </w:p>
        </w:tc>
        <w:tc>
          <w:tcPr>
            <w:tcW w:w="763" w:type="dxa"/>
            <w:vAlign w:val="center"/>
          </w:tcPr>
          <w:p w14:paraId="53116A6A"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8,4</w:t>
            </w:r>
          </w:p>
        </w:tc>
        <w:tc>
          <w:tcPr>
            <w:tcW w:w="1527" w:type="dxa"/>
            <w:vAlign w:val="center"/>
          </w:tcPr>
          <w:p w14:paraId="5E2C3774"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r>
      <w:tr w:rsidR="004E61DD" w:rsidRPr="004E61DD" w14:paraId="0CA7ABFB" w14:textId="77777777" w:rsidTr="00955276">
        <w:tc>
          <w:tcPr>
            <w:tcW w:w="1148" w:type="dxa"/>
            <w:vAlign w:val="center"/>
          </w:tcPr>
          <w:p w14:paraId="10B227D1"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loszki</w:t>
            </w:r>
          </w:p>
        </w:tc>
        <w:tc>
          <w:tcPr>
            <w:tcW w:w="778" w:type="dxa"/>
            <w:vAlign w:val="center"/>
          </w:tcPr>
          <w:p w14:paraId="1DAE28B0"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10</w:t>
            </w:r>
          </w:p>
        </w:tc>
        <w:tc>
          <w:tcPr>
            <w:tcW w:w="642" w:type="dxa"/>
            <w:vAlign w:val="center"/>
          </w:tcPr>
          <w:p w14:paraId="3D5B9E69"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3,5</w:t>
            </w:r>
          </w:p>
        </w:tc>
        <w:tc>
          <w:tcPr>
            <w:tcW w:w="1527" w:type="dxa"/>
            <w:vAlign w:val="center"/>
          </w:tcPr>
          <w:p w14:paraId="7ED8FE01"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c>
          <w:tcPr>
            <w:tcW w:w="1473" w:type="dxa"/>
            <w:vAlign w:val="center"/>
          </w:tcPr>
          <w:p w14:paraId="659560BA"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maciory (porodówka)</w:t>
            </w:r>
          </w:p>
        </w:tc>
        <w:tc>
          <w:tcPr>
            <w:tcW w:w="778" w:type="dxa"/>
            <w:vAlign w:val="center"/>
          </w:tcPr>
          <w:p w14:paraId="2EAC9CDB"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28</w:t>
            </w:r>
          </w:p>
        </w:tc>
        <w:tc>
          <w:tcPr>
            <w:tcW w:w="763" w:type="dxa"/>
            <w:vAlign w:val="center"/>
          </w:tcPr>
          <w:p w14:paraId="2F0A5CDE"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9,8</w:t>
            </w:r>
          </w:p>
        </w:tc>
        <w:tc>
          <w:tcPr>
            <w:tcW w:w="1527" w:type="dxa"/>
            <w:vAlign w:val="center"/>
          </w:tcPr>
          <w:p w14:paraId="3B998C49"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r>
      <w:tr w:rsidR="004E61DD" w:rsidRPr="004E61DD" w14:paraId="5FADD5EF" w14:textId="77777777" w:rsidTr="00955276">
        <w:tc>
          <w:tcPr>
            <w:tcW w:w="1148" w:type="dxa"/>
            <w:vAlign w:val="center"/>
          </w:tcPr>
          <w:p w14:paraId="177D7F66"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knur</w:t>
            </w:r>
          </w:p>
        </w:tc>
        <w:tc>
          <w:tcPr>
            <w:tcW w:w="778" w:type="dxa"/>
            <w:vAlign w:val="center"/>
          </w:tcPr>
          <w:p w14:paraId="448D1CE8"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1</w:t>
            </w:r>
          </w:p>
        </w:tc>
        <w:tc>
          <w:tcPr>
            <w:tcW w:w="642" w:type="dxa"/>
            <w:vAlign w:val="center"/>
          </w:tcPr>
          <w:p w14:paraId="749ADA9A"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0,4</w:t>
            </w:r>
          </w:p>
        </w:tc>
        <w:tc>
          <w:tcPr>
            <w:tcW w:w="1527" w:type="dxa"/>
            <w:vAlign w:val="center"/>
          </w:tcPr>
          <w:p w14:paraId="73C13C7B"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c>
          <w:tcPr>
            <w:tcW w:w="1473" w:type="dxa"/>
            <w:vAlign w:val="center"/>
          </w:tcPr>
          <w:p w14:paraId="573A224F"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maciory (krycie)</w:t>
            </w:r>
          </w:p>
        </w:tc>
        <w:tc>
          <w:tcPr>
            <w:tcW w:w="778" w:type="dxa"/>
            <w:vAlign w:val="center"/>
          </w:tcPr>
          <w:p w14:paraId="6C4312A1"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34</w:t>
            </w:r>
          </w:p>
        </w:tc>
        <w:tc>
          <w:tcPr>
            <w:tcW w:w="763" w:type="dxa"/>
            <w:vAlign w:val="center"/>
          </w:tcPr>
          <w:p w14:paraId="642E93D6"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11,9</w:t>
            </w:r>
          </w:p>
        </w:tc>
        <w:tc>
          <w:tcPr>
            <w:tcW w:w="1527" w:type="dxa"/>
            <w:vAlign w:val="center"/>
          </w:tcPr>
          <w:p w14:paraId="69EA6191"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r>
      <w:tr w:rsidR="004E61DD" w:rsidRPr="004E61DD" w14:paraId="65B8222D" w14:textId="77777777" w:rsidTr="00955276">
        <w:tc>
          <w:tcPr>
            <w:tcW w:w="1148" w:type="dxa"/>
            <w:vAlign w:val="center"/>
          </w:tcPr>
          <w:p w14:paraId="2AF51EFF"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778" w:type="dxa"/>
            <w:vAlign w:val="center"/>
          </w:tcPr>
          <w:p w14:paraId="18B2E911"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642" w:type="dxa"/>
            <w:vAlign w:val="center"/>
          </w:tcPr>
          <w:p w14:paraId="22A3EF25"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1527" w:type="dxa"/>
            <w:vAlign w:val="center"/>
          </w:tcPr>
          <w:p w14:paraId="061A1A3D"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c>
          <w:tcPr>
            <w:tcW w:w="1473" w:type="dxa"/>
            <w:vAlign w:val="center"/>
          </w:tcPr>
          <w:p w14:paraId="326D47B0"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knur</w:t>
            </w:r>
          </w:p>
        </w:tc>
        <w:tc>
          <w:tcPr>
            <w:tcW w:w="778" w:type="dxa"/>
            <w:vAlign w:val="center"/>
          </w:tcPr>
          <w:p w14:paraId="25640740"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1</w:t>
            </w:r>
          </w:p>
        </w:tc>
        <w:tc>
          <w:tcPr>
            <w:tcW w:w="763" w:type="dxa"/>
            <w:vAlign w:val="center"/>
          </w:tcPr>
          <w:p w14:paraId="0976F3B3"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0,4</w:t>
            </w:r>
          </w:p>
        </w:tc>
        <w:tc>
          <w:tcPr>
            <w:tcW w:w="1527" w:type="dxa"/>
            <w:vAlign w:val="center"/>
          </w:tcPr>
          <w:p w14:paraId="336FDE83"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r>
      <w:tr w:rsidR="004E61DD" w:rsidRPr="004E61DD" w14:paraId="09E72527" w14:textId="77777777" w:rsidTr="00955276">
        <w:tc>
          <w:tcPr>
            <w:tcW w:w="8636" w:type="dxa"/>
            <w:gridSpan w:val="8"/>
            <w:vAlign w:val="center"/>
          </w:tcPr>
          <w:p w14:paraId="64040956"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Chlewnia IV</w:t>
            </w:r>
          </w:p>
        </w:tc>
      </w:tr>
      <w:tr w:rsidR="004E61DD" w:rsidRPr="004E61DD" w14:paraId="0E9F9F6D" w14:textId="77777777" w:rsidTr="00955276">
        <w:tc>
          <w:tcPr>
            <w:tcW w:w="1148" w:type="dxa"/>
            <w:vAlign w:val="center"/>
          </w:tcPr>
          <w:p w14:paraId="0388F4C8"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maciory</w:t>
            </w:r>
          </w:p>
        </w:tc>
        <w:tc>
          <w:tcPr>
            <w:tcW w:w="778" w:type="dxa"/>
            <w:vAlign w:val="center"/>
          </w:tcPr>
          <w:p w14:paraId="38234531"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142</w:t>
            </w:r>
          </w:p>
        </w:tc>
        <w:tc>
          <w:tcPr>
            <w:tcW w:w="642" w:type="dxa"/>
            <w:vAlign w:val="center"/>
          </w:tcPr>
          <w:p w14:paraId="3C224CE8"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49,7</w:t>
            </w:r>
          </w:p>
        </w:tc>
        <w:tc>
          <w:tcPr>
            <w:tcW w:w="1527" w:type="dxa"/>
            <w:vAlign w:val="center"/>
          </w:tcPr>
          <w:p w14:paraId="0AED2D89"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c>
          <w:tcPr>
            <w:tcW w:w="1473" w:type="dxa"/>
            <w:vAlign w:val="center"/>
          </w:tcPr>
          <w:p w14:paraId="47F89EA9"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prosięta (porodówka)</w:t>
            </w:r>
          </w:p>
        </w:tc>
        <w:tc>
          <w:tcPr>
            <w:tcW w:w="778" w:type="dxa"/>
            <w:vAlign w:val="center"/>
          </w:tcPr>
          <w:p w14:paraId="27EB9496"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420</w:t>
            </w:r>
          </w:p>
        </w:tc>
        <w:tc>
          <w:tcPr>
            <w:tcW w:w="763" w:type="dxa"/>
            <w:vAlign w:val="center"/>
          </w:tcPr>
          <w:p w14:paraId="13AFF425"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8,4</w:t>
            </w:r>
          </w:p>
        </w:tc>
        <w:tc>
          <w:tcPr>
            <w:tcW w:w="1527" w:type="dxa"/>
            <w:vAlign w:val="center"/>
          </w:tcPr>
          <w:p w14:paraId="6035E503"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r>
      <w:tr w:rsidR="004E61DD" w:rsidRPr="004E61DD" w14:paraId="6516ACEA" w14:textId="77777777" w:rsidTr="00955276">
        <w:tc>
          <w:tcPr>
            <w:tcW w:w="1148" w:type="dxa"/>
            <w:vAlign w:val="center"/>
          </w:tcPr>
          <w:p w14:paraId="1CB3CB54"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prosięta</w:t>
            </w:r>
          </w:p>
        </w:tc>
        <w:tc>
          <w:tcPr>
            <w:tcW w:w="778" w:type="dxa"/>
            <w:vAlign w:val="center"/>
          </w:tcPr>
          <w:p w14:paraId="388C07DE"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300</w:t>
            </w:r>
          </w:p>
        </w:tc>
        <w:tc>
          <w:tcPr>
            <w:tcW w:w="642" w:type="dxa"/>
            <w:vAlign w:val="center"/>
          </w:tcPr>
          <w:p w14:paraId="6F16ABE2"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6,0</w:t>
            </w:r>
          </w:p>
        </w:tc>
        <w:tc>
          <w:tcPr>
            <w:tcW w:w="1527" w:type="dxa"/>
            <w:vAlign w:val="center"/>
          </w:tcPr>
          <w:p w14:paraId="53CCEDF1"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c>
          <w:tcPr>
            <w:tcW w:w="1473" w:type="dxa"/>
            <w:vAlign w:val="center"/>
          </w:tcPr>
          <w:p w14:paraId="77D125AB"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warchlaki</w:t>
            </w:r>
          </w:p>
        </w:tc>
        <w:tc>
          <w:tcPr>
            <w:tcW w:w="778" w:type="dxa"/>
            <w:vAlign w:val="center"/>
          </w:tcPr>
          <w:p w14:paraId="2D9EF946"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302</w:t>
            </w:r>
          </w:p>
        </w:tc>
        <w:tc>
          <w:tcPr>
            <w:tcW w:w="763" w:type="dxa"/>
            <w:vAlign w:val="center"/>
          </w:tcPr>
          <w:p w14:paraId="46CDB87D"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21,14</w:t>
            </w:r>
          </w:p>
        </w:tc>
        <w:tc>
          <w:tcPr>
            <w:tcW w:w="1527" w:type="dxa"/>
            <w:vAlign w:val="center"/>
          </w:tcPr>
          <w:p w14:paraId="5D2B66E1"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r>
      <w:tr w:rsidR="004E61DD" w:rsidRPr="004E61DD" w14:paraId="5460B674" w14:textId="77777777" w:rsidTr="00955276">
        <w:tc>
          <w:tcPr>
            <w:tcW w:w="1148" w:type="dxa"/>
            <w:vAlign w:val="center"/>
          </w:tcPr>
          <w:p w14:paraId="31F46B6B"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warchlaki</w:t>
            </w:r>
          </w:p>
        </w:tc>
        <w:tc>
          <w:tcPr>
            <w:tcW w:w="778" w:type="dxa"/>
            <w:vAlign w:val="center"/>
          </w:tcPr>
          <w:p w14:paraId="08C9BC9E"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120</w:t>
            </w:r>
          </w:p>
        </w:tc>
        <w:tc>
          <w:tcPr>
            <w:tcW w:w="642" w:type="dxa"/>
            <w:vAlign w:val="center"/>
          </w:tcPr>
          <w:p w14:paraId="3E55BD95"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8,4</w:t>
            </w:r>
          </w:p>
        </w:tc>
        <w:tc>
          <w:tcPr>
            <w:tcW w:w="1527" w:type="dxa"/>
            <w:vAlign w:val="center"/>
          </w:tcPr>
          <w:p w14:paraId="7A56E234"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c>
          <w:tcPr>
            <w:tcW w:w="1473" w:type="dxa"/>
            <w:vAlign w:val="center"/>
          </w:tcPr>
          <w:p w14:paraId="7230E65D"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maciory (porodówka)</w:t>
            </w:r>
          </w:p>
        </w:tc>
        <w:tc>
          <w:tcPr>
            <w:tcW w:w="778" w:type="dxa"/>
            <w:vAlign w:val="center"/>
          </w:tcPr>
          <w:p w14:paraId="59027931"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28</w:t>
            </w:r>
          </w:p>
        </w:tc>
        <w:tc>
          <w:tcPr>
            <w:tcW w:w="763" w:type="dxa"/>
            <w:vAlign w:val="center"/>
          </w:tcPr>
          <w:p w14:paraId="4EF02CEF"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9,8</w:t>
            </w:r>
          </w:p>
        </w:tc>
        <w:tc>
          <w:tcPr>
            <w:tcW w:w="1527" w:type="dxa"/>
            <w:vAlign w:val="center"/>
          </w:tcPr>
          <w:p w14:paraId="6EF8A862"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r>
      <w:tr w:rsidR="004E61DD" w:rsidRPr="004E61DD" w14:paraId="7FBCE980" w14:textId="77777777" w:rsidTr="00955276">
        <w:tc>
          <w:tcPr>
            <w:tcW w:w="1148" w:type="dxa"/>
            <w:vAlign w:val="center"/>
          </w:tcPr>
          <w:p w14:paraId="1D446DEA"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778" w:type="dxa"/>
            <w:vAlign w:val="center"/>
          </w:tcPr>
          <w:p w14:paraId="65396174"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642" w:type="dxa"/>
            <w:vAlign w:val="center"/>
          </w:tcPr>
          <w:p w14:paraId="655C88DD"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1527" w:type="dxa"/>
            <w:vAlign w:val="center"/>
          </w:tcPr>
          <w:p w14:paraId="29FB6B71"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1473" w:type="dxa"/>
            <w:vAlign w:val="center"/>
          </w:tcPr>
          <w:p w14:paraId="2D5589C5"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maciory (krycie)</w:t>
            </w:r>
          </w:p>
        </w:tc>
        <w:tc>
          <w:tcPr>
            <w:tcW w:w="778" w:type="dxa"/>
            <w:vAlign w:val="center"/>
          </w:tcPr>
          <w:p w14:paraId="45931B7D"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88</w:t>
            </w:r>
          </w:p>
        </w:tc>
        <w:tc>
          <w:tcPr>
            <w:tcW w:w="763" w:type="dxa"/>
            <w:vAlign w:val="center"/>
          </w:tcPr>
          <w:p w14:paraId="37926AD8"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30,8</w:t>
            </w:r>
          </w:p>
        </w:tc>
        <w:tc>
          <w:tcPr>
            <w:tcW w:w="1527" w:type="dxa"/>
            <w:vAlign w:val="center"/>
          </w:tcPr>
          <w:p w14:paraId="0719B18C"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r>
      <w:tr w:rsidR="004E61DD" w:rsidRPr="004E61DD" w14:paraId="5F7A0485" w14:textId="77777777" w:rsidTr="00955276">
        <w:tc>
          <w:tcPr>
            <w:tcW w:w="1148" w:type="dxa"/>
            <w:vAlign w:val="center"/>
          </w:tcPr>
          <w:p w14:paraId="0D56C2B2"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778" w:type="dxa"/>
            <w:vAlign w:val="center"/>
          </w:tcPr>
          <w:p w14:paraId="5477EF6B"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642" w:type="dxa"/>
            <w:vAlign w:val="center"/>
          </w:tcPr>
          <w:p w14:paraId="1828C406"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1527" w:type="dxa"/>
            <w:vAlign w:val="center"/>
          </w:tcPr>
          <w:p w14:paraId="6EF4E016"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1473" w:type="dxa"/>
            <w:vAlign w:val="center"/>
          </w:tcPr>
          <w:p w14:paraId="434597E4"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loszki (tuczniki)</w:t>
            </w:r>
          </w:p>
        </w:tc>
        <w:tc>
          <w:tcPr>
            <w:tcW w:w="778" w:type="dxa"/>
            <w:vAlign w:val="center"/>
          </w:tcPr>
          <w:p w14:paraId="5FE0CEE2"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90</w:t>
            </w:r>
          </w:p>
        </w:tc>
        <w:tc>
          <w:tcPr>
            <w:tcW w:w="763" w:type="dxa"/>
            <w:vAlign w:val="center"/>
          </w:tcPr>
          <w:p w14:paraId="4E6D91C3"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12,6</w:t>
            </w:r>
          </w:p>
        </w:tc>
        <w:tc>
          <w:tcPr>
            <w:tcW w:w="1527" w:type="dxa"/>
            <w:vAlign w:val="center"/>
          </w:tcPr>
          <w:p w14:paraId="5C7DC1A0"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r>
      <w:tr w:rsidR="004E61DD" w:rsidRPr="004E61DD" w14:paraId="55B01D5D" w14:textId="77777777" w:rsidTr="00955276">
        <w:tc>
          <w:tcPr>
            <w:tcW w:w="1148" w:type="dxa"/>
            <w:vAlign w:val="center"/>
          </w:tcPr>
          <w:p w14:paraId="670C43A5"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778" w:type="dxa"/>
            <w:vAlign w:val="center"/>
          </w:tcPr>
          <w:p w14:paraId="5C8C0F45"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642" w:type="dxa"/>
            <w:vAlign w:val="center"/>
          </w:tcPr>
          <w:p w14:paraId="0432AD5A"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1527" w:type="dxa"/>
            <w:vAlign w:val="center"/>
          </w:tcPr>
          <w:p w14:paraId="2730FCA9"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w:t>
            </w:r>
          </w:p>
        </w:tc>
        <w:tc>
          <w:tcPr>
            <w:tcW w:w="1473" w:type="dxa"/>
            <w:vAlign w:val="center"/>
          </w:tcPr>
          <w:p w14:paraId="1D59A442"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knur</w:t>
            </w:r>
          </w:p>
        </w:tc>
        <w:tc>
          <w:tcPr>
            <w:tcW w:w="778" w:type="dxa"/>
            <w:vAlign w:val="center"/>
          </w:tcPr>
          <w:p w14:paraId="12FF28AF"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1</w:t>
            </w:r>
          </w:p>
        </w:tc>
        <w:tc>
          <w:tcPr>
            <w:tcW w:w="763" w:type="dxa"/>
            <w:vAlign w:val="center"/>
          </w:tcPr>
          <w:p w14:paraId="61C87799"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0,4</w:t>
            </w:r>
          </w:p>
        </w:tc>
        <w:tc>
          <w:tcPr>
            <w:tcW w:w="1527" w:type="dxa"/>
            <w:vAlign w:val="center"/>
          </w:tcPr>
          <w:p w14:paraId="62A100FF" w14:textId="77777777" w:rsidR="004E61DD" w:rsidRPr="004E61DD" w:rsidRDefault="004E61DD" w:rsidP="004E61DD">
            <w:pPr>
              <w:spacing w:after="120"/>
              <w:jc w:val="center"/>
              <w:rPr>
                <w:rFonts w:ascii="Calibri" w:eastAsia="Times New Roman" w:hAnsi="Calibri" w:cs="Calibri"/>
                <w:sz w:val="24"/>
                <w:szCs w:val="24"/>
              </w:rPr>
            </w:pPr>
            <w:r w:rsidRPr="004E61DD">
              <w:rPr>
                <w:rFonts w:ascii="Calibri" w:eastAsia="Times New Roman" w:hAnsi="Calibri" w:cs="Calibri"/>
                <w:sz w:val="24"/>
                <w:szCs w:val="24"/>
              </w:rPr>
              <w:t>bezściółkowo</w:t>
            </w:r>
          </w:p>
        </w:tc>
      </w:tr>
    </w:tbl>
    <w:p w14:paraId="606353BF" w14:textId="77777777" w:rsidR="004E61DD" w:rsidRPr="004E61DD" w:rsidRDefault="004E61DD" w:rsidP="004E61DD">
      <w:pPr>
        <w:spacing w:after="120" w:line="240" w:lineRule="auto"/>
        <w:jc w:val="both"/>
        <w:rPr>
          <w:rFonts w:ascii="Calibri" w:eastAsia="Calibri" w:hAnsi="Calibri" w:cs="Times New Roman"/>
          <w:sz w:val="28"/>
        </w:rPr>
      </w:pPr>
      <w:r w:rsidRPr="004E61DD">
        <w:rPr>
          <w:rFonts w:ascii="Calibri" w:eastAsia="Calibri" w:hAnsi="Calibri" w:cs="Times New Roman"/>
          <w:sz w:val="28"/>
        </w:rPr>
        <w:br w:type="page"/>
      </w:r>
    </w:p>
    <w:tbl>
      <w:tblPr>
        <w:tblStyle w:val="Tabela-Siatka"/>
        <w:tblW w:w="0" w:type="auto"/>
        <w:tblLook w:val="04A0" w:firstRow="1" w:lastRow="0" w:firstColumn="1" w:lastColumn="0" w:noHBand="0" w:noVBand="1"/>
      </w:tblPr>
      <w:tblGrid>
        <w:gridCol w:w="1113"/>
        <w:gridCol w:w="35"/>
        <w:gridCol w:w="758"/>
        <w:gridCol w:w="20"/>
        <w:gridCol w:w="642"/>
        <w:gridCol w:w="78"/>
        <w:gridCol w:w="1449"/>
        <w:gridCol w:w="27"/>
        <w:gridCol w:w="1425"/>
        <w:gridCol w:w="21"/>
        <w:gridCol w:w="733"/>
        <w:gridCol w:w="45"/>
        <w:gridCol w:w="763"/>
        <w:gridCol w:w="51"/>
        <w:gridCol w:w="1476"/>
      </w:tblGrid>
      <w:tr w:rsidR="004E61DD" w:rsidRPr="004E61DD" w14:paraId="1C038BC5" w14:textId="77777777" w:rsidTr="00955276">
        <w:trPr>
          <w:tblHeader/>
        </w:trPr>
        <w:tc>
          <w:tcPr>
            <w:tcW w:w="4095" w:type="dxa"/>
            <w:gridSpan w:val="7"/>
            <w:vAlign w:val="center"/>
          </w:tcPr>
          <w:p w14:paraId="5D90B3DB"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lastRenderedPageBreak/>
              <w:t>Obsada zwierząt przed realizacją przedsięwzięcia</w:t>
            </w:r>
          </w:p>
        </w:tc>
        <w:tc>
          <w:tcPr>
            <w:tcW w:w="4541" w:type="dxa"/>
            <w:gridSpan w:val="8"/>
            <w:vAlign w:val="center"/>
          </w:tcPr>
          <w:p w14:paraId="1350C0DD"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t>Obsada zwierząt po zrealizowaniu przedsięwzięcia</w:t>
            </w:r>
          </w:p>
        </w:tc>
      </w:tr>
      <w:tr w:rsidR="004E61DD" w:rsidRPr="004E61DD" w14:paraId="4CFD1A19" w14:textId="77777777" w:rsidTr="00955276">
        <w:trPr>
          <w:tblHeader/>
        </w:trPr>
        <w:tc>
          <w:tcPr>
            <w:tcW w:w="1148" w:type="dxa"/>
            <w:gridSpan w:val="2"/>
            <w:vAlign w:val="center"/>
          </w:tcPr>
          <w:p w14:paraId="4F15C1DB"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t>Rodzaj zwierząt</w:t>
            </w:r>
          </w:p>
        </w:tc>
        <w:tc>
          <w:tcPr>
            <w:tcW w:w="778" w:type="dxa"/>
            <w:gridSpan w:val="2"/>
            <w:vAlign w:val="center"/>
          </w:tcPr>
          <w:p w14:paraId="10BADEBB"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t>sztuki</w:t>
            </w:r>
          </w:p>
        </w:tc>
        <w:tc>
          <w:tcPr>
            <w:tcW w:w="642" w:type="dxa"/>
            <w:vAlign w:val="center"/>
          </w:tcPr>
          <w:p w14:paraId="6BFF5C2F"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t>DJP</w:t>
            </w:r>
          </w:p>
        </w:tc>
        <w:tc>
          <w:tcPr>
            <w:tcW w:w="1527" w:type="dxa"/>
            <w:gridSpan w:val="2"/>
            <w:vAlign w:val="center"/>
          </w:tcPr>
          <w:p w14:paraId="3E807661"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t>System chowu</w:t>
            </w:r>
          </w:p>
        </w:tc>
        <w:tc>
          <w:tcPr>
            <w:tcW w:w="1473" w:type="dxa"/>
            <w:gridSpan w:val="3"/>
            <w:vAlign w:val="center"/>
          </w:tcPr>
          <w:p w14:paraId="614A3217"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t>Rodzaj zwierząt</w:t>
            </w:r>
          </w:p>
        </w:tc>
        <w:tc>
          <w:tcPr>
            <w:tcW w:w="778" w:type="dxa"/>
            <w:gridSpan w:val="2"/>
            <w:vAlign w:val="center"/>
          </w:tcPr>
          <w:p w14:paraId="767087CD"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t>sztuki</w:t>
            </w:r>
          </w:p>
        </w:tc>
        <w:tc>
          <w:tcPr>
            <w:tcW w:w="763" w:type="dxa"/>
            <w:vAlign w:val="center"/>
          </w:tcPr>
          <w:p w14:paraId="5616AF71"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t>DJP</w:t>
            </w:r>
          </w:p>
        </w:tc>
        <w:tc>
          <w:tcPr>
            <w:tcW w:w="1527" w:type="dxa"/>
            <w:gridSpan w:val="2"/>
            <w:vAlign w:val="center"/>
          </w:tcPr>
          <w:p w14:paraId="3F557883" w14:textId="77777777" w:rsidR="004E61DD" w:rsidRPr="004E61DD" w:rsidRDefault="004E61DD" w:rsidP="004E61DD">
            <w:pPr>
              <w:spacing w:after="120"/>
              <w:jc w:val="center"/>
              <w:rPr>
                <w:rFonts w:ascii="Calibri" w:eastAsia="Times New Roman" w:hAnsi="Calibri" w:cs="Calibri"/>
                <w:color w:val="2F5496"/>
                <w:sz w:val="24"/>
                <w:szCs w:val="24"/>
              </w:rPr>
            </w:pPr>
            <w:r w:rsidRPr="004E61DD">
              <w:rPr>
                <w:rFonts w:ascii="Calibri" w:eastAsia="Times New Roman" w:hAnsi="Calibri" w:cs="Calibri"/>
                <w:color w:val="2F5496"/>
                <w:sz w:val="24"/>
                <w:szCs w:val="24"/>
              </w:rPr>
              <w:t>System chowu</w:t>
            </w:r>
          </w:p>
        </w:tc>
      </w:tr>
      <w:tr w:rsidR="004E61DD" w:rsidRPr="004E61DD" w14:paraId="1B6DD483" w14:textId="77777777" w:rsidTr="00955276">
        <w:tc>
          <w:tcPr>
            <w:tcW w:w="8636" w:type="dxa"/>
            <w:gridSpan w:val="15"/>
            <w:vAlign w:val="center"/>
          </w:tcPr>
          <w:p w14:paraId="24DF0920"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Chlewnia V</w:t>
            </w:r>
          </w:p>
        </w:tc>
      </w:tr>
      <w:tr w:rsidR="004E61DD" w:rsidRPr="004E61DD" w14:paraId="36CF515C" w14:textId="77777777" w:rsidTr="00955276">
        <w:tc>
          <w:tcPr>
            <w:tcW w:w="1113" w:type="dxa"/>
            <w:vAlign w:val="center"/>
          </w:tcPr>
          <w:p w14:paraId="5F7E6ECB"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warchlaki</w:t>
            </w:r>
          </w:p>
        </w:tc>
        <w:tc>
          <w:tcPr>
            <w:tcW w:w="793" w:type="dxa"/>
            <w:gridSpan w:val="2"/>
            <w:vAlign w:val="center"/>
          </w:tcPr>
          <w:p w14:paraId="106D4D59"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600</w:t>
            </w:r>
          </w:p>
        </w:tc>
        <w:tc>
          <w:tcPr>
            <w:tcW w:w="740" w:type="dxa"/>
            <w:gridSpan w:val="3"/>
            <w:vAlign w:val="center"/>
          </w:tcPr>
          <w:p w14:paraId="4C3CFC83"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42,0</w:t>
            </w:r>
          </w:p>
        </w:tc>
        <w:tc>
          <w:tcPr>
            <w:tcW w:w="1476" w:type="dxa"/>
            <w:gridSpan w:val="2"/>
            <w:vAlign w:val="center"/>
          </w:tcPr>
          <w:p w14:paraId="5AB01BBC"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bezściółkowo</w:t>
            </w:r>
          </w:p>
        </w:tc>
        <w:tc>
          <w:tcPr>
            <w:tcW w:w="1425" w:type="dxa"/>
            <w:vAlign w:val="center"/>
          </w:tcPr>
          <w:p w14:paraId="3124D596"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prosięta (porodówka)</w:t>
            </w:r>
          </w:p>
        </w:tc>
        <w:tc>
          <w:tcPr>
            <w:tcW w:w="754" w:type="dxa"/>
            <w:gridSpan w:val="2"/>
            <w:vAlign w:val="center"/>
          </w:tcPr>
          <w:p w14:paraId="6D22B09C"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840</w:t>
            </w:r>
          </w:p>
        </w:tc>
        <w:tc>
          <w:tcPr>
            <w:tcW w:w="859" w:type="dxa"/>
            <w:gridSpan w:val="3"/>
            <w:vAlign w:val="center"/>
          </w:tcPr>
          <w:p w14:paraId="66DE37B2"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16,8</w:t>
            </w:r>
          </w:p>
        </w:tc>
        <w:tc>
          <w:tcPr>
            <w:tcW w:w="1476" w:type="dxa"/>
            <w:vAlign w:val="center"/>
          </w:tcPr>
          <w:p w14:paraId="760B9E93"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bezściółkowo</w:t>
            </w:r>
          </w:p>
        </w:tc>
      </w:tr>
      <w:tr w:rsidR="004E61DD" w:rsidRPr="004E61DD" w14:paraId="696D8DB9" w14:textId="77777777" w:rsidTr="00955276">
        <w:tc>
          <w:tcPr>
            <w:tcW w:w="1113" w:type="dxa"/>
            <w:vAlign w:val="center"/>
          </w:tcPr>
          <w:p w14:paraId="4A70F5E3"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tuczniki</w:t>
            </w:r>
          </w:p>
        </w:tc>
        <w:tc>
          <w:tcPr>
            <w:tcW w:w="793" w:type="dxa"/>
            <w:gridSpan w:val="2"/>
            <w:vAlign w:val="center"/>
          </w:tcPr>
          <w:p w14:paraId="6A95D988"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300</w:t>
            </w:r>
          </w:p>
        </w:tc>
        <w:tc>
          <w:tcPr>
            <w:tcW w:w="740" w:type="dxa"/>
            <w:gridSpan w:val="3"/>
            <w:vAlign w:val="center"/>
          </w:tcPr>
          <w:p w14:paraId="11C72EF8"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42,0</w:t>
            </w:r>
          </w:p>
        </w:tc>
        <w:tc>
          <w:tcPr>
            <w:tcW w:w="1476" w:type="dxa"/>
            <w:gridSpan w:val="2"/>
            <w:vAlign w:val="center"/>
          </w:tcPr>
          <w:p w14:paraId="21619D8A"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bezściółkowo</w:t>
            </w:r>
          </w:p>
        </w:tc>
        <w:tc>
          <w:tcPr>
            <w:tcW w:w="1425" w:type="dxa"/>
            <w:vAlign w:val="center"/>
          </w:tcPr>
          <w:p w14:paraId="38E56883"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maciory (porodówka)</w:t>
            </w:r>
          </w:p>
        </w:tc>
        <w:tc>
          <w:tcPr>
            <w:tcW w:w="754" w:type="dxa"/>
            <w:gridSpan w:val="2"/>
            <w:vAlign w:val="center"/>
          </w:tcPr>
          <w:p w14:paraId="53E737F7"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56</w:t>
            </w:r>
          </w:p>
        </w:tc>
        <w:tc>
          <w:tcPr>
            <w:tcW w:w="859" w:type="dxa"/>
            <w:gridSpan w:val="3"/>
            <w:vAlign w:val="center"/>
          </w:tcPr>
          <w:p w14:paraId="685AD86B"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19,6</w:t>
            </w:r>
          </w:p>
        </w:tc>
        <w:tc>
          <w:tcPr>
            <w:tcW w:w="1476" w:type="dxa"/>
            <w:vAlign w:val="center"/>
          </w:tcPr>
          <w:p w14:paraId="002D6AF9"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bezściółkowo</w:t>
            </w:r>
          </w:p>
        </w:tc>
      </w:tr>
      <w:tr w:rsidR="004E61DD" w:rsidRPr="004E61DD" w14:paraId="7AD84C38" w14:textId="77777777" w:rsidTr="00955276">
        <w:tc>
          <w:tcPr>
            <w:tcW w:w="1113" w:type="dxa"/>
            <w:vAlign w:val="center"/>
          </w:tcPr>
          <w:p w14:paraId="2AE2E60D"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w:t>
            </w:r>
          </w:p>
        </w:tc>
        <w:tc>
          <w:tcPr>
            <w:tcW w:w="793" w:type="dxa"/>
            <w:gridSpan w:val="2"/>
            <w:vAlign w:val="center"/>
          </w:tcPr>
          <w:p w14:paraId="5DA03B8A"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w:t>
            </w:r>
          </w:p>
        </w:tc>
        <w:tc>
          <w:tcPr>
            <w:tcW w:w="740" w:type="dxa"/>
            <w:gridSpan w:val="3"/>
            <w:vAlign w:val="center"/>
          </w:tcPr>
          <w:p w14:paraId="67190D86"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w:t>
            </w:r>
          </w:p>
        </w:tc>
        <w:tc>
          <w:tcPr>
            <w:tcW w:w="1476" w:type="dxa"/>
            <w:gridSpan w:val="2"/>
            <w:vAlign w:val="center"/>
          </w:tcPr>
          <w:p w14:paraId="4728B934"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w:t>
            </w:r>
          </w:p>
        </w:tc>
        <w:tc>
          <w:tcPr>
            <w:tcW w:w="1425" w:type="dxa"/>
            <w:vAlign w:val="center"/>
          </w:tcPr>
          <w:p w14:paraId="0055CC79"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warchlaki</w:t>
            </w:r>
          </w:p>
        </w:tc>
        <w:tc>
          <w:tcPr>
            <w:tcW w:w="754" w:type="dxa"/>
            <w:gridSpan w:val="2"/>
            <w:vAlign w:val="center"/>
          </w:tcPr>
          <w:p w14:paraId="7691E37E"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882</w:t>
            </w:r>
          </w:p>
        </w:tc>
        <w:tc>
          <w:tcPr>
            <w:tcW w:w="859" w:type="dxa"/>
            <w:gridSpan w:val="3"/>
            <w:vAlign w:val="center"/>
          </w:tcPr>
          <w:p w14:paraId="55D1590D"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61,74</w:t>
            </w:r>
          </w:p>
        </w:tc>
        <w:tc>
          <w:tcPr>
            <w:tcW w:w="1476" w:type="dxa"/>
            <w:vAlign w:val="center"/>
          </w:tcPr>
          <w:p w14:paraId="5B522EBF"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bezściółkowo</w:t>
            </w:r>
          </w:p>
        </w:tc>
      </w:tr>
      <w:tr w:rsidR="004E61DD" w:rsidRPr="004E61DD" w14:paraId="630B9CE7" w14:textId="77777777" w:rsidTr="00955276">
        <w:tc>
          <w:tcPr>
            <w:tcW w:w="1113" w:type="dxa"/>
            <w:vAlign w:val="center"/>
          </w:tcPr>
          <w:p w14:paraId="56F103B1"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w:t>
            </w:r>
          </w:p>
        </w:tc>
        <w:tc>
          <w:tcPr>
            <w:tcW w:w="793" w:type="dxa"/>
            <w:gridSpan w:val="2"/>
            <w:vAlign w:val="center"/>
          </w:tcPr>
          <w:p w14:paraId="7727872C"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w:t>
            </w:r>
          </w:p>
        </w:tc>
        <w:tc>
          <w:tcPr>
            <w:tcW w:w="740" w:type="dxa"/>
            <w:gridSpan w:val="3"/>
            <w:vAlign w:val="center"/>
          </w:tcPr>
          <w:p w14:paraId="42799613"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w:t>
            </w:r>
          </w:p>
        </w:tc>
        <w:tc>
          <w:tcPr>
            <w:tcW w:w="1476" w:type="dxa"/>
            <w:gridSpan w:val="2"/>
            <w:vAlign w:val="center"/>
          </w:tcPr>
          <w:p w14:paraId="4D7F30BE"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w:t>
            </w:r>
          </w:p>
        </w:tc>
        <w:tc>
          <w:tcPr>
            <w:tcW w:w="1425" w:type="dxa"/>
            <w:vAlign w:val="center"/>
          </w:tcPr>
          <w:p w14:paraId="237DBAB3"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tuczniki</w:t>
            </w:r>
          </w:p>
        </w:tc>
        <w:tc>
          <w:tcPr>
            <w:tcW w:w="754" w:type="dxa"/>
            <w:gridSpan w:val="2"/>
            <w:vAlign w:val="center"/>
          </w:tcPr>
          <w:p w14:paraId="2970180E"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400</w:t>
            </w:r>
          </w:p>
        </w:tc>
        <w:tc>
          <w:tcPr>
            <w:tcW w:w="859" w:type="dxa"/>
            <w:gridSpan w:val="3"/>
            <w:vAlign w:val="center"/>
          </w:tcPr>
          <w:p w14:paraId="4C579F50"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56</w:t>
            </w:r>
          </w:p>
        </w:tc>
        <w:tc>
          <w:tcPr>
            <w:tcW w:w="1476" w:type="dxa"/>
            <w:vAlign w:val="center"/>
          </w:tcPr>
          <w:p w14:paraId="58878BD0"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bezściółkowo</w:t>
            </w:r>
          </w:p>
        </w:tc>
      </w:tr>
      <w:tr w:rsidR="004E61DD" w:rsidRPr="004E61DD" w14:paraId="4269CEFE" w14:textId="77777777" w:rsidTr="00955276">
        <w:tc>
          <w:tcPr>
            <w:tcW w:w="8636" w:type="dxa"/>
            <w:gridSpan w:val="15"/>
            <w:vAlign w:val="center"/>
          </w:tcPr>
          <w:p w14:paraId="4F8F2ACD"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Chlewnia VI</w:t>
            </w:r>
          </w:p>
        </w:tc>
      </w:tr>
      <w:tr w:rsidR="004E61DD" w:rsidRPr="004E61DD" w14:paraId="582AF717" w14:textId="77777777" w:rsidTr="00955276">
        <w:tc>
          <w:tcPr>
            <w:tcW w:w="1113" w:type="dxa"/>
            <w:vAlign w:val="center"/>
          </w:tcPr>
          <w:p w14:paraId="7036BBEA"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w:t>
            </w:r>
          </w:p>
        </w:tc>
        <w:tc>
          <w:tcPr>
            <w:tcW w:w="793" w:type="dxa"/>
            <w:gridSpan w:val="2"/>
            <w:vAlign w:val="center"/>
          </w:tcPr>
          <w:p w14:paraId="7ED3F172"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w:t>
            </w:r>
          </w:p>
        </w:tc>
        <w:tc>
          <w:tcPr>
            <w:tcW w:w="740" w:type="dxa"/>
            <w:gridSpan w:val="3"/>
            <w:vAlign w:val="center"/>
          </w:tcPr>
          <w:p w14:paraId="23E2A2EB"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w:t>
            </w:r>
          </w:p>
        </w:tc>
        <w:tc>
          <w:tcPr>
            <w:tcW w:w="1476" w:type="dxa"/>
            <w:gridSpan w:val="2"/>
            <w:vAlign w:val="center"/>
          </w:tcPr>
          <w:p w14:paraId="4890D8A1"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w:t>
            </w:r>
          </w:p>
        </w:tc>
        <w:tc>
          <w:tcPr>
            <w:tcW w:w="1425" w:type="dxa"/>
            <w:vAlign w:val="center"/>
          </w:tcPr>
          <w:p w14:paraId="77D3685C"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tuczniki</w:t>
            </w:r>
          </w:p>
        </w:tc>
        <w:tc>
          <w:tcPr>
            <w:tcW w:w="754" w:type="dxa"/>
            <w:gridSpan w:val="2"/>
            <w:vAlign w:val="center"/>
          </w:tcPr>
          <w:p w14:paraId="04578364"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2800</w:t>
            </w:r>
          </w:p>
        </w:tc>
        <w:tc>
          <w:tcPr>
            <w:tcW w:w="859" w:type="dxa"/>
            <w:gridSpan w:val="3"/>
            <w:vAlign w:val="center"/>
          </w:tcPr>
          <w:p w14:paraId="2C585172"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392</w:t>
            </w:r>
          </w:p>
        </w:tc>
        <w:tc>
          <w:tcPr>
            <w:tcW w:w="1476" w:type="dxa"/>
            <w:vAlign w:val="center"/>
          </w:tcPr>
          <w:p w14:paraId="53394C25"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bezściółkowo</w:t>
            </w:r>
          </w:p>
        </w:tc>
      </w:tr>
      <w:tr w:rsidR="004E61DD" w:rsidRPr="004E61DD" w14:paraId="268E6283" w14:textId="77777777" w:rsidTr="00955276">
        <w:tc>
          <w:tcPr>
            <w:tcW w:w="1906" w:type="dxa"/>
            <w:gridSpan w:val="3"/>
            <w:vAlign w:val="center"/>
          </w:tcPr>
          <w:p w14:paraId="03560A6C"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Razem</w:t>
            </w:r>
          </w:p>
        </w:tc>
        <w:tc>
          <w:tcPr>
            <w:tcW w:w="740" w:type="dxa"/>
            <w:gridSpan w:val="3"/>
            <w:vAlign w:val="center"/>
          </w:tcPr>
          <w:p w14:paraId="16DA7547"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246,9</w:t>
            </w:r>
          </w:p>
        </w:tc>
        <w:tc>
          <w:tcPr>
            <w:tcW w:w="1476" w:type="dxa"/>
            <w:gridSpan w:val="2"/>
            <w:vAlign w:val="center"/>
          </w:tcPr>
          <w:p w14:paraId="55D1E66E"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w:t>
            </w:r>
          </w:p>
        </w:tc>
        <w:tc>
          <w:tcPr>
            <w:tcW w:w="2179" w:type="dxa"/>
            <w:gridSpan w:val="3"/>
            <w:vAlign w:val="center"/>
          </w:tcPr>
          <w:p w14:paraId="7081E84B"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Razem</w:t>
            </w:r>
          </w:p>
        </w:tc>
        <w:tc>
          <w:tcPr>
            <w:tcW w:w="859" w:type="dxa"/>
            <w:gridSpan w:val="3"/>
            <w:vAlign w:val="center"/>
          </w:tcPr>
          <w:p w14:paraId="42B97963"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773,58</w:t>
            </w:r>
          </w:p>
        </w:tc>
        <w:tc>
          <w:tcPr>
            <w:tcW w:w="1476" w:type="dxa"/>
            <w:vAlign w:val="center"/>
          </w:tcPr>
          <w:p w14:paraId="6072936B" w14:textId="77777777" w:rsidR="004E61DD" w:rsidRPr="004E61DD" w:rsidRDefault="004E61DD" w:rsidP="004E61DD">
            <w:pPr>
              <w:spacing w:after="120"/>
              <w:jc w:val="center"/>
              <w:rPr>
                <w:rFonts w:ascii="Calibri" w:eastAsia="Times New Roman" w:hAnsi="Calibri" w:cs="Calibri"/>
                <w:sz w:val="23"/>
                <w:szCs w:val="23"/>
              </w:rPr>
            </w:pPr>
            <w:r w:rsidRPr="004E61DD">
              <w:rPr>
                <w:rFonts w:ascii="Calibri" w:eastAsia="Times New Roman" w:hAnsi="Calibri" w:cs="Calibri"/>
                <w:sz w:val="23"/>
                <w:szCs w:val="23"/>
              </w:rPr>
              <w:t>-</w:t>
            </w:r>
          </w:p>
        </w:tc>
      </w:tr>
    </w:tbl>
    <w:p w14:paraId="3F6611FC" w14:textId="77777777" w:rsidR="004E61DD" w:rsidRPr="004E61DD" w:rsidRDefault="004E61DD" w:rsidP="00C114F0">
      <w:pPr>
        <w:autoSpaceDE w:val="0"/>
        <w:autoSpaceDN w:val="0"/>
        <w:adjustRightInd w:val="0"/>
        <w:spacing w:before="120"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Z raportu wynika, że w projektowanej chlewni VI, pod całą powierzchnią kojców, planuje się wykonanie kanałów gnojowicowych, które będą przykryte betonowymi rusztami (kanały podrusztowe). W związku z realizacją przedsięwzięcia zwierzęta utrzymywane będą: w budynku chlewni II na powierzchni </w:t>
      </w:r>
      <w:bookmarkStart w:id="9" w:name="_Hlk103838182"/>
      <w:r w:rsidRPr="004E61DD">
        <w:rPr>
          <w:rFonts w:ascii="Calibri" w:eastAsia="Times New Roman" w:hAnsi="Calibri" w:cs="Calibri"/>
          <w:sz w:val="28"/>
          <w:szCs w:val="28"/>
          <w:lang w:eastAsia="pl-PL"/>
        </w:rPr>
        <w:t>hodowlanej</w:t>
      </w:r>
      <w:bookmarkEnd w:id="9"/>
      <w:r w:rsidRPr="004E61DD">
        <w:rPr>
          <w:rFonts w:ascii="Calibri" w:eastAsia="Times New Roman" w:hAnsi="Calibri" w:cs="Calibri"/>
          <w:sz w:val="28"/>
          <w:szCs w:val="28"/>
          <w:lang w:eastAsia="pl-PL"/>
        </w:rPr>
        <w:t xml:space="preserve"> nie większej niż 526 m</w:t>
      </w:r>
      <w:r w:rsidRPr="004E61DD">
        <w:rPr>
          <w:rFonts w:ascii="Calibri" w:eastAsia="Times New Roman" w:hAnsi="Calibri" w:cs="Calibri"/>
          <w:sz w:val="28"/>
          <w:szCs w:val="28"/>
          <w:vertAlign w:val="superscript"/>
          <w:lang w:eastAsia="pl-PL"/>
        </w:rPr>
        <w:t>2</w:t>
      </w:r>
      <w:r w:rsidRPr="004E61DD">
        <w:rPr>
          <w:rFonts w:ascii="Calibri" w:eastAsia="Times New Roman" w:hAnsi="Calibri" w:cs="Calibri"/>
          <w:sz w:val="28"/>
          <w:szCs w:val="28"/>
          <w:lang w:eastAsia="pl-PL"/>
        </w:rPr>
        <w:t>, w chlewni III na powierzchni hodowlanej nie większej niż 308,8 m</w:t>
      </w:r>
      <w:r w:rsidRPr="004E61DD">
        <w:rPr>
          <w:rFonts w:ascii="Calibri" w:eastAsia="Times New Roman" w:hAnsi="Calibri" w:cs="Calibri"/>
          <w:sz w:val="28"/>
          <w:szCs w:val="28"/>
          <w:vertAlign w:val="superscript"/>
          <w:lang w:eastAsia="pl-PL"/>
        </w:rPr>
        <w:t>2</w:t>
      </w:r>
      <w:r w:rsidRPr="004E61DD">
        <w:rPr>
          <w:rFonts w:ascii="Calibri" w:eastAsia="Times New Roman" w:hAnsi="Calibri" w:cs="Calibri"/>
          <w:sz w:val="28"/>
          <w:szCs w:val="28"/>
          <w:lang w:eastAsia="pl-PL"/>
        </w:rPr>
        <w:t>, w chlewni IV na powierzchni hodowlanej nie większej niż 515,22 m</w:t>
      </w:r>
      <w:r w:rsidRPr="004E61DD">
        <w:rPr>
          <w:rFonts w:ascii="Calibri" w:eastAsia="Times New Roman" w:hAnsi="Calibri" w:cs="Calibri"/>
          <w:sz w:val="28"/>
          <w:szCs w:val="28"/>
          <w:vertAlign w:val="superscript"/>
          <w:lang w:eastAsia="pl-PL"/>
        </w:rPr>
        <w:t>2</w:t>
      </w:r>
      <w:r w:rsidRPr="004E61DD">
        <w:rPr>
          <w:rFonts w:ascii="Calibri" w:eastAsia="Times New Roman" w:hAnsi="Calibri" w:cs="Calibri"/>
          <w:sz w:val="28"/>
          <w:szCs w:val="28"/>
          <w:lang w:eastAsia="pl-PL"/>
        </w:rPr>
        <w:t>, w chlewni V na powierzchni hodowlanej nie większej niż 787,2 m</w:t>
      </w:r>
      <w:r w:rsidRPr="004E61DD">
        <w:rPr>
          <w:rFonts w:ascii="Calibri" w:eastAsia="Times New Roman" w:hAnsi="Calibri" w:cs="Calibri"/>
          <w:sz w:val="28"/>
          <w:szCs w:val="28"/>
          <w:vertAlign w:val="superscript"/>
          <w:lang w:eastAsia="pl-PL"/>
        </w:rPr>
        <w:t>2</w:t>
      </w:r>
      <w:r w:rsidRPr="004E61DD">
        <w:rPr>
          <w:rFonts w:ascii="Calibri" w:eastAsia="Times New Roman" w:hAnsi="Calibri" w:cs="Calibri"/>
          <w:sz w:val="28"/>
          <w:szCs w:val="28"/>
          <w:lang w:eastAsia="pl-PL"/>
        </w:rPr>
        <w:t>, natomiast w chlewni VI na powierzchni hodowlanej nie większej niż 2 112,2 m</w:t>
      </w:r>
      <w:r w:rsidRPr="004E61DD">
        <w:rPr>
          <w:rFonts w:ascii="Calibri" w:eastAsia="Times New Roman" w:hAnsi="Calibri" w:cs="Calibri"/>
          <w:sz w:val="28"/>
          <w:szCs w:val="28"/>
          <w:vertAlign w:val="superscript"/>
          <w:lang w:eastAsia="pl-PL"/>
        </w:rPr>
        <w:t>2</w:t>
      </w:r>
      <w:r w:rsidRPr="004E61DD">
        <w:rPr>
          <w:rFonts w:ascii="Calibri" w:eastAsia="Times New Roman" w:hAnsi="Calibri" w:cs="Calibri"/>
          <w:sz w:val="28"/>
          <w:szCs w:val="28"/>
          <w:lang w:eastAsia="pl-PL"/>
        </w:rPr>
        <w:t xml:space="preserve">. Po przeliczeniu powierzchni hodowlanych i porównaniu ich do minimalnych wymaganych, należy stwierdzić, że powierzchnia hodowlana, na której utrzymywane będą zwierzęta spełniać będzie wymagania określone w rozporządzeniu Ministra Rolnictwa i Rozwoju Wsi z dnia 15 lutego 2010 r. w sprawie wymagań i sposobu postępowania przy utrzymywaniu gatunków zwierząt gospodarskich, dla których normy ochrony zostały określone w przepisach Unii Europejskiej (Dz. U. Nr 56 poz. 344, z późn. zm.). </w:t>
      </w:r>
    </w:p>
    <w:p w14:paraId="49CCB495"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4D388F45" w14:textId="77777777" w:rsidR="004E61DD" w:rsidRPr="004E61DD" w:rsidRDefault="004E61DD" w:rsidP="00C114F0">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Założenia przyjęte do analizy oddziaływania przedsięwzięcia na środowisko zaproponowane przez Wnioskodawcę, to jest łączna powierzchnia hodowlana przeznaczona dla zwierząt oraz obsada projektowanego obiektu, znalazły odzwierciedlenie w warunkach decyzji, zgodnie z postanowieniami Regionalnego Dyrektora Ochrony Środowiska w Poznaniu oraz Dyrektora Regionalnego Zarządu Gospodarki Wodnej Państwowego Gospodarstwa Wodnego Wody Polskie w Poznaniu i stanowią maksymalną możliwą obsadę przedsięwzięcia.</w:t>
      </w:r>
    </w:p>
    <w:p w14:paraId="0DDD2D6D" w14:textId="77777777" w:rsidR="004E61DD" w:rsidRPr="004E61DD" w:rsidRDefault="004E61DD" w:rsidP="00C114F0">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Mając na uwadze lokalizację planowanego przedsięwzięcia na terenie istniejącego gospodarstwa rolnego, Wnioskodawca w raporcie i jego uzupełnieniu przedstawił informacje na temat oddziaływania obiektów inwentarskich w zakresie, w jakim ich oddziaływania mogą prowadzić do skumulowanych oddziaływań z planowanym przedsięwzięciem. Z przedstawionych analiz skumulowanego oddziaływania przedsięwzięcia, w zakresie związanym z emisją substancji do powietrza i hałasu do środowiska wynika, że na etapie eksploatacji przedmiotowego przedsięwzięcia nie wystąpią przekroczenia standardów jakości środowiska. </w:t>
      </w:r>
    </w:p>
    <w:p w14:paraId="79245C87" w14:textId="77777777" w:rsidR="004E61DD" w:rsidRPr="004E61DD" w:rsidRDefault="004E61DD" w:rsidP="00C114F0">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W związku z funkcjonowaniem planowanego przedsięwzięcia powstawać będzie gnojowica oraz obornik. </w:t>
      </w:r>
      <w:bookmarkStart w:id="10" w:name="_Hlk104877977"/>
      <w:r w:rsidRPr="004E61DD">
        <w:rPr>
          <w:rFonts w:ascii="Calibri" w:eastAsia="Times New Roman" w:hAnsi="Calibri" w:cs="Calibri"/>
          <w:sz w:val="28"/>
          <w:szCs w:val="28"/>
          <w:lang w:eastAsia="pl-PL"/>
        </w:rPr>
        <w:t>Obornik z budynku chlewni II magazynowany będzie na dwóch istniejących płytach obornikowych o łącznej powierzchni 450 m</w:t>
      </w:r>
      <w:r w:rsidRPr="004E61DD">
        <w:rPr>
          <w:rFonts w:ascii="Calibri" w:eastAsia="Times New Roman" w:hAnsi="Calibri" w:cs="Calibri"/>
          <w:sz w:val="28"/>
          <w:szCs w:val="28"/>
          <w:vertAlign w:val="superscript"/>
          <w:lang w:eastAsia="pl-PL"/>
        </w:rPr>
        <w:t>2</w:t>
      </w:r>
      <w:r w:rsidRPr="004E61DD">
        <w:rPr>
          <w:rFonts w:ascii="Calibri" w:eastAsia="Times New Roman" w:hAnsi="Calibri" w:cs="Calibri"/>
          <w:sz w:val="28"/>
          <w:szCs w:val="28"/>
          <w:lang w:eastAsia="pl-PL"/>
        </w:rPr>
        <w:t>, natomiast gnojowica magazynowana będzie w szczelnych kanałach pod budynkami inwentarskimi o łącznej pojemności około 911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 w istniejących zbiornikach zewnętrznych o łącznej pojemności 1 242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 xml:space="preserve"> oraz w projektowanym zewnętrznym zbiorniku na gnojowicę o pojemności 2 611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 Pod planowaną chlewnią VI Wnioskodawca przewiduje wykonanie kanałów podrusztowych do przechowywania gnojowicy o łącznej pojemności 2 083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w:t>
      </w:r>
      <w:bookmarkEnd w:id="10"/>
      <w:r w:rsidRPr="004E61DD">
        <w:rPr>
          <w:rFonts w:ascii="Calibri" w:eastAsia="Times New Roman" w:hAnsi="Calibri" w:cs="Calibri"/>
          <w:sz w:val="28"/>
          <w:szCs w:val="28"/>
          <w:lang w:eastAsia="pl-PL"/>
        </w:rPr>
        <w:t xml:space="preserve"> Obornik z projektowanego kurnika (decyzja Burmistrza Śremu z 04.06.2019 r. o środowiskowych uwarunkowaniach) nie będzie magazynowany na terenie gospodarstwa rolnego, lecz będzie bezpośrednio ładowany na środki transportu i wywożony poza teren gospodarstwa. Z raportu wynika, że planowany oraz istniejące zbiorniki na gnojowicę, będą umożliwiały przechowywanie gnojowicy przez okres sześciu miesięcy, a powierzchnia płyt obornikowych umożliwi przechowywanie obornika przez okres minimum pięciu miesięcy. Założenia dotyczące pojemności i szczelności planowanego zbiornika na gnojowicę ujęto w warunkach decyzji, zgodnie z postanowieniem Regionalnego Dyrektora Ochrony Środowiska w Poznaniu. </w:t>
      </w:r>
    </w:p>
    <w:p w14:paraId="02FE8E26"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7A9FF8E1" w14:textId="77777777" w:rsidR="004E61DD" w:rsidRPr="004E61DD" w:rsidRDefault="004E61DD" w:rsidP="00C114F0">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 xml:space="preserve">W uzupełnieniu raportu Wnioskodawca wskazał, że </w:t>
      </w:r>
      <w:bookmarkStart w:id="11" w:name="_Hlk104879146"/>
      <w:r w:rsidRPr="004E61DD">
        <w:rPr>
          <w:rFonts w:ascii="Calibri" w:eastAsia="Times New Roman" w:hAnsi="Calibri" w:cs="Calibri"/>
          <w:sz w:val="28"/>
          <w:szCs w:val="28"/>
          <w:lang w:eastAsia="pl-PL"/>
        </w:rPr>
        <w:t xml:space="preserve">część nawozów naturalnych będzie zagospodarowywał na gruntach własnych, stanowiących areał 147 ha, z zachowaniem dopuszczalnej dawki azotu, wynoszącej nie więcej niż 170 kg/ha/rok. Pozostałą cześć nawozów naturalnych przekazywał będzie do biogazowni na podstawie zawartej umowy. </w:t>
      </w:r>
      <w:bookmarkEnd w:id="11"/>
      <w:r w:rsidRPr="004E61DD">
        <w:rPr>
          <w:rFonts w:ascii="Calibri" w:eastAsia="Times New Roman" w:hAnsi="Calibri" w:cs="Calibri"/>
          <w:sz w:val="28"/>
          <w:szCs w:val="28"/>
          <w:lang w:eastAsia="pl-PL"/>
        </w:rPr>
        <w:t xml:space="preserve">W związku z tym, że Wnioskodawca będzie podmiotem, o którym mowa w art. 105a ust. 1 pkt 1 ustawy z dnia 20 lipca 2017 r.- Prawo wodne (Dz. U. z 2021 r. poz. 2233, z późn. zm.) będzie on zobligowany do spełnienia warunku, o którym mowa w art. 105a ust. 6 tej ustawy. </w:t>
      </w:r>
    </w:p>
    <w:p w14:paraId="661BCEF8" w14:textId="77777777" w:rsidR="004E61DD" w:rsidRPr="004E61DD" w:rsidRDefault="004E61DD" w:rsidP="00C114F0">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Zgodnie z treścią rozporządzenia Dyrektora Regionalnego Zarządu Gospodarki Wodnej w Poznaniu z dnia 28 lutego 2017 r. w sprawie określenia w regionie wodnym Warty wód powierzchniowych i podziemnych wrażliwych na zanieczyszczenie związkami azotu ze źródeł rolniczych oraz obszaru szczególnie narażonego, z którego odpływ azotu ze źródeł rolniczych do tych wód należy ograniczyć (Dz. Urz. Woj. Wielk. poz. 1638) oraz z treścią rozporządzenia Dyrektora Regionalnego Zarządu Gospodarki Wodnej we Wrocławiu z dnia 1 lutego 2017 r. w sprawie określenia w regionie wodnym Środkowej Odry wód powierzchniowych i podziemnych wrażliwych na zanieczyszczenie związkami azotu ze źródeł rolniczych oraz obszaru szczególnie narażonego, z którego odpływ azotu ze źródeł rolniczych do tych wód należy ograniczyć (Dz. Urz. Woj. Wielk. poz. 1153), regiony wodne Warty i Środkowej Odry w całości zostały określone jako obszar szczególnie narażony na zanieczyszczenie związkami azotu ze źródeł rolniczych, z którego odpływ azotu ze źródeł rolniczych do wód należy ograniczyć. Rozporządzeniem Rady Ministrów z dnia 12 lutego 2020 r. w sprawie przyjęcia "Programu działań mających na celu zmniejszenie zanieczyszczenia wód azotanami pochodzącymi ze źródeł rolniczych oraz zapobieganie dalszemu zanieczyszczeniu" (Dz. U. poz. 243), zostały określone szczegółowe wymagania, dotyczące rolniczego wykorzystania nawozów, sposobu ich przechowywania i stosowania. Planowany sposób postępowania z nawozami naturalnymi jest zgodny z tym programem. Zgodnie z postanowieniem Dyrektora Regionalnego Zarządu Gospodarki Wodnej Państwowego Gospodarstwa Wodnego Wody Polskie w Poznaniu, w decyzji określono warunek, w którym wskazano obowiązek lokalizacji infrastruktury do magazynowania nawozów naturalnych, ich przechowywania i zagospodarowania zgodnie z przepisami określonymi w przywołanym programie oraz przepisami szczegółowymi.</w:t>
      </w:r>
    </w:p>
    <w:p w14:paraId="53DFDAFB"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4DE0B5AF" w14:textId="77777777" w:rsidR="004E61DD" w:rsidRPr="004E61DD" w:rsidRDefault="004E61DD" w:rsidP="00C114F0">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Teren przedsięwzięcia nie znajduje się na obszarze Głównych Zbiorników Wód Podziemnych. Główny użytkowy poziom wodonośny w rejonie zainwestowania stanowi poziom czwartorzędowy charakteryzujący się średnim stopniem zagrożenia. Najbliższe ujęcie wód podziemnych znajduje się w odległości około 1,0 km od planowanego przedsięwzięcia. Przedsięwzięcie nie będzie zlokalizowane w strefach ochronnych ujęć wód podziemnych. W związku z rozbudową przedmiotowego gospodarstwa rolnego nie przewiduje się odwadniania wykopów. Teren działki objętej wnioskiem od strony południowo-zachodniej graniczy z Kanałem Kadzewskim. Na północ, w odległości około 35 m od terenu przedsięwzięcia, znajduje się zbiornik wodny.</w:t>
      </w:r>
    </w:p>
    <w:p w14:paraId="40A6E6FF" w14:textId="20466179" w:rsidR="004E61DD" w:rsidRPr="004E61DD" w:rsidRDefault="004E61DD" w:rsidP="00C114F0">
      <w:pPr>
        <w:autoSpaceDE w:val="0"/>
        <w:autoSpaceDN w:val="0"/>
        <w:adjustRightInd w:val="0"/>
        <w:spacing w:after="120" w:line="240" w:lineRule="auto"/>
        <w:ind w:firstLine="708"/>
        <w:jc w:val="both"/>
        <w:rPr>
          <w:rFonts w:ascii="Calibri" w:eastAsia="Times New Roman" w:hAnsi="Calibri" w:cs="Calibri"/>
          <w:sz w:val="28"/>
          <w:szCs w:val="28"/>
          <w:lang w:eastAsia="pl-PL"/>
        </w:rPr>
      </w:pPr>
      <w:bookmarkStart w:id="12" w:name="_Hlk104879384"/>
      <w:r w:rsidRPr="004E61DD">
        <w:rPr>
          <w:rFonts w:ascii="Calibri" w:eastAsia="Times New Roman" w:hAnsi="Calibri" w:cs="Calibri"/>
          <w:sz w:val="28"/>
          <w:szCs w:val="28"/>
          <w:lang w:eastAsia="pl-PL"/>
        </w:rPr>
        <w:t>Przedsięwzięcie będzie zaopatrywane w wodę z gminnej sieci wodociągowej oraz z planowanego ujęcia wód podziemnych.</w:t>
      </w:r>
      <w:bookmarkEnd w:id="12"/>
      <w:r w:rsidRPr="004E61DD">
        <w:rPr>
          <w:rFonts w:ascii="Calibri" w:eastAsia="Times New Roman" w:hAnsi="Calibri" w:cs="Calibri"/>
          <w:sz w:val="28"/>
          <w:szCs w:val="28"/>
          <w:lang w:eastAsia="pl-PL"/>
        </w:rPr>
        <w:t xml:space="preserve"> W celu minimalizacji zużycia wody w gospodarstwie rolnym, zobowiązano Wnioskodawcę, aby zastosował szczelny system poideł posiadających zabezpieczenie przed niekontrolowanym wyciekiem wody, prowadził regularne odczyty zużycia wody, a wykryte nieszczelności wewnętrznej sieci wodociągowej niezwłocznie naprawiał. </w:t>
      </w:r>
      <w:bookmarkStart w:id="13" w:name="_Hlk104879427"/>
      <w:r w:rsidRPr="004E61DD">
        <w:rPr>
          <w:rFonts w:ascii="Calibri" w:eastAsia="Times New Roman" w:hAnsi="Calibri" w:cs="Calibri"/>
          <w:sz w:val="28"/>
          <w:szCs w:val="28"/>
          <w:lang w:eastAsia="pl-PL"/>
        </w:rPr>
        <w:t>Ścieki bytowe odprowadzane będą do istniejącego podziemnego, szczelnego zbiornika, a następnie wywożone do oczyszczalni ścieków przez koncesjonowanego przewoźnika. Projektowany budynek chlewni będzie czyszczony poprzez spłukiwanie zanieczyszczeń czystą wodą pod ciśnieniem, bez użycia żadnych środków chemicznych. Zanieczyszczone wody powstające w tym procesie będą kierowane do kanałów podrusztowych zlokalizowanych pod planowaną budynkiem inwentarskim i zostaną zagospodarowane razem z gnojowicą. Dezynfekcja chlewni wykonywana będzie poprzez zamgławianie z użyciem środków biodegradowalnych bez generowania odcieków z tego procesu. W związku z eksploatacją przedsięwzięcia nie przewiduje się powstawania ścieków przemysłowych. Wody opadowe i roztopowe z powierzchni dachowych i utwardzonych nie będą ujmowane w systemy kanalizacji deszczowej, przewiduje się ich odprowadzanie powierzchniowe, w obrębie działki, do której Wnioskodawca posiada tytuł prawny.</w:t>
      </w:r>
      <w:bookmarkEnd w:id="13"/>
      <w:r w:rsidRPr="004E61DD">
        <w:rPr>
          <w:rFonts w:ascii="Calibri" w:eastAsia="Times New Roman" w:hAnsi="Calibri" w:cs="Calibri"/>
          <w:sz w:val="28"/>
          <w:szCs w:val="28"/>
          <w:lang w:eastAsia="pl-PL"/>
        </w:rPr>
        <w:t xml:space="preserve"> Założenia przedstawione przez Wnioskodawcę, dotyczące sposobu zagospodarowania wód opadowych i roztopowych oraz z mycia chlewni w celu ochrony środowiska gruntowo-wodnego, znalazły odzwierciedlenie w warunkach decyzji, zgodnie </w:t>
      </w:r>
      <w:proofErr w:type="gramStart"/>
      <w:r w:rsidRPr="004E61DD">
        <w:rPr>
          <w:rFonts w:ascii="Calibri" w:eastAsia="Times New Roman" w:hAnsi="Calibri" w:cs="Calibri"/>
          <w:sz w:val="28"/>
          <w:szCs w:val="28"/>
          <w:lang w:eastAsia="pl-PL"/>
        </w:rPr>
        <w:t xml:space="preserve">z </w:t>
      </w:r>
      <w:r w:rsidR="00C114F0">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postanowieniami</w:t>
      </w:r>
      <w:proofErr w:type="gramEnd"/>
      <w:r w:rsidRPr="004E61DD">
        <w:rPr>
          <w:rFonts w:ascii="Calibri" w:eastAsia="Times New Roman" w:hAnsi="Calibri" w:cs="Calibri"/>
          <w:sz w:val="28"/>
          <w:szCs w:val="28"/>
          <w:lang w:eastAsia="pl-PL"/>
        </w:rPr>
        <w:t xml:space="preserve"> Regionalnego Dyrektora Ochrony Środowiska w Poznaniu oraz Dyrektora Regionalnego Zarządu Gospodarki Wodnej Państwowego Gospodarstwa Wodnego Wody Polskie w Poznaniu.</w:t>
      </w:r>
    </w:p>
    <w:p w14:paraId="5DF8981B"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24F02AFD" w14:textId="4110EDC2" w:rsidR="004E61DD" w:rsidRPr="004E61DD" w:rsidRDefault="004E61DD" w:rsidP="00C114F0">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W ramach realizacji przedsięwzięcia Wnioskodawca zakłada wykonanie ujęcia wód podziemnych z utworów czwartorzędowych. Do uzupełnienia raportu załączono „Projekt robót geologicznych na wykonanie studni wierconej S-1 ujmującej wody podziemne z utworów czwartorzędowych zlokalizowanej w miejscowości Kadzewo, gmina Śrem, powiat Śremski”, dalej projekt robót, zatwierdzony decyzją Starosty Śremskiego z 22.12.2020 r. znak OS.6530.8.2020. Woda pobierana ze studni wykorzystywana będzie na cele pojenia zwierząt i mycia pomieszczeń inwentarskich. W raporcie określono maksymalne roczne zapotrzebowanie na wodę na poziomie 21 776,45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/rok. Wnioskodawca zakłada wykonanie studni wierconej do głębokości 16,0 m ujmującej warstwę wodonośną zalegającą na głębokości od 8,0 m p.p.t do 13,0</w:t>
      </w:r>
      <w:r w:rsidR="00C114F0">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m p.p.t. Zgodnie z projektem robót miąższość osadów czwartorzędowych w rejonie planowanych prac wynosi około 15,0 m. Są to osady plejstoceńskie z okresu fazy leszczyńskiej stadiału głównego zlodowacenia północnopolskiego w postaci glin zwałowych, piasków jeziornych oraz holoceńskich gruntów organicznych. Pod serią piaszczysto-żwirową rozpoznane zostaną stropowe osady trzeciorzędu w postaci iłów poznańskich. Zgodnie z informacjami zawartymi w uzupełnieniu raportu, zasięg leja depresji, przy maksymalnej godzinowej wydajności ujęcia wód podziemnych wynoszącej 6,0 m</w:t>
      </w:r>
      <w:r w:rsidRPr="004E61DD">
        <w:rPr>
          <w:rFonts w:ascii="Calibri" w:eastAsia="Times New Roman" w:hAnsi="Calibri" w:cs="Calibri"/>
          <w:sz w:val="28"/>
          <w:szCs w:val="28"/>
          <w:vertAlign w:val="superscript"/>
          <w:lang w:eastAsia="pl-PL"/>
        </w:rPr>
        <w:t>3</w:t>
      </w:r>
      <w:r w:rsidRPr="004E61DD">
        <w:rPr>
          <w:rFonts w:ascii="Calibri" w:eastAsia="Times New Roman" w:hAnsi="Calibri" w:cs="Calibri"/>
          <w:sz w:val="28"/>
          <w:szCs w:val="28"/>
          <w:lang w:eastAsia="pl-PL"/>
        </w:rPr>
        <w:t>/h, wynosić będzie około 25 m. Biorąc pod uwagę głębokość, wydajność i lokalizację urządzenia wodnego stwierdzono, że nie kwalifikuje się ono do przedsięwzięć, o których mowa w rozporządzeniu w</w:t>
      </w:r>
      <w:r w:rsidR="00C114F0">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sprawie przedsięwzięć mogących znacząco oddziaływać na środowisko. Mając na uwadze odległość od innych ujęć wód podziemnych oraz kierunek przepływu wody w analizowanej warstwie wodonośnej, przedmiotowe ujęcie wód podziemnych nie będzie znajdować się w obszarze zasobowym innych ujęć wód podziemnych. W wyniku jednoczesnej eksploatacji planowanego ujęcia wód podziemnych oraz ujęć wód podziemnych zlokalizowanych w jego sąsiedztwie z maksymalną godzinową wydajnością nie nastąpi interferencja ich lejów depresji, a zatem nie dojdzie do skumulowanego oddziaływania na środowisko. Mając na uwadze wielkość zasobów dyspozycyjnych określonych dla obszaru, na którym planowane jest przedsięwzięcie, eksploatacja przedsięwzięcia nie zwiększy znacząco presji na lokalne zasoby wód podziemnych. Założenia w zakresie głębokości ujęcia wód podziemnych oraz wielkości poboru wód znalazły odzwierciedlenie w warunkach decyzji, jako gwarant eksploatacji studni w sposób bezpieczny dla lokalnych zasobów wód podziemnych, szczególnie w aspekcie ilościowym, zgodnie z postanowieniem Regionalnego Dyrektora Ochrony Środowiska w Poznaniu.</w:t>
      </w:r>
    </w:p>
    <w:p w14:paraId="2CADE3F5" w14:textId="1AC8F570" w:rsidR="004E61DD" w:rsidRPr="004E61DD" w:rsidRDefault="004E61DD" w:rsidP="00C114F0">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 xml:space="preserve">W raporcie przedstawione zostały rodzaje i ilości odpadów wytwarzanych na etapach realizacji, eksploatacji i likwidacji przedsięwzięcia oraz sposób ich dalszego zagospodarowania. </w:t>
      </w:r>
      <w:bookmarkStart w:id="14" w:name="_Hlk104879910"/>
      <w:r w:rsidRPr="004E61DD">
        <w:rPr>
          <w:rFonts w:ascii="Calibri" w:eastAsia="Times New Roman" w:hAnsi="Calibri" w:cs="Calibri"/>
          <w:sz w:val="28"/>
          <w:szCs w:val="28"/>
          <w:lang w:eastAsia="pl-PL"/>
        </w:rPr>
        <w:t>W związku z eksploatacją przedsięwzięcia będą wytwarzane odpady niebezpieczne, jak i inne niż niebezpieczne. Na podstawie raportu ustalono, że wszystkie powstające w gospodarstwie rolnym odpady magazynowane będą selektywnie, w przystosowanych pojemnikach i kontenerach, na utwardzonej powierzchni. Odpady będą zagospodarowywane zgodnie z przepisami prawa, to jest będą przekazywane w pierwszej kolejności do odzysku podmiotom posiadającym wymagane prawem zezwolenia w zakresie gospodarowania odpadami. W</w:t>
      </w:r>
      <w:r w:rsidR="001A7E19">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 xml:space="preserve">przypadku, kiedy nie będzie takiej możliwości, wytworzone odpady będą przekazywane do unieszkodliwiania. Gospodarstwo rolne będzie posiadało umowy ze specjalistycznymi podmiotami na odbiór wytwarzanych odpadów oraz prowadzić będzie ich ewidencję. Padłe zwierzęta będą magazynowane w konfiskatorze, w którym będą przetrzymywane maksymalnie do 48 godzin, to jest do czasu odbioru przez firmę zajmującą się utylizacją padłych zwierząt. </w:t>
      </w:r>
      <w:bookmarkEnd w:id="14"/>
      <w:r w:rsidRPr="004E61DD">
        <w:rPr>
          <w:rFonts w:ascii="Calibri" w:eastAsia="Times New Roman" w:hAnsi="Calibri" w:cs="Calibri"/>
          <w:sz w:val="28"/>
          <w:szCs w:val="28"/>
          <w:lang w:eastAsia="pl-PL"/>
        </w:rPr>
        <w:t xml:space="preserve">Powyższe założenia Wnioskodawcy zostały ujęte jako warunki w decyzji, zgodnie z postanowieniami Regionalnego Dyrektora Ochrony Środowiska w Poznaniu i Dyrektora Regionalnego Zarządu Gospodarki Wodnej Państwowego Gospodarstwa Wodnego Wody Polskie w Poznaniu. W związku funkcjonowaniem przedsięwzięcia będą powstawać odpady weterynaryjne. Wytwórcą odpadów, zgodnie z przepisami ustawy o odpadach, będzie podmiot świadczący usługi weterynaryjne. </w:t>
      </w:r>
      <w:bookmarkStart w:id="15" w:name="_Hlk104879947"/>
      <w:r w:rsidRPr="004E61DD">
        <w:rPr>
          <w:rFonts w:ascii="Calibri" w:eastAsia="Times New Roman" w:hAnsi="Calibri" w:cs="Calibri"/>
          <w:sz w:val="28"/>
          <w:szCs w:val="28"/>
          <w:lang w:eastAsia="pl-PL"/>
        </w:rPr>
        <w:t xml:space="preserve">Masy ziemne, powstające podczas realizacji przedsięwzięcia, zostaną rozplantowane na terenie przedsięwzięcia, w sposób niepowodujący zmiany kierunku spływu wód powierzchniowych oraz zmianę stosunków wodnych na terenach sąsiednich. </w:t>
      </w:r>
      <w:bookmarkEnd w:id="15"/>
      <w:r w:rsidRPr="004E61DD">
        <w:rPr>
          <w:rFonts w:ascii="Calibri" w:eastAsia="Times New Roman" w:hAnsi="Calibri" w:cs="Calibri"/>
          <w:sz w:val="28"/>
          <w:szCs w:val="28"/>
          <w:lang w:eastAsia="pl-PL"/>
        </w:rPr>
        <w:t xml:space="preserve">Przy założeniu, że Wnioskodawca będzie realizował planowane przedsięwzięcie zgodnie z zapisami w raporcie i warunkami decyzji, nie będzie ono naruszać prawa w zakresie gospodarki odpadami. </w:t>
      </w:r>
    </w:p>
    <w:p w14:paraId="260F02C0" w14:textId="06F40DC0"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Po przeanalizowaniu przedstawionych w raporcie informacji dotyczących budowy geologicznej, warunków hydrogeologicznych, biorąc pod uwagę planowane rozwiązania chroniące środowisko gruntowo-wodne, w</w:t>
      </w:r>
      <w:r w:rsidR="001A7E19">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 xml:space="preserve">tym rozwiązania w zakresie gospodarki wodno-ściekowej, magazynowania i postępowania z odpadami oraz odchodami zwierząt nie przewiduje się znacząco negatywnego oddziaływania przedmiotowego przedsięwzięcia na środowisko gruntowo-wodne, w tym wody podziemne i powierzchniowe. </w:t>
      </w:r>
    </w:p>
    <w:p w14:paraId="28E943F0"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17E00CE8" w14:textId="77777777"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Jednocześnie, zgodnie z postanowieniem Dyrektora Regionalnego Zarządu Gospodarki Wodnej Państwowego Gospodarstwa Wodnego Wody Polskie w Poznaniu, w celu zabezpieczenia środowiska gruntowo-wodnego przed ewentualnymi zanieczyszczeniami substancjami mogącymi wystąpić podczas realizacji przedsięwzięcia, w decyzji określono warunki, aby w czasie prowadzenia robót budowlanych monitorować stan techniczny sprzętu budowlanego i transportowego oraz przypadków wystąpienia zanieczyszczenia gruntu; miejsca magazynowania materiałów budowlanych, postoju, tankowania, serwisowania pojazdów i maszyn oraz powstających odpadów zorganizować na terenie utwardzonym, a także aby zapewnić dostępność sorbentów, właściwych w zakresie ilości i rodzaju do potencjalnego zagrożenia, mogącego wystąpić w następstwie sytuacji awaryjnych. Zgodnie z postanowieniem Dyrektora Regionalnego Zarządu Gospodarki Wodnej w decyzji wskazano warunek wyposażenia budynku inwentarskiego w szczelną posadzkę betonową.</w:t>
      </w:r>
    </w:p>
    <w:p w14:paraId="095BD509" w14:textId="76C11356"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W raporcie przedstawiono oddziaływanie przedmiotowego przedsięwzięcia na stan zanieczyszczenia powietrza. </w:t>
      </w:r>
      <w:bookmarkStart w:id="16" w:name="_Hlk104882973"/>
      <w:r w:rsidRPr="004E61DD">
        <w:rPr>
          <w:rFonts w:ascii="Calibri" w:eastAsia="Times New Roman" w:hAnsi="Calibri" w:cs="Calibri"/>
          <w:sz w:val="28"/>
          <w:szCs w:val="28"/>
          <w:lang w:eastAsia="pl-PL"/>
        </w:rPr>
        <w:t>Źródłami emisji zorganizowanej do powietrza będą głównie systemy wentylacji w istniejących chlewniach i projektowanych budynkach inwentarskich to jest w chlewni VI oraz kurniku (nieobjętym przedmiotowym postępowaniem), którymi wyprowadzane będą zanieczyszczenia pochodzące z procesów chowu zwierząt, w tym substancje odorotwórcze powstające w wyniku rozkładu produktów przemiany materii tych zwierząt. Dodatkowo, w ramach planowanego przedsięwzięcia przewidziano modernizację systemu wentylacji w istniejącej chlewni V. Źródłami emisji zanieczyszczeń do powietrza na terenie gospodarstwa rolnego będą także płyty obornikowe oraz istniejący kocioł węglowy o mocy 105 kW, zlokalizowany w kotłowni w chlewni III, sześć nagrzewnic gazowych o mocy 100 kW każda (do ogrzewania kurnika) oraz dwa agregaty prądotwórcze – jeden o mocy do 60 kW i drugi o mocy do 100 kW. Projektowana chlewnia VI nie będzie wyposażona w system ogrzewania. W</w:t>
      </w:r>
      <w:r w:rsidR="001A7E19">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 xml:space="preserve">przedstawionych obliczeniach pominięto emisję niezorganizowaną związaną z ruchem pojazdów obsługujących przedsięwzięcie, ponieważ będzie ona pomijalnie mała. Mieszanka paszowa będzie dostarczana do silosów specjalnymi paszowozami. Napełnianie silosów paszowych odbywać się będzie przewodami w sposób całkowicie szczelny, a rura odpowietrzająca skierowana będzie wylotem w dół, który to wyposażony będzie w filtr workowy. Odbiór gnojowicy z projektowanego budynku inwentarskiego odbywał się będzie za pomocą hermetycznego złącza. </w:t>
      </w:r>
    </w:p>
    <w:bookmarkEnd w:id="16"/>
    <w:p w14:paraId="230868F4" w14:textId="77777777" w:rsidR="004E61DD" w:rsidRPr="004E61DD" w:rsidRDefault="004E61DD" w:rsidP="001A7E19">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r w:rsidRPr="004E61DD">
        <w:rPr>
          <w:rFonts w:ascii="Calibri" w:eastAsia="Times New Roman" w:hAnsi="Calibri" w:cs="Calibri"/>
          <w:sz w:val="28"/>
          <w:szCs w:val="28"/>
          <w:lang w:eastAsia="pl-PL"/>
        </w:rPr>
        <w:lastRenderedPageBreak/>
        <w:t>Emisja zanieczyszczeń do powietrza będzie ograniczana również poprzez nowoczesny i sprawny system wentylacji, skuteczne i systematyczne czyszczenie budynku inwentarskiego, stosowanie efektywnych mikroorganizmów (tak zwanych preparatów EM), obniżenie poziomu białka w diecie zwierząt, tucz fazowy dostosowany do wieku i masy ciała zwierząt, stosowanie dodatków paszowych.</w:t>
      </w:r>
    </w:p>
    <w:p w14:paraId="14AF1257" w14:textId="3DC58C8B"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 wykonanych obliczeń rozprzestrzeniania substancji wprowadzanych do powietrza z wyżej wymienionych źródeł wynika, że emisje te nie będą powodować przekroczenia dopuszczalnych wartości odniesienia w powietrzu oraz dopuszczalnych częstości przekroczeń określonych w rozporządzeniu Ministra Środowiska z dnia 26 stycznia 2010 r. w sprawie wartości odniesienia dla niektórych substancji w powietrzu (Dz. U. Nr 16, poz. 87) poza terenem, do którego Wnioskodawca posiada tytuł prawny oraz, że będą dotrzymane standardy jakości powietrza określone w rozporządzeniu Ministra Środowiska z dnia 24 sierpnia 2012 r. w sprawie poziomów niektórych substancji w</w:t>
      </w:r>
      <w:r w:rsidR="001A7E19">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 xml:space="preserve">powietrzu (Dz. U. z 2021 r. poz. 845). W związku z tym spełnione będą wymagania w zakresie ochrony powietrza określone w przepisach. Skumulowane oddziaływanie planowanego przedsięwzięcia z innymi istniejącymi przedsięwzięciami znajdującymi się w okolicy zostało ocenione poprzez wykonanie i przedłożenie stosownych obliczeń i analiz oraz uwzględnienie w przedstawionych obliczeniach aktualnego stanu jakości powietrza, co jest zgodne z obowiązującą referencyjną metodyką modelowania poziomów substancji w powietrzu. </w:t>
      </w:r>
    </w:p>
    <w:p w14:paraId="1B5F41D7" w14:textId="28270F10"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Mając na uwadze założenia przyjęte do analiz, w warunkach decyzji wskazano parametry systemu wentylacji mechanicznej w planowanej chlewni VI oraz parametry systemu wentylacji planowanego do zmiany w istniejącej chlewni V, zgodnie z postanowieniem Regionalnego Dyrektora Ochrony Środowiska w Poznaniu. Ponadto, zgodnie z postanowieniem Regionalnego Dyrektora, zobowiązano Wnioskodawcę do utrzymywania budynku inwentarskiego w czystości oraz zapewniania odpowiedniej temperatury i</w:t>
      </w:r>
      <w:r w:rsidR="001A7E19">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wilgotności wewnątrz projektowanego budynku, nieogrzewania planowanej chlewni VI z wykorzystaniem źródeł stanowiących emisję substancji do powietrza, załadunku projektowanych silosów paszowych w sposób szczelny z</w:t>
      </w:r>
      <w:r w:rsidR="001A7E19">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zastosowaniem rur odpowietrzających silosów skierowanych wylotem w dół i stosowania filtrów odpylających, a także wypompowywania gnojowicy z</w:t>
      </w:r>
      <w:r w:rsidR="001A7E19">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 xml:space="preserve">wykorzystaniem hermetycznego złącza. </w:t>
      </w:r>
    </w:p>
    <w:p w14:paraId="306D8B5B"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7587E903" w14:textId="77777777"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Spełnienie warunków określonych w decyzji oraz założeń zawartych w uzupełnionym raporcie przyczyni się do minimalizacji uciążliwości związanych z emisją substancji zanieczyszczających powietrze, pochodzących z przedmiotowego przedsięwzięcia.</w:t>
      </w:r>
    </w:p>
    <w:p w14:paraId="7A0318D0" w14:textId="77777777"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Najbliższy teren chroniony akustycznie, zgodnie z rozporządzeniem </w:t>
      </w:r>
      <w:bookmarkStart w:id="17" w:name="_Hlk104900343"/>
      <w:r w:rsidRPr="004E61DD">
        <w:rPr>
          <w:rFonts w:ascii="Calibri" w:eastAsia="Times New Roman" w:hAnsi="Calibri" w:cs="Calibri"/>
          <w:sz w:val="28"/>
          <w:szCs w:val="28"/>
          <w:lang w:eastAsia="pl-PL"/>
        </w:rPr>
        <w:t>Ministra Środowiska z dnia 14 czerwca 2007 r. w sprawie dopuszczalnych wartości poziomów hałasu w środowisku (Dz. U. z 2014 r. poz. 112)</w:t>
      </w:r>
      <w:bookmarkEnd w:id="17"/>
      <w:r w:rsidRPr="004E61DD">
        <w:rPr>
          <w:rFonts w:ascii="Calibri" w:eastAsia="Times New Roman" w:hAnsi="Calibri" w:cs="Calibri"/>
          <w:sz w:val="28"/>
          <w:szCs w:val="28"/>
          <w:lang w:eastAsia="pl-PL"/>
        </w:rPr>
        <w:t xml:space="preserve">, to teren zabudowy zagrodowej znajdujący się w odległości około 13 m od działki objętej wnioskiem, od strony wschodniej. </w:t>
      </w:r>
    </w:p>
    <w:p w14:paraId="63DBE629" w14:textId="18926D57"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bookmarkStart w:id="18" w:name="_Hlk104894673"/>
      <w:r w:rsidRPr="004E61DD">
        <w:rPr>
          <w:rFonts w:ascii="Calibri" w:eastAsia="Times New Roman" w:hAnsi="Calibri" w:cs="Calibri"/>
          <w:sz w:val="28"/>
          <w:szCs w:val="28"/>
          <w:lang w:eastAsia="pl-PL"/>
        </w:rPr>
        <w:t>Źródłami hałasu emitowanego w wyniku funkcjonowania gospodarstwa rolnego będą stanowiły: planowany i istniejące budynki inwentarskie, kontenerowe agregaty prądotwórcze (źródła kubaturowe), wentylacja mechaniczna, przeładunek pasz, pompowanie nieczystości ciekłych, wygarnianie i załadunek obornika, pompowanie gnojowicy, przeładunek gazu do zbiorników i środki transportu. Istniejące budynki chlewni wentylowane są za pomocą łącznie 28 wentylatorów dachowych [sześciu wentylatorów o</w:t>
      </w:r>
      <w:r w:rsidR="001A7E19">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poziomie mocy akustycznej 77,9 dB każdy (chlewnia I i II), sześciu wentylatorów o poziomie mocy akustycznej 73,9 dB każdy (chlewnia III), 17 wentylatorów o poziomie mocy akustycznej 71 dB każdy (chlewnia IV i V)]. Dla terenu przedsięwzięcia została wydana decyzja o środowiskowych uwarunkowaniach na rozbudowę gospodarstwa polegającej na budowie kurnika wraz z infrastrukturą towarzysząca. Zgodnie z tą decyzją projektowany kurnik zostanie wyposażony w dziewięć wentylatorów dachowych o poziomie mocy akustycznej nie wyższym niż 85,9 dB każdy i 14 wentylatorów szczytowych o poziomie mocy akustycznej nie wyższym niż 90 dB każdy. W</w:t>
      </w:r>
      <w:r w:rsidR="001A7E19">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raporcie wskazano, że wentylatory szczytowe w kurniku będą pracować tylko w porze dnia. Przedmiotowa chlewnia VI, zostanie wyposażona w</w:t>
      </w:r>
      <w:r w:rsidR="001A7E19">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 xml:space="preserve">maksymalnie 17 wentylatorów dachowych o poziomie mocy akustycznej nie wyższym niż 75 dB każdy. Z raportu wynika, że wszystkie wentylatory dachowe będą źródłem hałasu zarówno w porze dziennej, jak i w porze nocnej. Emisja hałasu wewnątrz budynków związana będzie z hałasem wywoływanym przez zwierzęta. Przyjęty do obliczeń model uproszczony zakłada, że maksymalny poziom dźwięku wewnątrz obiektów, w odległości metra od przegrody, wynosił będzie dla budynków chlewni 67 dB, dla budynku kurnika 75 dB oraz 97 dB dla agregatów prądotwórczych. Izolacyjność akustyczna istniejących i planowanego budynku inwentarskiego wynosi 48 dB dla ścian i 25 dB dla dachu, natomiast izolacyjność akustyczna ścian i dachów kontenerów dla agregatów prądotwórczych wynosi 25 dB. </w:t>
      </w:r>
    </w:p>
    <w:p w14:paraId="0619A3D1" w14:textId="77777777"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 xml:space="preserve">W raporcie przyjęto, że po terenie gospodarstwa rolnego w ciągu ośmiu najmniej korzystnych godzin w porze dnia poruszać się będzie maksymalnie 10 pojazdów ciężkich i cztery pojazdy lekkie. W porze nocy nie zakłada się poruszania pojazdów po terenie przedmiotowego gospodarstwa rolnego. Dla powyższych warunków, w raporcie wykonano obliczenia rozprzestrzeniania się hałasu w środowisku. Z zaprezentowanych wyników obliczeń rozprzestrzeniania się hałasu wynika, że przy spełnieniu założeń przedstawionych w raporcie, eksploatacja przedsięwzięcia nie spowoduje przekroczenia poziomu dopuszczalnego, określonego w rozporządzeniu w sprawie dopuszczalnych poziomów hałasu w środowisku. </w:t>
      </w:r>
      <w:bookmarkEnd w:id="18"/>
      <w:r w:rsidRPr="004E61DD">
        <w:rPr>
          <w:rFonts w:ascii="Calibri" w:eastAsia="Times New Roman" w:hAnsi="Calibri" w:cs="Calibri"/>
          <w:sz w:val="28"/>
          <w:szCs w:val="28"/>
          <w:lang w:eastAsia="pl-PL"/>
        </w:rPr>
        <w:t>Zgodnie z postanowieniem Regionalnego Dyrektora Ochrony Środowiska w Poznaniu, w decyzji określono warunki dotyczące zastosowania wentylatorów o ściśle określonym poziomie mocy akustycznej, które wynikają bezpośrednio z założeń przyjętych do analizy akustycznej i zapewniają dotrzymanie standardów akustycznych w środowisku. Ponadto zgodnie z opinią Państwowego Powiatowego Inspektora Sanitarnego w Śremie, w decyzji wpisano warunki, aby ograniczyć do niezbędnego minimum ruch pojazdów w obrębie gospodarstwa rolnego i postój maszyn z włączonym silnikiem, oraz aby nie wykonywać hałaśliwych operacji w porze nocy i ograniczyć wszelkie prace związane z funkcjonowaniem gospodarstwa rolnego do pory dnia, to jest godzin od 6:00 do 22:00.</w:t>
      </w:r>
    </w:p>
    <w:p w14:paraId="20AE3223" w14:textId="003E1A68"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 uwagi na charakter planowanego przedsięwzięcia zakłada się, że nie będzie ono miało znaczącego negatywnego wpływu na klimat. W celu mitygacji zmian klimatu przewiduje się ograniczenie zużycia wody, stosowanie odpowiedniej wentylacji czy odpowiedniego żywienia zwierząt. Przedsięwzięcie nie będzie położone na terenach zalewowych oraz zagrożonych wystąpieniami powodzi, a także terenach zagrożonych osuwiskami i ruchami masowymi ziemi. Uwzględniając przewidywany zakres i</w:t>
      </w:r>
      <w:r w:rsidR="001A7E19">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technologię prac budowlanych oraz technologię chowu zwierząt, lokalizację przedsięwzięcia oraz przyjęte rozwiązania konstrukcyjne i technologiczne obiektów i instalacji należy stwierdzić, że przedsięwzięcie będzie zaadaptowane do postępujących zmian klimatu.</w:t>
      </w:r>
    </w:p>
    <w:p w14:paraId="55C63ECE"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316459BA" w14:textId="151C7C31"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W związku z tym, że na terenie gospodarstwa rolnego prowadzony będzie chów lub hodowla świń o liczbie stanowisk większej niż 2 000 dla świń o wadze ponad 30 kg, na podstawie art. 201 ustawy z dnia 27 kwietnia 2001 r. - Prawo ochrony środowiska (Dz. U. z 2021 r. poz. 1973, z późn. zm.) oraz pkt 6 ppkt 8 lit. b załącznika do rozporządzenia Ministra Środowiska z dnia 27 sierpnia 2014 r. w sprawie rodzajów instalacji mogących powodować znaczne zanieczyszczenie poszczególnych elementów przyrodniczych albo środowiska jako całości (Dz. U. poz. 1169), Wnioskodawca przed rozpoczęciem działalności będzie zobowiązany uzyskać pozwolenie zintegrowane. W</w:t>
      </w:r>
      <w:r w:rsidR="001A7E19">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związku z powyższym, w uzupełnieniu raportu przedstawiono porównanie proponowanej techniki z najlepszymi dostępnymi technikami (BAT).</w:t>
      </w:r>
    </w:p>
    <w:p w14:paraId="71D2F5D5" w14:textId="77777777"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Biorąc pod uwagę rodzaj planowanego przedsięwzięcia, przy uwzględnieniu stosowanych technologii, należy stwierdzić, że nie należy ono do zakładów o dużym lub zwiększonym ryzyku wystąpienia poważnej awarii określonych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w:t>
      </w:r>
      <w:r w:rsidRPr="004E61DD">
        <w:rPr>
          <w:rFonts w:ascii="Calibri" w:eastAsia="Calibri" w:hAnsi="Calibri" w:cs="Times New Roman"/>
          <w:sz w:val="28"/>
        </w:rPr>
        <w:t xml:space="preserve"> W związku z powyższym, </w:t>
      </w:r>
      <w:r w:rsidRPr="004E61DD">
        <w:rPr>
          <w:rFonts w:ascii="Calibri" w:eastAsia="Times New Roman" w:hAnsi="Calibri" w:cs="Calibri"/>
          <w:sz w:val="28"/>
          <w:szCs w:val="28"/>
          <w:lang w:eastAsia="pl-PL"/>
        </w:rPr>
        <w:t>w decyzji nie określono wymogów w zakresie przeciwdziałania skutkom awarii przemysłowych.</w:t>
      </w:r>
    </w:p>
    <w:p w14:paraId="452DCE3C" w14:textId="77777777"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bookmarkStart w:id="19" w:name="_Hlk104901054"/>
      <w:r w:rsidRPr="004E61DD">
        <w:rPr>
          <w:rFonts w:ascii="Calibri" w:eastAsia="Times New Roman" w:hAnsi="Calibri" w:cs="Calibri"/>
          <w:sz w:val="28"/>
          <w:szCs w:val="28"/>
          <w:lang w:eastAsia="pl-PL"/>
        </w:rPr>
        <w:t>Przedmiotowe przedsięwzięcie położone jest poza obszarami chronionymi na podstawie ustawy z dnia 16 kwietnia 2004 r. o ochronie przyrody (Dz. U. z 2022 r. poz. 916). Najbliżej położonymi obszarami Natura 2000 są: obszar specjalnej ochrony ptaków Ostoja Rogalińska PLB300017 i specjalny obszar ochrony siedliska Rogalińska Dolina Warty PLH300012, oddalone o około 7 km od przedsięwzięcia.</w:t>
      </w:r>
    </w:p>
    <w:bookmarkEnd w:id="19"/>
    <w:p w14:paraId="094DB655" w14:textId="77777777"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Do raportu dołączono inwentaryzację przyrodniczą opracowaną dla przedmiotowego przedsięwzięcia, OrniCon Michał Przystański, Poznań sierpień 2021 r., w ramach której 16.07.2021 r. na terenie przeznaczonym pod przedsięwzięcie oraz na gruntach sąsiednich przeprowadzono wizję terenową. Z informacji zawartych w tym opracowaniu wynika, że miejsce realizacji przedsięwzięcia stanowi obecnie uprawa jęczmienia. Od strony południowej działka objęta wnioskiem sąsiaduje z gruntami ornymi, a dalej znajduje się Kanał Kadzewski, którego brzegi porastają młode olchy czarne oraz zwarty szuwar trzcinowy. </w:t>
      </w:r>
    </w:p>
    <w:p w14:paraId="055888E4"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3088342C" w14:textId="77777777"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Wschodnią część terenu przedsięwzięcia wyznacza południkowo zorientowana droga asfaltowa, wzdłuż której występują zadrzewienia liniowe tworzone przez następujące gatunki: lipa drobnolistna, robinia akacjowa, jesion wyniosły, wierzba krucha, wiąz szypułkowy, wiąz polny. Z pozostałych stron miejsce realizacji przedsięwzięcia otaczają grunty orne, a od północy zabudowania obecnie funkcjonującego gospodarstwa rolnego. Na terenie badań nie stwierdzono występowania chronionych lub zagrożonych gatunków roślin, grzybów oraz siedlisk przyrodniczych. Spośród chronionych przedstawicieli fauny stwierdzono relatywnie pospolite gatunki ptaków: skowronka, trznadla, potrzeszcza, pliszkę żółtą, szczygła, pełzacza ogrodowego. Pozostałe stanowiska chronionych gatunków zlokalizowane były poza strefą bezpośredniego oddziaływania przedsięwzięcia. Wszystkie stwierdzone taksony należą do gatunków pospolitych i szeroko rozpowszechnionych, dla których realizacja przedsięwzięcia, ze względu na występowanie alternatywnych siedlisk w otoczeniu miejsca realizacji przedsięwzięcia, nie spowoduje znaczącego uszczuplenia siedlisk lęgowych. Na terenie przeznaczonym pod przedsięwzięcie nie występują drzewa i krzewy, jednak w bezpośrednim sąsiedztwie tego terenu zlokalizowane są zadrzewienia liniowe. Wobec powyższego, zgodnie z postanowieniem Regionalnego Dyrektora Ochrony Środowiska w Poznaniu, w decyzji nałożono warunek, aby nie wycinać drzew i krzewów w związku z realizacją przedsięwzięcia.</w:t>
      </w:r>
    </w:p>
    <w:p w14:paraId="74464F4D" w14:textId="46ED6A91"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bookmarkStart w:id="20" w:name="_Hlk104901162"/>
      <w:r w:rsidRPr="004E61DD">
        <w:rPr>
          <w:rFonts w:ascii="Calibri" w:eastAsia="Times New Roman" w:hAnsi="Calibri" w:cs="Calibri"/>
          <w:sz w:val="28"/>
          <w:szCs w:val="28"/>
          <w:lang w:eastAsia="pl-PL"/>
        </w:rPr>
        <w:t>Mając na uwadze lokalizację przedsięwzięcia na terenie rolnym, charakter przedsięwzięcia zakładający rozbudowę funkcjonującego gospodarstwa rolnego, nałożone warunki realizacji przedsięwzięcia oraz przy zastosowaniu przepisów ochrony gatunkowej, nie przewiduje się znacząco negatywnego oddziaływania przedsięwzięcia na etapie realizacji, eksploatacji i likwidacji na środowisko przyrodnicze, w tym na krajobraz i bioróżnorodność rozumianą jako liczebność i kondycję populacji występujących gatunków, w</w:t>
      </w:r>
      <w:r w:rsidR="001A7E19">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szczególności gatunków chronionych, rzadkich lub ginących oraz ich siedliska, w tym utraty, fragmentacji lub izolacji siedlisk oraz zaburzenia funkcji przez nie pełnionych, a także wpływu na ekosystemy – ich kondycję, stabilność, odporność na zaburzenia, fragmentację i pełnione funkcje w</w:t>
      </w:r>
      <w:r w:rsidR="001A7E19">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 xml:space="preserve">środowisku. Przedsięwzięcie nie powinno także spowodować nadmiernej eksploatacji lub niewłaściwego wykorzystania zasobów przyrodniczych, czy przyczynić się do rozprzestrzeniania się gatunków obcych. </w:t>
      </w:r>
    </w:p>
    <w:p w14:paraId="485D3C93"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3BE9BA21" w14:textId="79FC9EB2"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Ze względu na lokalizację planowanego przedsięwzięcia poza obszarami Natura 2000 nie nastąpi jego negatywne oddziaływanie na te obszary, w</w:t>
      </w:r>
      <w:r w:rsidR="001A7E19">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 xml:space="preserve">szczególności na cele ochrony obszarów, gatunki, siedliska gatunków lub siedliska przyrodnicze będące przedmiotami ochrony obszarów Natura 2000, integralność obszarów Natura 2000 lub ich powiązanie z innymi obszarami. Nie przewiduje się również negatywnego oddziaływania skumulowanego planowanego przedsięwzięcia na środowisko przyrodnicze, w tym na przedmioty ochrony obszarów Natura 2000. </w:t>
      </w:r>
      <w:bookmarkEnd w:id="20"/>
      <w:r w:rsidRPr="004E61DD">
        <w:rPr>
          <w:rFonts w:ascii="Calibri" w:eastAsia="Times New Roman" w:hAnsi="Calibri" w:cs="Calibri"/>
          <w:sz w:val="28"/>
          <w:szCs w:val="28"/>
          <w:lang w:eastAsia="pl-PL"/>
        </w:rPr>
        <w:t>Wobec powyższego, nie zachodzi przesłanka do odmówienia zgody realizacji planowanego przedsięwzięcia, o</w:t>
      </w:r>
      <w:r w:rsidR="001A7E19">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 xml:space="preserve">której mowa w art. 81 ust. 2 ustawy. </w:t>
      </w:r>
    </w:p>
    <w:p w14:paraId="10965EF4" w14:textId="77777777"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Ponadto, z uwagi na lokalizację przedsięwzięcia na terenie przekształconym antropogenicznie, nie przewiduje się wpływu przedsięwzięcia na krajobraz obszaru, na którym będzie realizowane, w tym krajobraz kulturowy. </w:t>
      </w:r>
    </w:p>
    <w:p w14:paraId="73C57DBF" w14:textId="77777777"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Ocena oddziaływania przedmiotowego przedsięwzięcia na środowisko przedstawiona w raporcie dokonana została w oparciu o szczegółowe informacje i konkretne założenia przyjęte do analiz, w tym położenia istniejących i planowanego obiektu inwentarskiego na terenie gospodarstwa rolnego. Dla lokalizacji obiektów wskazanych w raporcie wykazano dochowanie norm jakości środowiska określonych w obowiązujących przepisach. Mając powyższe na uwadze, przy zachowaniu wszelkich ustaleń zawartych w raporcie oraz spełnieniu warunków realizacji przedsięwzięcia wskazanych w decyzji, przedmiotowe przedsięwzięcie nie będzie powodowało przekroczenia standardów jakości środowiska. Wobec powyższego w decyzji nie nałożono obowiązku monitorowania oddziaływania przedsięwzięcia na środowisko ani przedstawienia analizy porealizacyjnej.</w:t>
      </w:r>
    </w:p>
    <w:bookmarkEnd w:id="6"/>
    <w:p w14:paraId="7A75F0AF" w14:textId="77777777" w:rsidR="004E61DD" w:rsidRPr="004E61DD" w:rsidRDefault="004E61DD" w:rsidP="001A7E19">
      <w:pPr>
        <w:autoSpaceDE w:val="0"/>
        <w:autoSpaceDN w:val="0"/>
        <w:adjustRightInd w:val="0"/>
        <w:spacing w:after="120" w:line="240" w:lineRule="auto"/>
        <w:ind w:firstLine="708"/>
        <w:jc w:val="both"/>
        <w:rPr>
          <w:rFonts w:ascii="Calibri" w:eastAsia="Calibri" w:hAnsi="Calibri" w:cs="Times New Roman"/>
          <w:sz w:val="28"/>
        </w:rPr>
      </w:pPr>
      <w:r w:rsidRPr="004E61DD">
        <w:rPr>
          <w:rFonts w:ascii="Calibri" w:eastAsia="Times New Roman" w:hAnsi="Calibri" w:cs="Calibri"/>
          <w:color w:val="000000"/>
          <w:sz w:val="28"/>
          <w:szCs w:val="28"/>
          <w:lang w:eastAsia="pl-PL"/>
        </w:rPr>
        <w:t xml:space="preserve">Stosownie do art. 81 ust. 3 ustawy przeanalizowano wpływ przedmiotowego przedsięwzięcia na możliwość osiągnięcia celów środowiskowych, o których mowa w </w:t>
      </w:r>
      <w:hyperlink r:id="rId9" w:history="1">
        <w:r w:rsidRPr="004E61DD">
          <w:rPr>
            <w:rFonts w:ascii="Calibri" w:eastAsia="Times New Roman" w:hAnsi="Calibri" w:cs="Calibri"/>
            <w:color w:val="000000"/>
            <w:sz w:val="28"/>
            <w:szCs w:val="28"/>
            <w:lang w:eastAsia="pl-PL"/>
          </w:rPr>
          <w:t>art. 56</w:t>
        </w:r>
      </w:hyperlink>
      <w:r w:rsidRPr="004E61DD">
        <w:rPr>
          <w:rFonts w:ascii="Calibri" w:eastAsia="Times New Roman" w:hAnsi="Calibri" w:cs="Calibri"/>
          <w:color w:val="000000"/>
          <w:sz w:val="28"/>
          <w:szCs w:val="28"/>
          <w:lang w:eastAsia="pl-PL"/>
        </w:rPr>
        <w:t xml:space="preserve">, </w:t>
      </w:r>
      <w:hyperlink r:id="rId10" w:history="1">
        <w:r w:rsidRPr="004E61DD">
          <w:rPr>
            <w:rFonts w:ascii="Calibri" w:eastAsia="Times New Roman" w:hAnsi="Calibri" w:cs="Calibri"/>
            <w:color w:val="000000"/>
            <w:sz w:val="28"/>
            <w:szCs w:val="28"/>
            <w:lang w:eastAsia="pl-PL"/>
          </w:rPr>
          <w:t>art. 57</w:t>
        </w:r>
      </w:hyperlink>
      <w:r w:rsidRPr="004E61DD">
        <w:rPr>
          <w:rFonts w:ascii="Calibri" w:eastAsia="Times New Roman" w:hAnsi="Calibri" w:cs="Calibri"/>
          <w:color w:val="000000"/>
          <w:sz w:val="28"/>
          <w:szCs w:val="28"/>
          <w:lang w:eastAsia="pl-PL"/>
        </w:rPr>
        <w:t xml:space="preserve">, </w:t>
      </w:r>
      <w:hyperlink r:id="rId11" w:history="1">
        <w:r w:rsidRPr="004E61DD">
          <w:rPr>
            <w:rFonts w:ascii="Calibri" w:eastAsia="Times New Roman" w:hAnsi="Calibri" w:cs="Calibri"/>
            <w:color w:val="000000"/>
            <w:sz w:val="28"/>
            <w:szCs w:val="28"/>
            <w:lang w:eastAsia="pl-PL"/>
          </w:rPr>
          <w:t>art. 59</w:t>
        </w:r>
      </w:hyperlink>
      <w:r w:rsidRPr="004E61DD">
        <w:rPr>
          <w:rFonts w:ascii="Calibri" w:eastAsia="Times New Roman" w:hAnsi="Calibri" w:cs="Calibri"/>
          <w:color w:val="000000"/>
          <w:sz w:val="28"/>
          <w:szCs w:val="28"/>
          <w:lang w:eastAsia="pl-PL"/>
        </w:rPr>
        <w:t xml:space="preserve"> oraz </w:t>
      </w:r>
      <w:hyperlink r:id="rId12" w:history="1">
        <w:r w:rsidRPr="004E61DD">
          <w:rPr>
            <w:rFonts w:ascii="Calibri" w:eastAsia="Times New Roman" w:hAnsi="Calibri" w:cs="Calibri"/>
            <w:color w:val="000000"/>
            <w:sz w:val="28"/>
            <w:szCs w:val="28"/>
            <w:lang w:eastAsia="pl-PL"/>
          </w:rPr>
          <w:t>art. 61</w:t>
        </w:r>
      </w:hyperlink>
      <w:r w:rsidRPr="004E61DD">
        <w:rPr>
          <w:rFonts w:ascii="Calibri" w:eastAsia="Times New Roman" w:hAnsi="Calibri" w:cs="Calibri"/>
          <w:color w:val="000000"/>
          <w:sz w:val="28"/>
          <w:szCs w:val="28"/>
          <w:lang w:eastAsia="pl-PL"/>
        </w:rPr>
        <w:t xml:space="preserve"> ustawy z dnia 20 lipca 2017 r. – Prawo wodne. Ustalono, że planowane przedsięwzięcie zlokalizowane jest w granicach jednolitej części wód podziemnych (jcwpd) o kodach PLGW600061 i PLGW600070 oraz w granicach jednolitej części wód powierzchniowych (jcwp) o kodach PLRW60002518567299 Racocki Rów i</w:t>
      </w:r>
      <w:bookmarkStart w:id="21" w:name="_Hlk89340917"/>
      <w:r w:rsidRPr="004E61DD">
        <w:rPr>
          <w:rFonts w:ascii="Calibri" w:eastAsia="Times New Roman" w:hAnsi="Calibri" w:cs="Calibri"/>
          <w:color w:val="000000"/>
          <w:sz w:val="28"/>
          <w:szCs w:val="28"/>
          <w:lang w:eastAsia="pl-PL"/>
        </w:rPr>
        <w:t> </w:t>
      </w:r>
      <w:bookmarkStart w:id="22" w:name="_Hlk103950137"/>
      <w:r w:rsidRPr="004E61DD">
        <w:rPr>
          <w:rFonts w:ascii="Calibri" w:eastAsia="Times New Roman" w:hAnsi="Calibri" w:cs="Calibri"/>
          <w:color w:val="000000"/>
          <w:sz w:val="28"/>
          <w:szCs w:val="28"/>
          <w:lang w:eastAsia="pl-PL"/>
        </w:rPr>
        <w:t>PLRW600017185549</w:t>
      </w:r>
      <w:bookmarkEnd w:id="22"/>
      <w:r w:rsidRPr="004E61DD">
        <w:rPr>
          <w:rFonts w:ascii="Calibri" w:eastAsia="Times New Roman" w:hAnsi="Calibri" w:cs="Calibri"/>
          <w:color w:val="000000"/>
          <w:sz w:val="28"/>
          <w:szCs w:val="28"/>
          <w:lang w:eastAsia="pl-PL"/>
        </w:rPr>
        <w:t xml:space="preserve"> </w:t>
      </w:r>
      <w:bookmarkEnd w:id="21"/>
      <w:r w:rsidRPr="004E61DD">
        <w:rPr>
          <w:rFonts w:ascii="Calibri" w:eastAsia="Times New Roman" w:hAnsi="Calibri" w:cs="Calibri"/>
          <w:color w:val="000000"/>
          <w:sz w:val="28"/>
          <w:szCs w:val="28"/>
          <w:lang w:eastAsia="pl-PL"/>
        </w:rPr>
        <w:t>Pysząca. Zgodnie z obowiązującym „Planem gospodarowania wodami na obszarze dorzecza Odry” jcwpd o kodzie PLGW600061 charakteryzuje się dobrym stanem ilościowym oraz chemicznym, a w odniesieniu do ryzyka nieosiągnięcia celów środowiskowych została uznana za niezagrożoną.</w:t>
      </w:r>
      <w:r w:rsidRPr="004E61DD">
        <w:rPr>
          <w:rFonts w:ascii="Calibri" w:eastAsia="Calibri" w:hAnsi="Calibri" w:cs="Times New Roman"/>
          <w:sz w:val="28"/>
        </w:rPr>
        <w:t xml:space="preserve"> </w:t>
      </w:r>
    </w:p>
    <w:p w14:paraId="199F63C9" w14:textId="77777777"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color w:val="000000"/>
          <w:sz w:val="28"/>
          <w:szCs w:val="28"/>
          <w:lang w:eastAsia="pl-PL"/>
        </w:rPr>
      </w:pPr>
      <w:r w:rsidRPr="004E61DD">
        <w:rPr>
          <w:rFonts w:ascii="Calibri" w:eastAsia="Times New Roman" w:hAnsi="Calibri" w:cs="Calibri"/>
          <w:color w:val="000000"/>
          <w:sz w:val="28"/>
          <w:szCs w:val="28"/>
          <w:lang w:eastAsia="pl-PL"/>
        </w:rPr>
        <w:lastRenderedPageBreak/>
        <w:t>Jcwpd o kodzie PLGW600070 charakteryzuje się dobrym stanem ilościowym oraz chemicznym, jednak w odniesieniu do ryzyka nieosiągnięcia celów środowiskowych została uznana za zagrożoną. Jcwp o kodach PLRW60002518567299 i PLRW600017185549 posiadają aktualnie zły stan i uznane zostały za zagrożone ryzykiem nieosiągnięcia celów środowiskowych.</w:t>
      </w:r>
    </w:p>
    <w:p w14:paraId="12C3D364" w14:textId="77777777"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color w:val="000000"/>
          <w:sz w:val="28"/>
          <w:szCs w:val="28"/>
          <w:lang w:eastAsia="pl-PL"/>
        </w:rPr>
      </w:pPr>
      <w:r w:rsidRPr="004E61DD">
        <w:rPr>
          <w:rFonts w:ascii="Calibri" w:eastAsia="Times New Roman" w:hAnsi="Calibri" w:cs="Calibri"/>
          <w:color w:val="000000"/>
          <w:sz w:val="28"/>
          <w:szCs w:val="28"/>
          <w:lang w:eastAsia="pl-PL"/>
        </w:rPr>
        <w:t xml:space="preserve">Mając na względzie charakter przedsięwzięcia, zastosowane rozwiązania i technologie, skalę oddziaływania, gospodarowanie powstającymi nawozami naturalnymi zgodnie z Rozporządzeniem Rady Ministrów z dnia 12 lutego 2020 r. w sprawie przyjęcia "Programu działań mających na celu zmniejszenie zanieczyszczenia wód azotanami pochodzącymi ze źródeł rolniczych oraz zapobieganie dalszemu zanieczyszczeniu" i art. 105 ustawy z dnia 20 lipca 2017 r. - Prawo wodne, przy założeniu realizacji określonych w decyzji warunków, nie stwierdza się wpływu przedsięwzięcia na możliwość osiągnięcia celów środowiskowych na pozostające w zasięgu oddziaływania jednolite części wód w zakresie stwarzającym zagrożenie dla realizacji tych celów, o których mowa w art. 56, art. 57, art. 59 i art. 61 ustawy z dnia 20 lipca 2017 r. – Prawo wodne, a określonych dla tych części wód w „Planie gospodarowania wodami na obszarze dorzecza Odry”. Wobec powyższego w przedmiotowej sprawie nie zachodzi przesłanka do odmówienia zgody realizacji planowanego przedsięwzięcia, o której mowa w art. 81 ust. 3 ustawy. </w:t>
      </w:r>
    </w:p>
    <w:p w14:paraId="7D914DBC" w14:textId="65EF8D6F" w:rsidR="004E61DD" w:rsidRPr="004E61DD" w:rsidRDefault="004E61DD" w:rsidP="001A7E19">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Na podstawie raportu i posiadanych przez Urząd materiałów kartograficznych ustalono, że w sąsiedztwie lub w bezpośrednim zasięgu oddziaływania planowanego przedsięwzięcia nie znajdują się zabytki chronione na podstawie ustawy z dnia 23 lipca 2003 r. o ochronie zabytków i</w:t>
      </w:r>
      <w:r w:rsidR="001A7E19">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 xml:space="preserve">opiece nad zabytkami (Dz. U. z 2022 r. poz. 840). </w:t>
      </w:r>
    </w:p>
    <w:p w14:paraId="4A601E28" w14:textId="77777777" w:rsidR="004E61DD" w:rsidRPr="004E61DD" w:rsidRDefault="004E61DD" w:rsidP="001A7E19">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Realizacja planowanego przedsięwzięcia nie będzie miała bezpośredniego i pośredniego wpływu na dobra materialne znajdujące się w sąsiedztwie przedsięwzięcia czy dostępność do złóż kopalin. W związku z realizacją przedsięwzięcia nie przewiduje się prowadzenia prac rozbiórkowych. </w:t>
      </w:r>
    </w:p>
    <w:p w14:paraId="6471BDEB" w14:textId="77777777" w:rsidR="004E61DD" w:rsidRPr="004E61DD" w:rsidRDefault="004E61DD" w:rsidP="001A7E19">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Przedsięwzięcie nie będzie wyposażone w instalację do spalania paliw w celu wytwarzania energii elektrycznej, dlatego w decyzji nie określono gotowości instalacji do wychwytywania dwutlenku węgla.</w:t>
      </w:r>
    </w:p>
    <w:p w14:paraId="7A8FD4F5" w14:textId="77777777" w:rsidR="004E61DD" w:rsidRPr="004E61DD" w:rsidRDefault="004E61DD" w:rsidP="004E61DD">
      <w:pPr>
        <w:spacing w:after="12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ab/>
      </w:r>
    </w:p>
    <w:p w14:paraId="7AE9AD1E"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71A34A50" w14:textId="77777777" w:rsidR="004E61DD" w:rsidRPr="004E61DD" w:rsidRDefault="004E61DD" w:rsidP="001A7E19">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 xml:space="preserve">Zgodnie z art. 80 ust. 2 ustawy właściwy organ wydaje decyzję o środowiskowych uwarunkowaniach po stwierdzeniu zgodności lokalizacji przedsięwzięcia z ustaleniami miejscowego planu zagospodarowania przestrzennego, jeżeli plan ten został uchwalony. Planowane przedsięwzięcie nie znajduje się w obszarze objętym ustaleniami obowiązującego miejscowego planu zagospodarowania przestrzennego. </w:t>
      </w:r>
    </w:p>
    <w:p w14:paraId="2066C6FE" w14:textId="77777777" w:rsidR="004E61DD" w:rsidRPr="004E61DD" w:rsidRDefault="004E61DD" w:rsidP="001A7E19">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Zgodnie ze stanowiskami Regionalnego Dyrektora Ochrony Środowiska w Poznaniu i Dyrektora Regionalnego Zarządu Gospodarki Wodnej Państwowego Gospodarstwa Wodnego Wody Polskie w Poznaniu, ze względu na szczegółowy i jednoznaczny opis planowanej do zastosowania technologii oraz stosowanych środków mających na celu minimalizację negatywnego oddziaływania na środowisko planowanego przedsięwzięcia, w decyzji nie wskazano konieczności ponownego przeprowadzenia oceny oddziaływania przedsięwzięcia na środowisko, w ramach postępowania w sprawie wydania decyzji, o których mowa w art. 72 ust. 1 pkt 1 ustawy. Jednocześnie zgodnie ze stanowiskami Organów, ze względu na lokalizację przedmiotowego gospodarstwa rolnego w dużej odległości od granic państwa oraz zasięg oddziaływania przedsięwzięcia, w decyzji nie stwierdzono również konieczności przeprowadzenia postępowania w sprawie transgranicznego oddziaływania na środowisko.</w:t>
      </w:r>
    </w:p>
    <w:p w14:paraId="21ECAF5B" w14:textId="6EB2E328" w:rsidR="004E61DD" w:rsidRPr="004E61DD" w:rsidRDefault="004E61DD" w:rsidP="001A7E19">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W niniejszej decyzji nałożono obowiązek unikania, zapobiegania oraz ograniczania oddziaływania przedsięwzięcia na środowisko, w zakresie gospodarki wodno-ściekowej, emisji substancji zanieczyszczających do powietrza, w tym hałasu, gospodarki odpadami, przy zastosowaniu rozwiązań wskazanych w raporcie oraz w postanowieniach i opinii Regionalnego Dyrektora Ochrony Środowiska w Poznaniu, Dyrektora Regionalnego Zarządu Gospodarki Wodnej Państwowego Gospodarstwa Wodnego Wody Polskie w</w:t>
      </w:r>
      <w:r w:rsidR="001A7E19">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Poznaniu i Państwowego Powiatowego Inspektora Sanitarnego w Śremie.</w:t>
      </w:r>
    </w:p>
    <w:p w14:paraId="100FE890" w14:textId="77777777" w:rsidR="004E61DD" w:rsidRPr="004E61DD" w:rsidRDefault="004E61DD" w:rsidP="001A7E19">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W ramach postępowania z udziałem społeczeństwa do Burmistrza Śremu nie wpłynęły żadne uwagi i wnioski.</w:t>
      </w:r>
    </w:p>
    <w:p w14:paraId="4D59A01F" w14:textId="77777777" w:rsidR="004E61DD" w:rsidRPr="004E61DD" w:rsidRDefault="004E61DD" w:rsidP="001A7E19">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Odnosząc się do art. 81 ust. 1 ustawy z oceny oddziaływania przedsięwzięcia na środowisko nie wynika zasadność wskazania przez Burmistrza Śremu realizacji przedsięwzięcia w wariancie innym niż proponowanym przez Wnioskodawcę.</w:t>
      </w:r>
    </w:p>
    <w:p w14:paraId="0260ADDE"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51FAC0A4" w14:textId="4503EFA7" w:rsidR="004E61DD" w:rsidRPr="004E61DD" w:rsidRDefault="004E61DD" w:rsidP="001A7E19">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Wnioskodawca zapewnia, że zastosowane rozwiązania techniczne i technologiczne są prawidłowe z punktu widzenia ochrony środowiska i zostały zaplanowane zgodnie ze współczesną wiedzą techniczną w oparciu o</w:t>
      </w:r>
      <w:r w:rsidR="00852A4F">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aktualne przepisy prawa. W decyzji określono warunki wykorzystywania terenu w trakcie realizacji przedsięwzięcia oraz wymagania dotyczące ochrony środowiska konieczne do uwzględnienia w projekcie zagospodarowania działki lub terenu lub projekcie architektoniczno-budowlanym, wynikające z</w:t>
      </w:r>
      <w:r w:rsidR="00852A4F">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rodzaju przedsięwzięcia.</w:t>
      </w:r>
    </w:p>
    <w:p w14:paraId="1BBD26C1" w14:textId="7FEB910D" w:rsidR="004E61DD" w:rsidRPr="004E61DD" w:rsidRDefault="004E61DD" w:rsidP="001A7E19">
      <w:pPr>
        <w:spacing w:after="120" w:line="240" w:lineRule="auto"/>
        <w:ind w:firstLine="708"/>
        <w:jc w:val="both"/>
        <w:rPr>
          <w:rFonts w:ascii="Calibri" w:eastAsia="Times New Roman" w:hAnsi="Calibri" w:cs="Calibri"/>
          <w:sz w:val="28"/>
          <w:szCs w:val="28"/>
          <w:u w:val="single"/>
          <w:lang w:eastAsia="pl-PL"/>
        </w:rPr>
      </w:pPr>
      <w:r w:rsidRPr="004E61DD">
        <w:rPr>
          <w:rFonts w:ascii="Calibri" w:eastAsia="Times New Roman" w:hAnsi="Calibri" w:cs="Calibri"/>
          <w:sz w:val="28"/>
          <w:szCs w:val="28"/>
          <w:lang w:eastAsia="pl-PL"/>
        </w:rPr>
        <w:t>W związku z powyższym, po przeprowadzeniu analizy i oceny wpływu przedsięwzięcia na środowisko oraz biorąc pod uwagę stanowiska właściwych organów, Burmistrz Śremu stwierdził, że przedsięwzięcie będzie zgodne z</w:t>
      </w:r>
      <w:r w:rsidR="00852A4F">
        <w:rPr>
          <w:rFonts w:ascii="Calibri" w:eastAsia="Times New Roman" w:hAnsi="Calibri" w:cs="Calibri"/>
          <w:sz w:val="28"/>
          <w:szCs w:val="28"/>
          <w:lang w:eastAsia="pl-PL"/>
        </w:rPr>
        <w:t> </w:t>
      </w:r>
      <w:r w:rsidRPr="004E61DD">
        <w:rPr>
          <w:rFonts w:ascii="Calibri" w:eastAsia="Times New Roman" w:hAnsi="Calibri" w:cs="Calibri"/>
          <w:sz w:val="28"/>
          <w:szCs w:val="28"/>
          <w:lang w:eastAsia="pl-PL"/>
        </w:rPr>
        <w:t xml:space="preserve">wymaganiami ochrony środowiska, jeśli zostaną spełnione warunki określone w raporcie i w decyzji o środowiskowych uwarunkowaniach. Ponadto, podmiot realizujący przedsięwzięcie zobowiązany jest do dotrzymania standardów jakości środowiska określonych w przepisach odrębnych. </w:t>
      </w:r>
    </w:p>
    <w:p w14:paraId="4284760E" w14:textId="77777777" w:rsidR="004E61DD" w:rsidRPr="004E61DD" w:rsidRDefault="004E61DD" w:rsidP="001A7E19">
      <w:pPr>
        <w:spacing w:after="120" w:line="240" w:lineRule="auto"/>
        <w:ind w:firstLine="708"/>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Biorąc powyższe pod uwagę orzeczono jak w osnowie decyzji</w:t>
      </w:r>
    </w:p>
    <w:p w14:paraId="6EB1DCE9" w14:textId="77777777" w:rsidR="004E61DD" w:rsidRPr="004E61DD" w:rsidRDefault="004E61DD" w:rsidP="004E61DD">
      <w:pPr>
        <w:spacing w:after="120" w:line="240" w:lineRule="auto"/>
        <w:jc w:val="center"/>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Pouczenie</w:t>
      </w:r>
    </w:p>
    <w:p w14:paraId="3874D114" w14:textId="77777777" w:rsidR="004E61DD" w:rsidRPr="004E61DD" w:rsidRDefault="004E61DD" w:rsidP="004E61DD">
      <w:pPr>
        <w:numPr>
          <w:ilvl w:val="0"/>
          <w:numId w:val="4"/>
        </w:numPr>
        <w:spacing w:after="120" w:line="240" w:lineRule="auto"/>
        <w:ind w:left="284" w:hanging="284"/>
        <w:contextualSpacing/>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7485BE9C" w14:textId="77777777" w:rsidR="004E61DD" w:rsidRPr="004E61DD" w:rsidRDefault="004E61DD" w:rsidP="001A7E19">
      <w:pPr>
        <w:spacing w:after="120" w:line="240" w:lineRule="auto"/>
        <w:ind w:left="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W trakcie biegu terminu do wniesienia odwołania strona może, na podstawie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49EE586A" w14:textId="77777777" w:rsidR="004E61DD" w:rsidRPr="004E61DD" w:rsidRDefault="004E61DD" w:rsidP="004E61DD">
      <w:pPr>
        <w:numPr>
          <w:ilvl w:val="0"/>
          <w:numId w:val="4"/>
        </w:numPr>
        <w:spacing w:after="120" w:line="240" w:lineRule="auto"/>
        <w:ind w:left="284" w:hanging="284"/>
        <w:contextualSpacing/>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w:t>
      </w:r>
    </w:p>
    <w:p w14:paraId="57C2AA28"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62069D97" w14:textId="77777777" w:rsidR="004E61DD" w:rsidRPr="004E61DD" w:rsidRDefault="004E61DD" w:rsidP="001A7E19">
      <w:pPr>
        <w:spacing w:after="120" w:line="240" w:lineRule="auto"/>
        <w:ind w:left="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32D89AA0" w14:textId="77777777" w:rsidR="004E61DD" w:rsidRPr="004E61DD" w:rsidRDefault="004E61DD" w:rsidP="004E61DD">
      <w:pPr>
        <w:numPr>
          <w:ilvl w:val="0"/>
          <w:numId w:val="4"/>
        </w:numPr>
        <w:spacing w:after="120" w:line="240" w:lineRule="auto"/>
        <w:ind w:left="284" w:hanging="284"/>
        <w:contextualSpacing/>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Decyzja o środowiskowych uwarunkowaniach wiąże organy: </w:t>
      </w:r>
    </w:p>
    <w:p w14:paraId="3AB0ADC3" w14:textId="77777777" w:rsidR="004E61DD" w:rsidRPr="004E61DD" w:rsidRDefault="004E61DD" w:rsidP="004E61DD">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2706F02D" w14:textId="77777777" w:rsidR="004E61DD" w:rsidRPr="004E61DD" w:rsidRDefault="004E61DD" w:rsidP="004E61DD">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wydające decyzje, o których mowa w art. 72 ust. 1 ustawy; </w:t>
      </w:r>
    </w:p>
    <w:p w14:paraId="5038BC1F" w14:textId="77777777" w:rsidR="004E61DD" w:rsidRPr="004E61DD" w:rsidRDefault="004E61DD" w:rsidP="004E61DD">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przyjmujące zgłoszenia, o których mowa w art. 72 ust. 1a ustawy.</w:t>
      </w:r>
    </w:p>
    <w:p w14:paraId="2B95DFEF" w14:textId="77777777" w:rsidR="004E61DD" w:rsidRPr="004E61DD" w:rsidRDefault="004E61DD" w:rsidP="004E61DD">
      <w:pPr>
        <w:spacing w:after="120" w:line="240" w:lineRule="auto"/>
        <w:jc w:val="both"/>
        <w:rPr>
          <w:rFonts w:ascii="Calibri" w:eastAsia="Times New Roman" w:hAnsi="Calibri" w:cs="Calibri"/>
          <w:sz w:val="28"/>
          <w:szCs w:val="28"/>
          <w:lang w:eastAsia="pl-PL"/>
        </w:rPr>
      </w:pPr>
    </w:p>
    <w:p w14:paraId="2FBC922A" w14:textId="68653073" w:rsidR="004E61DD" w:rsidRPr="004E61DD" w:rsidRDefault="004E61DD" w:rsidP="001A7E19">
      <w:pPr>
        <w:spacing w:after="0" w:line="240" w:lineRule="auto"/>
        <w:ind w:left="2832"/>
        <w:jc w:val="center"/>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 up. BURMISTRZA</w:t>
      </w:r>
    </w:p>
    <w:p w14:paraId="704033E4" w14:textId="77777777" w:rsidR="004E61DD" w:rsidRPr="004E61DD" w:rsidRDefault="004E61DD" w:rsidP="001A7E19">
      <w:pPr>
        <w:spacing w:after="0" w:line="240" w:lineRule="auto"/>
        <w:ind w:left="2832"/>
        <w:jc w:val="center"/>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Katarzyna Bednarowicz</w:t>
      </w:r>
    </w:p>
    <w:p w14:paraId="6A139B7A" w14:textId="77777777" w:rsidR="004E61DD" w:rsidRPr="004E61DD" w:rsidRDefault="004E61DD" w:rsidP="001A7E19">
      <w:pPr>
        <w:spacing w:after="0" w:line="240" w:lineRule="auto"/>
        <w:ind w:left="2832"/>
        <w:jc w:val="center"/>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naczelnik Pionu Gospodarowania</w:t>
      </w:r>
    </w:p>
    <w:p w14:paraId="0D4075A9" w14:textId="77777777" w:rsidR="004E61DD" w:rsidRPr="004E61DD" w:rsidRDefault="004E61DD" w:rsidP="001A7E19">
      <w:pPr>
        <w:spacing w:after="0" w:line="240" w:lineRule="auto"/>
        <w:ind w:left="2832"/>
        <w:jc w:val="center"/>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Przestrzenią i Środowiskiem</w:t>
      </w:r>
    </w:p>
    <w:p w14:paraId="64107C81" w14:textId="77777777" w:rsidR="004E61DD" w:rsidRPr="004E61DD" w:rsidRDefault="004E61DD" w:rsidP="004E61DD">
      <w:pPr>
        <w:spacing w:after="120" w:line="240" w:lineRule="auto"/>
        <w:jc w:val="both"/>
        <w:rPr>
          <w:rFonts w:ascii="Calibri" w:eastAsia="Times New Roman" w:hAnsi="Calibri" w:cs="Calibri"/>
          <w:sz w:val="28"/>
          <w:szCs w:val="28"/>
          <w:lang w:eastAsia="pl-PL"/>
        </w:rPr>
      </w:pPr>
    </w:p>
    <w:p w14:paraId="678545A4" w14:textId="77777777" w:rsidR="004E61DD" w:rsidRPr="004E61DD" w:rsidRDefault="004E61DD" w:rsidP="004E61DD">
      <w:pPr>
        <w:spacing w:after="12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Załączniki:</w:t>
      </w:r>
    </w:p>
    <w:p w14:paraId="7ECD8A2D" w14:textId="77777777" w:rsidR="004E61DD" w:rsidRPr="004E61DD" w:rsidRDefault="004E61DD" w:rsidP="004E61DD">
      <w:pPr>
        <w:spacing w:after="12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1. Charakterystyka całego przedsięwzięcia.</w:t>
      </w:r>
    </w:p>
    <w:p w14:paraId="2E3AEC3D" w14:textId="77777777" w:rsidR="004E61DD" w:rsidRPr="004E61DD" w:rsidRDefault="004E61DD" w:rsidP="004E61DD">
      <w:pPr>
        <w:spacing w:after="120" w:line="240" w:lineRule="auto"/>
        <w:jc w:val="center"/>
        <w:rPr>
          <w:rFonts w:ascii="Calibri" w:eastAsia="Times New Roman" w:hAnsi="Calibri" w:cs="Calibri"/>
          <w:sz w:val="28"/>
          <w:szCs w:val="28"/>
          <w:lang w:eastAsia="pl-PL"/>
        </w:rPr>
      </w:pPr>
    </w:p>
    <w:p w14:paraId="2585BECC"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Sprawę prowadzi:</w:t>
      </w:r>
    </w:p>
    <w:p w14:paraId="16F55B66"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Małgorzata Borowska</w:t>
      </w:r>
    </w:p>
    <w:p w14:paraId="5DC00FE0"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inspektor</w:t>
      </w:r>
    </w:p>
    <w:p w14:paraId="2C2DEA94"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tel. 61 28 47 140</w:t>
      </w:r>
    </w:p>
    <w:p w14:paraId="788D004F" w14:textId="77777777" w:rsidR="004E61DD" w:rsidRPr="004E61DD" w:rsidRDefault="004E61DD" w:rsidP="004E61DD">
      <w:pPr>
        <w:spacing w:after="120" w:line="240" w:lineRule="auto"/>
        <w:jc w:val="both"/>
        <w:rPr>
          <w:rFonts w:ascii="Calibri" w:eastAsia="Times New Roman" w:hAnsi="Calibri" w:cs="Calibri"/>
          <w:sz w:val="28"/>
          <w:szCs w:val="28"/>
          <w:lang w:eastAsia="pl-PL"/>
        </w:rPr>
      </w:pPr>
    </w:p>
    <w:p w14:paraId="5451E104"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64323C47"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lastRenderedPageBreak/>
        <w:t>Otrzymują:</w:t>
      </w:r>
    </w:p>
    <w:p w14:paraId="763F6A39" w14:textId="77777777" w:rsidR="004E61DD" w:rsidRPr="004E61DD" w:rsidRDefault="004E61DD" w:rsidP="004E61DD">
      <w:pPr>
        <w:numPr>
          <w:ilvl w:val="0"/>
          <w:numId w:val="39"/>
        </w:numPr>
        <w:spacing w:after="0" w:line="240" w:lineRule="auto"/>
        <w:ind w:left="284" w:hanging="284"/>
        <w:contextualSpacing/>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Strony postępowania:</w:t>
      </w:r>
    </w:p>
    <w:p w14:paraId="79DB0543" w14:textId="77777777" w:rsidR="004E61DD" w:rsidRPr="004E61DD" w:rsidRDefault="004E61DD" w:rsidP="004E61DD">
      <w:pPr>
        <w:numPr>
          <w:ilvl w:val="3"/>
          <w:numId w:val="39"/>
        </w:numPr>
        <w:spacing w:after="0" w:line="240" w:lineRule="auto"/>
        <w:ind w:left="567" w:hanging="283"/>
        <w:contextualSpacing/>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Gospodarstwo Rolne Piotr Jędrzejczak, Kadzewo 14, 63-100 Śrem</w:t>
      </w:r>
    </w:p>
    <w:p w14:paraId="6265E595" w14:textId="77777777" w:rsidR="004E61DD" w:rsidRPr="004E61DD" w:rsidRDefault="004E61DD" w:rsidP="001A7E19">
      <w:pPr>
        <w:spacing w:after="0" w:line="240" w:lineRule="auto"/>
        <w:ind w:firstLine="567"/>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pełnomocnik: Pani Katarzyna Szymurska, ul. Lotnicza 21b, 99-100 Łęczyca</w:t>
      </w:r>
    </w:p>
    <w:p w14:paraId="7A2563E9" w14:textId="77777777" w:rsidR="004E61DD" w:rsidRPr="004E61DD" w:rsidRDefault="004E61DD" w:rsidP="004E61DD">
      <w:pPr>
        <w:numPr>
          <w:ilvl w:val="3"/>
          <w:numId w:val="39"/>
        </w:numPr>
        <w:spacing w:after="0" w:line="240" w:lineRule="auto"/>
        <w:ind w:left="567" w:hanging="283"/>
        <w:contextualSpacing/>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Państwowe Gospodarstwo Wodne Wody Polskie Regionalny Zarząd Gospodarki Wodnej w Poznaniu (ePUAP)</w:t>
      </w:r>
    </w:p>
    <w:p w14:paraId="0776D93C" w14:textId="77777777" w:rsidR="004E61DD" w:rsidRPr="004E61DD" w:rsidRDefault="004E61DD" w:rsidP="004E61DD">
      <w:pPr>
        <w:numPr>
          <w:ilvl w:val="3"/>
          <w:numId w:val="39"/>
        </w:numPr>
        <w:spacing w:after="0" w:line="240" w:lineRule="auto"/>
        <w:ind w:left="567" w:hanging="283"/>
        <w:contextualSpacing/>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Powiat Śremski (ePUAP)</w:t>
      </w:r>
    </w:p>
    <w:p w14:paraId="75788260" w14:textId="77777777" w:rsidR="004E61DD" w:rsidRPr="004E61DD" w:rsidRDefault="004E61DD" w:rsidP="004E61DD">
      <w:pPr>
        <w:numPr>
          <w:ilvl w:val="3"/>
          <w:numId w:val="39"/>
        </w:numPr>
        <w:spacing w:after="0" w:line="240" w:lineRule="auto"/>
        <w:ind w:left="567" w:hanging="283"/>
        <w:contextualSpacing/>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Krajowy Ośrodek Wsparcia Rolnictwa Oddział Terenowy w Poznaniu (ePUAP)</w:t>
      </w:r>
    </w:p>
    <w:p w14:paraId="2B2E83D4" w14:textId="77777777" w:rsidR="004E61DD" w:rsidRPr="004E61DD" w:rsidRDefault="004E61DD" w:rsidP="004E61DD">
      <w:pPr>
        <w:numPr>
          <w:ilvl w:val="3"/>
          <w:numId w:val="39"/>
        </w:numPr>
        <w:spacing w:after="0" w:line="240" w:lineRule="auto"/>
        <w:ind w:left="567" w:hanging="283"/>
        <w:contextualSpacing/>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„Plantico- Hodowla i Nasiennictwo Ogrodnicze Zielonki” Sp. z o.o. Zielonki Parcela, ul. Parkowa 1A, 05-082 Stare Babice</w:t>
      </w:r>
    </w:p>
    <w:p w14:paraId="328425AC" w14:textId="77777777" w:rsidR="004E61DD" w:rsidRPr="004E61DD" w:rsidRDefault="004E61DD" w:rsidP="004E61DD">
      <w:pPr>
        <w:numPr>
          <w:ilvl w:val="3"/>
          <w:numId w:val="39"/>
        </w:numPr>
        <w:spacing w:after="0" w:line="240" w:lineRule="auto"/>
        <w:ind w:left="567" w:hanging="283"/>
        <w:contextualSpacing/>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Pozostałe strony postępowania według rozdzielnika (strona 34)</w:t>
      </w:r>
    </w:p>
    <w:p w14:paraId="12A6002B" w14:textId="77777777" w:rsidR="004E61DD" w:rsidRPr="004E61DD" w:rsidRDefault="004E61DD" w:rsidP="004E61DD">
      <w:pPr>
        <w:numPr>
          <w:ilvl w:val="0"/>
          <w:numId w:val="39"/>
        </w:numPr>
        <w:spacing w:after="0" w:line="240" w:lineRule="auto"/>
        <w:ind w:left="284" w:hanging="284"/>
        <w:contextualSpacing/>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Marszałek Województwa Wielkopolskiego, zgodnie z art. 86a ustawy</w:t>
      </w:r>
    </w:p>
    <w:p w14:paraId="05612C72" w14:textId="77777777" w:rsidR="004E61DD" w:rsidRPr="004E61DD" w:rsidRDefault="004E61DD" w:rsidP="004E61DD">
      <w:pPr>
        <w:numPr>
          <w:ilvl w:val="0"/>
          <w:numId w:val="39"/>
        </w:numPr>
        <w:spacing w:after="0" w:line="240" w:lineRule="auto"/>
        <w:ind w:left="284" w:hanging="284"/>
        <w:contextualSpacing/>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aa </w:t>
      </w:r>
    </w:p>
    <w:p w14:paraId="7BF2B514" w14:textId="77777777" w:rsidR="004E61DD" w:rsidRPr="004E61DD" w:rsidRDefault="004E61DD" w:rsidP="004E61DD">
      <w:pPr>
        <w:tabs>
          <w:tab w:val="left" w:pos="284"/>
        </w:tabs>
        <w:spacing w:after="120" w:line="240" w:lineRule="auto"/>
        <w:jc w:val="both"/>
        <w:rPr>
          <w:rFonts w:ascii="Calibri" w:eastAsia="Times New Roman" w:hAnsi="Calibri" w:cs="Calibri"/>
          <w:sz w:val="28"/>
          <w:szCs w:val="28"/>
          <w:lang w:eastAsia="pl-PL"/>
        </w:rPr>
      </w:pPr>
    </w:p>
    <w:p w14:paraId="2919ABCA" w14:textId="77777777" w:rsidR="004E61DD" w:rsidRPr="004E61DD" w:rsidRDefault="004E61DD" w:rsidP="004E61DD">
      <w:pPr>
        <w:tabs>
          <w:tab w:val="left" w:pos="284"/>
        </w:tabs>
        <w:spacing w:after="120" w:line="240" w:lineRule="auto"/>
        <w:jc w:val="both"/>
        <w:rPr>
          <w:rFonts w:ascii="Calibri" w:eastAsia="Times New Roman" w:hAnsi="Calibri" w:cs="Calibri"/>
          <w:sz w:val="28"/>
          <w:szCs w:val="28"/>
          <w:lang w:eastAsia="pl-PL"/>
        </w:rPr>
      </w:pPr>
    </w:p>
    <w:p w14:paraId="58E03109" w14:textId="77777777" w:rsidR="004E61DD" w:rsidRPr="004E61DD" w:rsidRDefault="004E61DD" w:rsidP="004E61DD">
      <w:pPr>
        <w:tabs>
          <w:tab w:val="left" w:pos="990"/>
        </w:tabs>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Do wiadomości:</w:t>
      </w:r>
    </w:p>
    <w:p w14:paraId="2BC5F924" w14:textId="77777777" w:rsidR="004E61DD" w:rsidRPr="004E61DD" w:rsidRDefault="004E61DD" w:rsidP="004E61DD">
      <w:pPr>
        <w:numPr>
          <w:ilvl w:val="0"/>
          <w:numId w:val="20"/>
        </w:numPr>
        <w:tabs>
          <w:tab w:val="left" w:pos="284"/>
        </w:tabs>
        <w:spacing w:after="0" w:line="240" w:lineRule="auto"/>
        <w:ind w:left="284"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Regionalny Dyrektor Ochrony Środowiska w Poznaniu (ePUAP)</w:t>
      </w:r>
    </w:p>
    <w:p w14:paraId="64F3AFDE" w14:textId="77777777" w:rsidR="004E61DD" w:rsidRPr="004E61DD" w:rsidRDefault="004E61DD" w:rsidP="004E61DD">
      <w:pPr>
        <w:numPr>
          <w:ilvl w:val="0"/>
          <w:numId w:val="20"/>
        </w:numPr>
        <w:tabs>
          <w:tab w:val="left" w:pos="284"/>
        </w:tabs>
        <w:spacing w:after="0" w:line="240" w:lineRule="auto"/>
        <w:ind w:left="284"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Państwowy Powiatowy Inspektor Sanitarny w Śremie (ePUAP)</w:t>
      </w:r>
    </w:p>
    <w:p w14:paraId="73AED706" w14:textId="77777777" w:rsidR="004E61DD" w:rsidRPr="004E61DD" w:rsidRDefault="004E61DD" w:rsidP="004E61DD">
      <w:pPr>
        <w:numPr>
          <w:ilvl w:val="0"/>
          <w:numId w:val="20"/>
        </w:numPr>
        <w:tabs>
          <w:tab w:val="left" w:pos="284"/>
        </w:tabs>
        <w:spacing w:after="0" w:line="240" w:lineRule="auto"/>
        <w:ind w:left="284"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Dyrektor Regionalnego Zarządu Gospodarki Wodnej Państwowe Gospodarstwo Wodne Wody Polskie w Poznaniu (ePUAP)</w:t>
      </w:r>
    </w:p>
    <w:p w14:paraId="157BF94B" w14:textId="77777777" w:rsidR="004E61DD" w:rsidRPr="004E61DD" w:rsidRDefault="004E61DD" w:rsidP="004E61DD">
      <w:pPr>
        <w:numPr>
          <w:ilvl w:val="0"/>
          <w:numId w:val="20"/>
        </w:numPr>
        <w:tabs>
          <w:tab w:val="left" w:pos="284"/>
        </w:tabs>
        <w:spacing w:after="0" w:line="240" w:lineRule="auto"/>
        <w:ind w:left="284" w:hanging="284"/>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Marszałek Województwa Wielkopolskiego (ePUAP)</w:t>
      </w:r>
    </w:p>
    <w:p w14:paraId="50176C51" w14:textId="77777777" w:rsidR="004E61DD" w:rsidRPr="004E61DD" w:rsidRDefault="004E61DD" w:rsidP="004E61DD">
      <w:pPr>
        <w:spacing w:after="120" w:line="240" w:lineRule="auto"/>
        <w:jc w:val="both"/>
        <w:rPr>
          <w:rFonts w:ascii="Calibri" w:eastAsia="Times New Roman" w:hAnsi="Calibri" w:cs="Calibri"/>
          <w:sz w:val="28"/>
          <w:szCs w:val="28"/>
          <w:lang w:eastAsia="pl-PL"/>
        </w:rPr>
      </w:pPr>
    </w:p>
    <w:p w14:paraId="2DA33080" w14:textId="77777777" w:rsidR="004E61DD" w:rsidRPr="004E61DD" w:rsidRDefault="004E61DD" w:rsidP="004E61DD">
      <w:pPr>
        <w:spacing w:after="120" w:line="240" w:lineRule="auto"/>
        <w:jc w:val="both"/>
        <w:rPr>
          <w:rFonts w:ascii="Calibri" w:eastAsia="Times New Roman" w:hAnsi="Calibri" w:cs="Calibri"/>
          <w:sz w:val="28"/>
          <w:szCs w:val="28"/>
          <w:lang w:eastAsia="pl-PL"/>
        </w:rPr>
      </w:pPr>
    </w:p>
    <w:p w14:paraId="68886681"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 xml:space="preserve">Uiszczono opłatę skarbową w kwocie 239,00 zł </w:t>
      </w:r>
    </w:p>
    <w:p w14:paraId="53D1520E"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data wpłaty: 04.05.2021 r.</w:t>
      </w:r>
    </w:p>
    <w:p w14:paraId="2045D235"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nr rachunku bankowego Urzędu Miejskiego w Śremie</w:t>
      </w:r>
    </w:p>
    <w:p w14:paraId="319DFD0B"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t>57 9084 0003 2102 0013 0521 0013</w:t>
      </w:r>
    </w:p>
    <w:p w14:paraId="150154E8" w14:textId="77777777" w:rsidR="004E61DD" w:rsidRPr="004E61DD" w:rsidRDefault="004E61DD" w:rsidP="004E61DD">
      <w:pPr>
        <w:spacing w:after="0" w:line="240" w:lineRule="auto"/>
        <w:jc w:val="both"/>
        <w:rPr>
          <w:rFonts w:ascii="Calibri" w:eastAsia="Times New Roman" w:hAnsi="Calibri" w:cs="Calibri"/>
          <w:sz w:val="28"/>
          <w:szCs w:val="28"/>
          <w:lang w:eastAsia="pl-PL"/>
        </w:rPr>
      </w:pPr>
      <w:r w:rsidRPr="004E61DD">
        <w:rPr>
          <w:rFonts w:ascii="Calibri" w:eastAsia="Times New Roman" w:hAnsi="Calibri" w:cs="Calibri"/>
          <w:sz w:val="28"/>
          <w:szCs w:val="28"/>
          <w:lang w:eastAsia="pl-PL"/>
        </w:rPr>
        <w:br w:type="page"/>
      </w:r>
    </w:p>
    <w:p w14:paraId="6F230DD0" w14:textId="77777777" w:rsidR="004E61DD" w:rsidRPr="004E61DD" w:rsidRDefault="004E61DD" w:rsidP="004E61DD">
      <w:pPr>
        <w:spacing w:after="0" w:line="240" w:lineRule="auto"/>
        <w:jc w:val="both"/>
        <w:rPr>
          <w:rFonts w:ascii="Calibri" w:eastAsia="Calibri" w:hAnsi="Calibri" w:cs="Calibri"/>
          <w:sz w:val="28"/>
          <w:szCs w:val="28"/>
        </w:rPr>
      </w:pPr>
      <w:r w:rsidRPr="004E61DD">
        <w:rPr>
          <w:rFonts w:ascii="Calibri" w:eastAsia="Calibri" w:hAnsi="Calibri" w:cs="Calibri"/>
          <w:sz w:val="28"/>
          <w:szCs w:val="28"/>
        </w:rPr>
        <w:lastRenderedPageBreak/>
        <w:t>Rozdzielnik:</w:t>
      </w:r>
    </w:p>
    <w:p w14:paraId="7F2A6A43" w14:textId="1823C1C5" w:rsidR="00F03A9F" w:rsidRDefault="00F03A9F">
      <w:pPr>
        <w:rPr>
          <w:rFonts w:ascii="Calibri" w:eastAsia="Times New Roman" w:hAnsi="Calibri" w:cs="Calibri"/>
          <w:bCs/>
          <w:sz w:val="28"/>
          <w:szCs w:val="28"/>
          <w:lang w:eastAsia="pl-PL"/>
        </w:rPr>
      </w:pPr>
      <w:r>
        <w:rPr>
          <w:rFonts w:ascii="Calibri" w:eastAsia="Times New Roman" w:hAnsi="Calibri" w:cs="Calibri"/>
          <w:bCs/>
          <w:sz w:val="28"/>
          <w:szCs w:val="28"/>
          <w:lang w:eastAsia="pl-PL"/>
        </w:rPr>
        <w:br w:type="page"/>
      </w:r>
    </w:p>
    <w:tbl>
      <w:tblPr>
        <w:tblW w:w="0" w:type="auto"/>
        <w:tblLook w:val="04A0" w:firstRow="1" w:lastRow="0" w:firstColumn="1" w:lastColumn="0" w:noHBand="0" w:noVBand="1"/>
      </w:tblPr>
      <w:tblGrid>
        <w:gridCol w:w="4007"/>
        <w:gridCol w:w="4780"/>
      </w:tblGrid>
      <w:tr w:rsidR="00F03A9F" w:rsidRPr="00F03A9F" w14:paraId="3721CD75" w14:textId="77777777" w:rsidTr="00955276">
        <w:tc>
          <w:tcPr>
            <w:tcW w:w="4077" w:type="dxa"/>
            <w:shd w:val="clear" w:color="auto" w:fill="auto"/>
          </w:tcPr>
          <w:p w14:paraId="2B8D0DCE" w14:textId="77777777" w:rsidR="00F03A9F" w:rsidRPr="00F03A9F" w:rsidRDefault="00F03A9F" w:rsidP="00F03A9F">
            <w:pPr>
              <w:tabs>
                <w:tab w:val="left" w:pos="3156"/>
              </w:tabs>
              <w:spacing w:after="0" w:line="240" w:lineRule="auto"/>
              <w:ind w:right="639"/>
              <w:jc w:val="center"/>
              <w:rPr>
                <w:rFonts w:ascii="Calibri" w:eastAsia="Times New Roman" w:hAnsi="Calibri" w:cs="Calibri"/>
                <w:bCs/>
                <w:sz w:val="28"/>
                <w:szCs w:val="28"/>
                <w:lang w:eastAsia="pl-PL"/>
              </w:rPr>
            </w:pPr>
            <w:r w:rsidRPr="00F03A9F">
              <w:rPr>
                <w:rFonts w:ascii="Calibri" w:eastAsia="Times New Roman" w:hAnsi="Calibri" w:cs="Calibri"/>
                <w:bCs/>
                <w:sz w:val="28"/>
                <w:szCs w:val="28"/>
                <w:lang w:eastAsia="pl-PL"/>
              </w:rPr>
              <w:lastRenderedPageBreak/>
              <w:t>Burmistrz Śremu</w:t>
            </w:r>
          </w:p>
          <w:p w14:paraId="5D575C9E" w14:textId="77777777" w:rsidR="00F03A9F" w:rsidRPr="00F03A9F" w:rsidRDefault="00F03A9F" w:rsidP="00F03A9F">
            <w:pPr>
              <w:tabs>
                <w:tab w:val="left" w:pos="3156"/>
              </w:tabs>
              <w:spacing w:after="0" w:line="240" w:lineRule="auto"/>
              <w:ind w:right="639"/>
              <w:jc w:val="center"/>
              <w:rPr>
                <w:rFonts w:ascii="Calibri" w:eastAsia="Times New Roman" w:hAnsi="Calibri" w:cs="Calibri"/>
                <w:bCs/>
                <w:sz w:val="28"/>
                <w:szCs w:val="28"/>
                <w:lang w:eastAsia="pl-PL"/>
              </w:rPr>
            </w:pPr>
            <w:r w:rsidRPr="00F03A9F">
              <w:rPr>
                <w:rFonts w:ascii="Calibri" w:eastAsia="Times New Roman" w:hAnsi="Calibri" w:cs="Calibri"/>
                <w:bCs/>
                <w:sz w:val="28"/>
                <w:szCs w:val="28"/>
                <w:lang w:eastAsia="pl-PL"/>
              </w:rPr>
              <w:t>ul. Plac 20 Października 1</w:t>
            </w:r>
          </w:p>
          <w:p w14:paraId="7B890FDB" w14:textId="77777777" w:rsidR="00F03A9F" w:rsidRPr="00F03A9F" w:rsidRDefault="00F03A9F" w:rsidP="00F03A9F">
            <w:pPr>
              <w:tabs>
                <w:tab w:val="left" w:pos="3156"/>
              </w:tabs>
              <w:spacing w:after="0" w:line="240" w:lineRule="auto"/>
              <w:ind w:right="639"/>
              <w:jc w:val="center"/>
              <w:rPr>
                <w:rFonts w:ascii="Calibri" w:eastAsia="Times New Roman" w:hAnsi="Calibri" w:cs="Calibri"/>
                <w:bCs/>
                <w:sz w:val="28"/>
                <w:szCs w:val="28"/>
                <w:lang w:eastAsia="pl-PL"/>
              </w:rPr>
            </w:pPr>
            <w:r w:rsidRPr="00F03A9F">
              <w:rPr>
                <w:rFonts w:ascii="Calibri" w:eastAsia="Times New Roman" w:hAnsi="Calibri" w:cs="Calibri"/>
                <w:bCs/>
                <w:sz w:val="28"/>
                <w:szCs w:val="28"/>
                <w:lang w:eastAsia="pl-PL"/>
              </w:rPr>
              <w:t>63-100 Śrem</w:t>
            </w:r>
          </w:p>
        </w:tc>
        <w:tc>
          <w:tcPr>
            <w:tcW w:w="4850" w:type="dxa"/>
            <w:shd w:val="clear" w:color="auto" w:fill="auto"/>
          </w:tcPr>
          <w:p w14:paraId="54324B6E" w14:textId="77777777" w:rsidR="00F03A9F" w:rsidRPr="00F03A9F" w:rsidRDefault="00F03A9F" w:rsidP="00F03A9F">
            <w:pPr>
              <w:spacing w:after="0" w:line="240" w:lineRule="auto"/>
              <w:jc w:val="both"/>
              <w:rPr>
                <w:rFonts w:ascii="Calibri" w:eastAsia="Times New Roman" w:hAnsi="Calibri" w:cs="Calibri"/>
                <w:bCs/>
                <w:sz w:val="28"/>
                <w:szCs w:val="28"/>
                <w:lang w:eastAsia="pl-PL"/>
              </w:rPr>
            </w:pPr>
            <w:r w:rsidRPr="00F03A9F">
              <w:rPr>
                <w:rFonts w:ascii="Calibri" w:eastAsia="Times New Roman" w:hAnsi="Calibri" w:cs="Calibri"/>
                <w:bCs/>
                <w:sz w:val="28"/>
                <w:szCs w:val="28"/>
                <w:lang w:eastAsia="pl-PL"/>
              </w:rPr>
              <w:t>Załącznik nr 1</w:t>
            </w:r>
          </w:p>
          <w:p w14:paraId="28849301" w14:textId="77777777" w:rsidR="00F03A9F" w:rsidRPr="00F03A9F" w:rsidRDefault="00F03A9F" w:rsidP="00F03A9F">
            <w:pPr>
              <w:spacing w:after="0" w:line="240" w:lineRule="auto"/>
              <w:jc w:val="both"/>
              <w:rPr>
                <w:rFonts w:ascii="Calibri" w:eastAsia="Times New Roman" w:hAnsi="Calibri" w:cs="Calibri"/>
                <w:bCs/>
                <w:sz w:val="28"/>
                <w:szCs w:val="28"/>
                <w:lang w:eastAsia="pl-PL"/>
              </w:rPr>
            </w:pPr>
            <w:r w:rsidRPr="00F03A9F">
              <w:rPr>
                <w:rFonts w:ascii="Calibri" w:eastAsia="Times New Roman" w:hAnsi="Calibri" w:cs="Calibri"/>
                <w:bCs/>
                <w:sz w:val="28"/>
                <w:szCs w:val="28"/>
                <w:lang w:eastAsia="pl-PL"/>
              </w:rPr>
              <w:t>do decyzji znak PPSOŚ.6220.14.2021.BM</w:t>
            </w:r>
          </w:p>
          <w:p w14:paraId="01085141" w14:textId="77777777" w:rsidR="00F03A9F" w:rsidRPr="00F03A9F" w:rsidRDefault="00F03A9F" w:rsidP="00F03A9F">
            <w:pPr>
              <w:spacing w:after="0" w:line="240" w:lineRule="auto"/>
              <w:jc w:val="both"/>
              <w:rPr>
                <w:rFonts w:ascii="Calibri" w:eastAsia="Times New Roman" w:hAnsi="Calibri" w:cs="Calibri"/>
                <w:bCs/>
                <w:sz w:val="28"/>
                <w:szCs w:val="28"/>
                <w:lang w:eastAsia="pl-PL"/>
              </w:rPr>
            </w:pPr>
            <w:r w:rsidRPr="00F03A9F">
              <w:rPr>
                <w:rFonts w:ascii="Calibri" w:eastAsia="Times New Roman" w:hAnsi="Calibri" w:cs="Calibri"/>
                <w:bCs/>
                <w:sz w:val="28"/>
                <w:szCs w:val="28"/>
                <w:lang w:eastAsia="pl-PL"/>
              </w:rPr>
              <w:t>z 3 czerwca 2022 r.</w:t>
            </w:r>
          </w:p>
        </w:tc>
      </w:tr>
    </w:tbl>
    <w:p w14:paraId="26D3C6BE" w14:textId="77777777" w:rsidR="00F03A9F" w:rsidRPr="00F03A9F" w:rsidRDefault="00F03A9F" w:rsidP="00F03A9F">
      <w:pPr>
        <w:spacing w:before="120" w:after="120" w:line="240" w:lineRule="auto"/>
        <w:jc w:val="both"/>
        <w:rPr>
          <w:rFonts w:ascii="Calibri" w:eastAsia="Calibri" w:hAnsi="Calibri" w:cs="Calibri"/>
          <w:sz w:val="28"/>
          <w:szCs w:val="28"/>
        </w:rPr>
      </w:pPr>
      <w:r w:rsidRPr="00F03A9F">
        <w:rPr>
          <w:rFonts w:ascii="Calibri" w:eastAsia="Times New Roman" w:hAnsi="Calibri" w:cs="Calibri"/>
          <w:sz w:val="28"/>
          <w:szCs w:val="28"/>
          <w:lang w:eastAsia="pl-PL"/>
        </w:rPr>
        <w:t>Charakterystyka przedsięwzięcia</w:t>
      </w:r>
      <w:r w:rsidRPr="00F03A9F">
        <w:rPr>
          <w:rFonts w:ascii="Calibri" w:eastAsia="Times New Roman" w:hAnsi="Calibri" w:cs="Calibri"/>
          <w:bCs/>
          <w:sz w:val="28"/>
          <w:szCs w:val="28"/>
          <w:lang w:eastAsia="pl-PL"/>
        </w:rPr>
        <w:t>:</w:t>
      </w:r>
      <w:r w:rsidRPr="00F03A9F">
        <w:rPr>
          <w:rFonts w:ascii="Calibri" w:eastAsia="Times New Roman" w:hAnsi="Calibri" w:cs="Calibri"/>
          <w:b/>
          <w:sz w:val="28"/>
          <w:szCs w:val="28"/>
          <w:lang w:eastAsia="pl-PL"/>
        </w:rPr>
        <w:t xml:space="preserve"> </w:t>
      </w:r>
      <w:r w:rsidRPr="00F03A9F">
        <w:rPr>
          <w:rFonts w:ascii="Calibri" w:eastAsia="Calibri" w:hAnsi="Calibri" w:cs="Calibri"/>
          <w:sz w:val="28"/>
          <w:szCs w:val="28"/>
        </w:rPr>
        <w:t>rozbudowa gospodarstwa rolnego poprzez budowę budynku inwentarskiego do chowu trzody chlewnej w bezściółkowym systemie utrzymania z niezbędną infrastrukturą techniczną na działce o numerze ewidencyjnym 189/2, obręb Kadzewo.</w:t>
      </w:r>
    </w:p>
    <w:p w14:paraId="257C1FAC" w14:textId="77777777" w:rsidR="00F03A9F" w:rsidRPr="00F03A9F" w:rsidRDefault="00F03A9F" w:rsidP="00F03A9F">
      <w:pPr>
        <w:spacing w:after="120" w:line="240" w:lineRule="auto"/>
        <w:ind w:firstLine="708"/>
        <w:contextualSpacing/>
        <w:jc w:val="both"/>
        <w:rPr>
          <w:rFonts w:ascii="Calibri" w:eastAsia="Times New Roman" w:hAnsi="Calibri" w:cs="Calibri"/>
          <w:sz w:val="28"/>
          <w:szCs w:val="28"/>
          <w:shd w:val="clear" w:color="auto" w:fill="FFFFFF"/>
          <w:lang w:eastAsia="pl-PL"/>
        </w:rPr>
      </w:pPr>
    </w:p>
    <w:p w14:paraId="25D7C940" w14:textId="77777777" w:rsidR="00F03A9F" w:rsidRPr="00F03A9F" w:rsidRDefault="00F03A9F" w:rsidP="00F03A9F">
      <w:pPr>
        <w:spacing w:after="120" w:line="240" w:lineRule="auto"/>
        <w:ind w:firstLine="708"/>
        <w:jc w:val="both"/>
        <w:rPr>
          <w:rFonts w:ascii="Calibri" w:eastAsia="Times New Roman" w:hAnsi="Calibri" w:cs="Calibri"/>
          <w:sz w:val="28"/>
          <w:szCs w:val="28"/>
          <w:shd w:val="clear" w:color="auto" w:fill="FFFFFF"/>
          <w:lang w:eastAsia="pl-PL"/>
        </w:rPr>
      </w:pPr>
      <w:r w:rsidRPr="00F03A9F">
        <w:rPr>
          <w:rFonts w:ascii="Calibri" w:eastAsia="Times New Roman" w:hAnsi="Calibri" w:cs="Calibri"/>
          <w:sz w:val="28"/>
          <w:szCs w:val="28"/>
          <w:shd w:val="clear" w:color="auto" w:fill="FFFFFF"/>
          <w:lang w:eastAsia="pl-PL"/>
        </w:rPr>
        <w:t xml:space="preserve">Przedsięwzięcie polega na rozbudowie gospodarstwa rolnego poprzez budowę budynku inwentarskiego, przeznaczonego do chowu trzody chlewnej, to jest chlewni VI, w bezściółkowym systemie utrzymania zwierząt, </w:t>
      </w:r>
      <w:r w:rsidRPr="00F03A9F">
        <w:rPr>
          <w:rFonts w:ascii="Calibri" w:eastAsia="Times New Roman" w:hAnsi="Calibri" w:cs="Calibri"/>
          <w:sz w:val="28"/>
          <w:szCs w:val="28"/>
          <w:lang w:eastAsia="pl-PL"/>
        </w:rPr>
        <w:t>o maksymalnej obsadzie 2 800 sztuk tuczników, co stanowi 392 DJP,</w:t>
      </w:r>
      <w:r w:rsidRPr="00F03A9F">
        <w:rPr>
          <w:rFonts w:ascii="Calibri" w:eastAsia="Times New Roman" w:hAnsi="Calibri" w:cs="Calibri"/>
          <w:sz w:val="28"/>
          <w:szCs w:val="28"/>
          <w:shd w:val="clear" w:color="auto" w:fill="FFFFFF"/>
          <w:lang w:eastAsia="pl-PL"/>
        </w:rPr>
        <w:t xml:space="preserve"> z niezbędną infrastrukturą techniczną, na działce o numerze ewidencyjnym 189/2, obręb Kadzewo. Przedmiotowy teren nie znajduje się w obszarze objętym ustaleniami obowiązującego miejscowego planu zagospodarowania przestrzennego. </w:t>
      </w:r>
    </w:p>
    <w:p w14:paraId="625065D4" w14:textId="77777777" w:rsidR="00F03A9F" w:rsidRPr="00F03A9F" w:rsidRDefault="00F03A9F" w:rsidP="00F03A9F">
      <w:pPr>
        <w:spacing w:after="120" w:line="240" w:lineRule="auto"/>
        <w:ind w:firstLine="708"/>
        <w:jc w:val="both"/>
        <w:rPr>
          <w:rFonts w:ascii="Calibri" w:eastAsia="Times New Roman" w:hAnsi="Calibri" w:cs="Calibri"/>
          <w:sz w:val="28"/>
          <w:szCs w:val="28"/>
          <w:shd w:val="clear" w:color="auto" w:fill="FFFFFF"/>
          <w:lang w:eastAsia="pl-PL"/>
        </w:rPr>
      </w:pPr>
      <w:r w:rsidRPr="00F03A9F">
        <w:rPr>
          <w:rFonts w:ascii="Calibri" w:eastAsia="Times New Roman" w:hAnsi="Calibri" w:cs="Calibri"/>
          <w:sz w:val="28"/>
          <w:szCs w:val="28"/>
          <w:shd w:val="clear" w:color="auto" w:fill="FFFFFF"/>
          <w:lang w:eastAsia="pl-PL"/>
        </w:rPr>
        <w:t xml:space="preserve">Obecnie w gospodarstwie rolnym prowadzony jest chów trzody chlewnej w pięciu budynkach inwentarskich o łącznej obsadzie 246,9 DJP. W czterech budynkach inwentarskich, to jest w chlewniach: I, III, IV i V, zwierzęta utrzymywane są w systemie bezściółkowym, natomiast w chlewni II prowadzony jest chów zwierząt w systemie na głębokiej ściółce. </w:t>
      </w:r>
    </w:p>
    <w:p w14:paraId="415F5E17" w14:textId="77777777" w:rsidR="00F03A9F" w:rsidRPr="00F03A9F" w:rsidRDefault="00F03A9F" w:rsidP="00F03A9F">
      <w:pPr>
        <w:spacing w:after="0" w:line="240" w:lineRule="auto"/>
        <w:ind w:firstLine="708"/>
        <w:jc w:val="both"/>
        <w:rPr>
          <w:rFonts w:ascii="Calibri" w:eastAsia="Times New Roman" w:hAnsi="Calibri" w:cs="Calibri"/>
          <w:sz w:val="28"/>
          <w:szCs w:val="28"/>
          <w:shd w:val="clear" w:color="auto" w:fill="FFFFFF"/>
          <w:lang w:eastAsia="pl-PL"/>
        </w:rPr>
      </w:pPr>
      <w:r w:rsidRPr="00F03A9F">
        <w:rPr>
          <w:rFonts w:ascii="Calibri" w:eastAsia="Times New Roman" w:hAnsi="Calibri" w:cs="Calibri"/>
          <w:sz w:val="28"/>
          <w:szCs w:val="28"/>
          <w:shd w:val="clear" w:color="auto" w:fill="FFFFFF"/>
          <w:lang w:eastAsia="pl-PL"/>
        </w:rPr>
        <w:t>W ramach przedsięwzięcia zaplanowano również budowę:</w:t>
      </w:r>
    </w:p>
    <w:p w14:paraId="02A97DAA" w14:textId="77777777" w:rsidR="00F03A9F" w:rsidRPr="00F03A9F" w:rsidRDefault="00F03A9F" w:rsidP="00F03A9F">
      <w:pPr>
        <w:numPr>
          <w:ilvl w:val="0"/>
          <w:numId w:val="41"/>
        </w:numPr>
        <w:spacing w:after="0" w:line="240" w:lineRule="auto"/>
        <w:ind w:left="284" w:hanging="284"/>
        <w:jc w:val="both"/>
        <w:rPr>
          <w:rFonts w:ascii="Calibri" w:eastAsia="Times New Roman" w:hAnsi="Calibri" w:cs="Calibri"/>
          <w:sz w:val="28"/>
          <w:szCs w:val="28"/>
          <w:shd w:val="clear" w:color="auto" w:fill="FFFFFF"/>
          <w:lang w:eastAsia="pl-PL"/>
        </w:rPr>
      </w:pPr>
      <w:r w:rsidRPr="00F03A9F">
        <w:rPr>
          <w:rFonts w:ascii="Calibri" w:eastAsia="Times New Roman" w:hAnsi="Calibri" w:cs="Calibri"/>
          <w:sz w:val="28"/>
          <w:szCs w:val="28"/>
          <w:shd w:val="clear" w:color="auto" w:fill="FFFFFF"/>
          <w:lang w:eastAsia="pl-PL"/>
        </w:rPr>
        <w:t>dwóch silosów na pasze o możliwości przechowywania pasz w ilości ca 27 Mg każdy,</w:t>
      </w:r>
    </w:p>
    <w:p w14:paraId="3B46860D" w14:textId="77777777" w:rsidR="00F03A9F" w:rsidRPr="00F03A9F" w:rsidRDefault="00F03A9F" w:rsidP="00F03A9F">
      <w:pPr>
        <w:numPr>
          <w:ilvl w:val="0"/>
          <w:numId w:val="41"/>
        </w:numPr>
        <w:spacing w:after="0" w:line="240" w:lineRule="auto"/>
        <w:ind w:left="284" w:hanging="284"/>
        <w:jc w:val="both"/>
        <w:rPr>
          <w:rFonts w:ascii="Calibri" w:eastAsia="Times New Roman" w:hAnsi="Calibri" w:cs="Calibri"/>
          <w:sz w:val="28"/>
          <w:szCs w:val="28"/>
          <w:shd w:val="clear" w:color="auto" w:fill="FFFFFF"/>
          <w:lang w:eastAsia="pl-PL"/>
        </w:rPr>
      </w:pPr>
      <w:r w:rsidRPr="00F03A9F">
        <w:rPr>
          <w:rFonts w:ascii="Calibri" w:eastAsia="Times New Roman" w:hAnsi="Calibri" w:cs="Calibri"/>
          <w:sz w:val="28"/>
          <w:szCs w:val="28"/>
          <w:shd w:val="clear" w:color="auto" w:fill="FFFFFF"/>
          <w:lang w:eastAsia="pl-PL"/>
        </w:rPr>
        <w:t>dwóch silosów na pasze o możliwości przechowywania pasz w ilości ca 40 Mg każdy,</w:t>
      </w:r>
    </w:p>
    <w:p w14:paraId="1B916968" w14:textId="77777777" w:rsidR="00F03A9F" w:rsidRPr="00F03A9F" w:rsidRDefault="00F03A9F" w:rsidP="00F03A9F">
      <w:pPr>
        <w:numPr>
          <w:ilvl w:val="0"/>
          <w:numId w:val="41"/>
        </w:numPr>
        <w:spacing w:after="0" w:line="240" w:lineRule="auto"/>
        <w:ind w:left="284" w:hanging="284"/>
        <w:jc w:val="both"/>
        <w:rPr>
          <w:rFonts w:ascii="Calibri" w:eastAsia="Times New Roman" w:hAnsi="Calibri" w:cs="Calibri"/>
          <w:sz w:val="28"/>
          <w:szCs w:val="28"/>
          <w:shd w:val="clear" w:color="auto" w:fill="FFFFFF"/>
          <w:lang w:eastAsia="pl-PL"/>
        </w:rPr>
      </w:pPr>
      <w:r w:rsidRPr="00F03A9F">
        <w:rPr>
          <w:rFonts w:ascii="Calibri" w:eastAsia="Times New Roman" w:hAnsi="Calibri" w:cs="Calibri"/>
          <w:sz w:val="28"/>
          <w:szCs w:val="28"/>
          <w:shd w:val="clear" w:color="auto" w:fill="FFFFFF"/>
          <w:lang w:eastAsia="pl-PL"/>
        </w:rPr>
        <w:t>zbiornika do przechowywania gnojowicy o pojemności nie większej niż 2 611 m</w:t>
      </w:r>
      <w:r w:rsidRPr="00F03A9F">
        <w:rPr>
          <w:rFonts w:ascii="Calibri" w:eastAsia="Times New Roman" w:hAnsi="Calibri" w:cs="Calibri"/>
          <w:sz w:val="28"/>
          <w:szCs w:val="28"/>
          <w:shd w:val="clear" w:color="auto" w:fill="FFFFFF"/>
          <w:vertAlign w:val="superscript"/>
          <w:lang w:eastAsia="pl-PL"/>
        </w:rPr>
        <w:t>3</w:t>
      </w:r>
      <w:r w:rsidRPr="00F03A9F">
        <w:rPr>
          <w:rFonts w:ascii="Calibri" w:eastAsia="Times New Roman" w:hAnsi="Calibri" w:cs="Calibri"/>
          <w:sz w:val="28"/>
          <w:szCs w:val="28"/>
          <w:shd w:val="clear" w:color="auto" w:fill="FFFFFF"/>
          <w:lang w:eastAsia="pl-PL"/>
        </w:rPr>
        <w:t>,</w:t>
      </w:r>
    </w:p>
    <w:p w14:paraId="34858C9B" w14:textId="77777777" w:rsidR="00F03A9F" w:rsidRPr="00F03A9F" w:rsidRDefault="00F03A9F" w:rsidP="00F03A9F">
      <w:pPr>
        <w:numPr>
          <w:ilvl w:val="0"/>
          <w:numId w:val="41"/>
        </w:numPr>
        <w:spacing w:after="0" w:line="240" w:lineRule="auto"/>
        <w:ind w:left="284" w:hanging="284"/>
        <w:jc w:val="both"/>
        <w:rPr>
          <w:rFonts w:ascii="Calibri" w:eastAsia="Times New Roman" w:hAnsi="Calibri" w:cs="Calibri"/>
          <w:sz w:val="28"/>
          <w:szCs w:val="28"/>
          <w:shd w:val="clear" w:color="auto" w:fill="FFFFFF"/>
          <w:lang w:eastAsia="pl-PL"/>
        </w:rPr>
      </w:pPr>
      <w:r w:rsidRPr="00F03A9F">
        <w:rPr>
          <w:rFonts w:ascii="Calibri" w:eastAsia="Times New Roman" w:hAnsi="Calibri" w:cs="Calibri"/>
          <w:sz w:val="28"/>
          <w:szCs w:val="28"/>
          <w:shd w:val="clear" w:color="auto" w:fill="FFFFFF"/>
          <w:lang w:eastAsia="pl-PL"/>
        </w:rPr>
        <w:t>zbiornika przepompowego na gnojowicę o pojemności nie większej niż 100 m</w:t>
      </w:r>
      <w:r w:rsidRPr="00F03A9F">
        <w:rPr>
          <w:rFonts w:ascii="Calibri" w:eastAsia="Times New Roman" w:hAnsi="Calibri" w:cs="Calibri"/>
          <w:sz w:val="28"/>
          <w:szCs w:val="28"/>
          <w:shd w:val="clear" w:color="auto" w:fill="FFFFFF"/>
          <w:vertAlign w:val="superscript"/>
          <w:lang w:eastAsia="pl-PL"/>
        </w:rPr>
        <w:t>3</w:t>
      </w:r>
      <w:r w:rsidRPr="00F03A9F">
        <w:rPr>
          <w:rFonts w:ascii="Calibri" w:eastAsia="Times New Roman" w:hAnsi="Calibri" w:cs="Calibri"/>
          <w:sz w:val="28"/>
          <w:szCs w:val="28"/>
          <w:shd w:val="clear" w:color="auto" w:fill="FFFFFF"/>
          <w:lang w:eastAsia="pl-PL"/>
        </w:rPr>
        <w:t>,</w:t>
      </w:r>
    </w:p>
    <w:p w14:paraId="026FD747" w14:textId="77777777" w:rsidR="00F03A9F" w:rsidRPr="00F03A9F" w:rsidRDefault="00F03A9F" w:rsidP="00F03A9F">
      <w:pPr>
        <w:numPr>
          <w:ilvl w:val="0"/>
          <w:numId w:val="41"/>
        </w:numPr>
        <w:spacing w:after="120" w:line="240" w:lineRule="auto"/>
        <w:ind w:left="284" w:hanging="284"/>
        <w:jc w:val="both"/>
        <w:rPr>
          <w:rFonts w:ascii="Calibri" w:eastAsia="Times New Roman" w:hAnsi="Calibri" w:cs="Calibri"/>
          <w:sz w:val="28"/>
          <w:szCs w:val="28"/>
          <w:shd w:val="clear" w:color="auto" w:fill="FFFFFF"/>
          <w:lang w:eastAsia="pl-PL"/>
        </w:rPr>
      </w:pPr>
      <w:r w:rsidRPr="00F03A9F">
        <w:rPr>
          <w:rFonts w:ascii="Calibri" w:eastAsia="Times New Roman" w:hAnsi="Calibri" w:cs="Calibri"/>
          <w:sz w:val="28"/>
          <w:szCs w:val="28"/>
          <w:shd w:val="clear" w:color="auto" w:fill="FFFFFF"/>
          <w:lang w:eastAsia="pl-PL"/>
        </w:rPr>
        <w:t>ujęcia wód podziemnych o głębokości do 16 m p.p.t., maksymalnej godzinowej wydajności Q</w:t>
      </w:r>
      <w:r w:rsidRPr="00F03A9F">
        <w:rPr>
          <w:rFonts w:ascii="Calibri" w:eastAsia="Times New Roman" w:hAnsi="Calibri" w:cs="Calibri"/>
          <w:sz w:val="28"/>
          <w:szCs w:val="28"/>
          <w:shd w:val="clear" w:color="auto" w:fill="FFFFFF"/>
          <w:vertAlign w:val="subscript"/>
          <w:lang w:eastAsia="pl-PL"/>
        </w:rPr>
        <w:t>h max</w:t>
      </w:r>
      <w:r w:rsidRPr="00F03A9F">
        <w:rPr>
          <w:rFonts w:ascii="Calibri" w:eastAsia="Times New Roman" w:hAnsi="Calibri" w:cs="Calibri"/>
          <w:sz w:val="28"/>
          <w:szCs w:val="28"/>
          <w:shd w:val="clear" w:color="auto" w:fill="FFFFFF"/>
          <w:lang w:eastAsia="pl-PL"/>
        </w:rPr>
        <w:t>=6,0 m</w:t>
      </w:r>
      <w:r w:rsidRPr="00F03A9F">
        <w:rPr>
          <w:rFonts w:ascii="Calibri" w:eastAsia="Times New Roman" w:hAnsi="Calibri" w:cs="Calibri"/>
          <w:sz w:val="28"/>
          <w:szCs w:val="28"/>
          <w:shd w:val="clear" w:color="auto" w:fill="FFFFFF"/>
          <w:vertAlign w:val="superscript"/>
          <w:lang w:eastAsia="pl-PL"/>
        </w:rPr>
        <w:t>3</w:t>
      </w:r>
      <w:r w:rsidRPr="00F03A9F">
        <w:rPr>
          <w:rFonts w:ascii="Calibri" w:eastAsia="Times New Roman" w:hAnsi="Calibri" w:cs="Calibri"/>
          <w:sz w:val="28"/>
          <w:szCs w:val="28"/>
          <w:shd w:val="clear" w:color="auto" w:fill="FFFFFF"/>
          <w:lang w:eastAsia="pl-PL"/>
        </w:rPr>
        <w:t>/h i maksymalnym rocznym poborze Q</w:t>
      </w:r>
      <w:r w:rsidRPr="00F03A9F">
        <w:rPr>
          <w:rFonts w:ascii="Calibri" w:eastAsia="Times New Roman" w:hAnsi="Calibri" w:cs="Calibri"/>
          <w:sz w:val="28"/>
          <w:szCs w:val="28"/>
          <w:shd w:val="clear" w:color="auto" w:fill="FFFFFF"/>
          <w:vertAlign w:val="subscript"/>
          <w:lang w:eastAsia="pl-PL"/>
        </w:rPr>
        <w:t>roczne max</w:t>
      </w:r>
      <w:r w:rsidRPr="00F03A9F">
        <w:rPr>
          <w:rFonts w:ascii="Calibri" w:eastAsia="Times New Roman" w:hAnsi="Calibri" w:cs="Calibri"/>
          <w:sz w:val="28"/>
          <w:szCs w:val="28"/>
          <w:shd w:val="clear" w:color="auto" w:fill="FFFFFF"/>
          <w:lang w:eastAsia="pl-PL"/>
        </w:rPr>
        <w:t>= 21 776,45 m</w:t>
      </w:r>
      <w:r w:rsidRPr="00F03A9F">
        <w:rPr>
          <w:rFonts w:ascii="Calibri" w:eastAsia="Times New Roman" w:hAnsi="Calibri" w:cs="Calibri"/>
          <w:sz w:val="28"/>
          <w:szCs w:val="28"/>
          <w:shd w:val="clear" w:color="auto" w:fill="FFFFFF"/>
          <w:vertAlign w:val="superscript"/>
          <w:lang w:eastAsia="pl-PL"/>
        </w:rPr>
        <w:t>3</w:t>
      </w:r>
      <w:r w:rsidRPr="00F03A9F">
        <w:rPr>
          <w:rFonts w:ascii="Calibri" w:eastAsia="Times New Roman" w:hAnsi="Calibri" w:cs="Calibri"/>
          <w:sz w:val="28"/>
          <w:szCs w:val="28"/>
          <w:shd w:val="clear" w:color="auto" w:fill="FFFFFF"/>
          <w:lang w:eastAsia="pl-PL"/>
        </w:rPr>
        <w:t>/rok.</w:t>
      </w:r>
    </w:p>
    <w:p w14:paraId="17A25E6A" w14:textId="77777777" w:rsidR="00F03A9F" w:rsidRPr="00F03A9F" w:rsidRDefault="00F03A9F" w:rsidP="00F03A9F">
      <w:pPr>
        <w:spacing w:after="120" w:line="240" w:lineRule="auto"/>
        <w:ind w:firstLine="708"/>
        <w:jc w:val="both"/>
        <w:rPr>
          <w:rFonts w:ascii="Calibri" w:eastAsia="Times New Roman" w:hAnsi="Calibri" w:cs="Calibri"/>
          <w:sz w:val="28"/>
          <w:szCs w:val="28"/>
          <w:shd w:val="clear" w:color="auto" w:fill="FFFFFF"/>
          <w:lang w:eastAsia="pl-PL"/>
        </w:rPr>
      </w:pPr>
      <w:r w:rsidRPr="00F03A9F">
        <w:rPr>
          <w:rFonts w:ascii="Calibri" w:eastAsia="Times New Roman" w:hAnsi="Calibri" w:cs="Calibri"/>
          <w:sz w:val="28"/>
          <w:szCs w:val="28"/>
          <w:shd w:val="clear" w:color="auto" w:fill="FFFFFF"/>
          <w:lang w:eastAsia="pl-PL"/>
        </w:rPr>
        <w:t xml:space="preserve">W związku z realizacją przedsięwzięcia zostanie zaniechany chów trzody chlewnej w budynku chlewni I. Część tego budynku będzie pełniła funkcję izolatki dla zwierząt chorych i agresywnych, a część zostanie przeznaczona na pomieszczenia gospodarcze. Jednocześnie zostanie zmieniona wentylacja w budynku chlewni V. </w:t>
      </w:r>
    </w:p>
    <w:p w14:paraId="4B0CD503" w14:textId="77777777" w:rsidR="00F03A9F" w:rsidRPr="00F03A9F" w:rsidRDefault="00F03A9F" w:rsidP="00F03A9F">
      <w:pPr>
        <w:spacing w:after="120" w:line="240" w:lineRule="auto"/>
        <w:ind w:firstLine="709"/>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lastRenderedPageBreak/>
        <w:t>Obsada zwierząt wraz ze sposobem ich utrzymywania w budynkach inwentarskich po realizacji przedsięwzięcia przedstawia się następująco:</w:t>
      </w:r>
    </w:p>
    <w:tbl>
      <w:tblPr>
        <w:tblStyle w:val="Tabela-Siatka1"/>
        <w:tblW w:w="0" w:type="auto"/>
        <w:tblLook w:val="04A0" w:firstRow="1" w:lastRow="0" w:firstColumn="1" w:lastColumn="0" w:noHBand="0" w:noVBand="1"/>
      </w:tblPr>
      <w:tblGrid>
        <w:gridCol w:w="2405"/>
        <w:gridCol w:w="1134"/>
        <w:gridCol w:w="1418"/>
        <w:gridCol w:w="1984"/>
        <w:gridCol w:w="1695"/>
      </w:tblGrid>
      <w:tr w:rsidR="00F03A9F" w:rsidRPr="00F03A9F" w14:paraId="39F1D183" w14:textId="77777777" w:rsidTr="00955276">
        <w:trPr>
          <w:tblHeader/>
        </w:trPr>
        <w:tc>
          <w:tcPr>
            <w:tcW w:w="8636" w:type="dxa"/>
            <w:gridSpan w:val="5"/>
            <w:vAlign w:val="center"/>
          </w:tcPr>
          <w:p w14:paraId="4654B007" w14:textId="77777777" w:rsidR="00F03A9F" w:rsidRPr="00F03A9F" w:rsidRDefault="00F03A9F" w:rsidP="00F03A9F">
            <w:pPr>
              <w:spacing w:after="120"/>
              <w:jc w:val="center"/>
              <w:rPr>
                <w:rFonts w:ascii="Calibri" w:eastAsia="Times New Roman" w:hAnsi="Calibri" w:cs="Calibri"/>
                <w:color w:val="2F5496"/>
                <w:sz w:val="24"/>
                <w:szCs w:val="24"/>
              </w:rPr>
            </w:pPr>
            <w:r w:rsidRPr="00F03A9F">
              <w:rPr>
                <w:rFonts w:ascii="Calibri" w:eastAsia="Times New Roman" w:hAnsi="Calibri" w:cs="Calibri"/>
                <w:color w:val="2F5496"/>
                <w:sz w:val="24"/>
                <w:szCs w:val="24"/>
              </w:rPr>
              <w:t>Obsada zwierząt po zrealizowaniu przedsięwzięcia</w:t>
            </w:r>
          </w:p>
        </w:tc>
      </w:tr>
      <w:tr w:rsidR="00F03A9F" w:rsidRPr="00F03A9F" w14:paraId="0B45CDC8" w14:textId="77777777" w:rsidTr="00955276">
        <w:trPr>
          <w:tblHeader/>
        </w:trPr>
        <w:tc>
          <w:tcPr>
            <w:tcW w:w="2405" w:type="dxa"/>
            <w:vAlign w:val="center"/>
          </w:tcPr>
          <w:p w14:paraId="0CFF67AF" w14:textId="77777777" w:rsidR="00F03A9F" w:rsidRPr="00F03A9F" w:rsidRDefault="00F03A9F" w:rsidP="00F03A9F">
            <w:pPr>
              <w:spacing w:after="120"/>
              <w:jc w:val="center"/>
              <w:rPr>
                <w:rFonts w:ascii="Calibri" w:eastAsia="Times New Roman" w:hAnsi="Calibri" w:cs="Calibri"/>
                <w:color w:val="2F5496"/>
                <w:sz w:val="24"/>
                <w:szCs w:val="24"/>
              </w:rPr>
            </w:pPr>
            <w:r w:rsidRPr="00F03A9F">
              <w:rPr>
                <w:rFonts w:ascii="Calibri" w:eastAsia="Times New Roman" w:hAnsi="Calibri" w:cs="Calibri"/>
                <w:color w:val="2F5496"/>
                <w:sz w:val="24"/>
                <w:szCs w:val="24"/>
              </w:rPr>
              <w:t>Rodzaj zwierząt</w:t>
            </w:r>
          </w:p>
        </w:tc>
        <w:tc>
          <w:tcPr>
            <w:tcW w:w="1134" w:type="dxa"/>
            <w:vAlign w:val="center"/>
          </w:tcPr>
          <w:p w14:paraId="3D3956ED" w14:textId="77777777" w:rsidR="00F03A9F" w:rsidRPr="00F03A9F" w:rsidRDefault="00F03A9F" w:rsidP="00F03A9F">
            <w:pPr>
              <w:spacing w:after="120"/>
              <w:jc w:val="center"/>
              <w:rPr>
                <w:rFonts w:ascii="Calibri" w:eastAsia="Times New Roman" w:hAnsi="Calibri" w:cs="Calibri"/>
                <w:color w:val="2F5496"/>
                <w:sz w:val="24"/>
                <w:szCs w:val="24"/>
              </w:rPr>
            </w:pPr>
            <w:r w:rsidRPr="00F03A9F">
              <w:rPr>
                <w:rFonts w:ascii="Calibri" w:eastAsia="Times New Roman" w:hAnsi="Calibri" w:cs="Calibri"/>
                <w:color w:val="2F5496"/>
                <w:sz w:val="24"/>
                <w:szCs w:val="24"/>
              </w:rPr>
              <w:t>sztuki</w:t>
            </w:r>
          </w:p>
        </w:tc>
        <w:tc>
          <w:tcPr>
            <w:tcW w:w="1418" w:type="dxa"/>
            <w:vAlign w:val="center"/>
          </w:tcPr>
          <w:p w14:paraId="5BC89E55" w14:textId="77777777" w:rsidR="00F03A9F" w:rsidRPr="00F03A9F" w:rsidRDefault="00F03A9F" w:rsidP="00F03A9F">
            <w:pPr>
              <w:spacing w:after="120"/>
              <w:jc w:val="center"/>
              <w:rPr>
                <w:rFonts w:ascii="Calibri" w:eastAsia="Times New Roman" w:hAnsi="Calibri" w:cs="Calibri"/>
                <w:color w:val="2F5496"/>
                <w:sz w:val="24"/>
                <w:szCs w:val="24"/>
              </w:rPr>
            </w:pPr>
            <w:r w:rsidRPr="00F03A9F">
              <w:rPr>
                <w:rFonts w:ascii="Calibri" w:eastAsia="Times New Roman" w:hAnsi="Calibri" w:cs="Calibri"/>
                <w:color w:val="2F5496"/>
                <w:sz w:val="24"/>
                <w:szCs w:val="24"/>
              </w:rPr>
              <w:t>DJP</w:t>
            </w:r>
          </w:p>
        </w:tc>
        <w:tc>
          <w:tcPr>
            <w:tcW w:w="1984" w:type="dxa"/>
            <w:vAlign w:val="center"/>
          </w:tcPr>
          <w:p w14:paraId="3A6F13B9" w14:textId="77777777" w:rsidR="00F03A9F" w:rsidRPr="00F03A9F" w:rsidRDefault="00F03A9F" w:rsidP="00F03A9F">
            <w:pPr>
              <w:spacing w:after="120"/>
              <w:jc w:val="center"/>
              <w:rPr>
                <w:rFonts w:ascii="Calibri" w:eastAsia="Times New Roman" w:hAnsi="Calibri" w:cs="Calibri"/>
                <w:color w:val="2F5496"/>
                <w:sz w:val="24"/>
                <w:szCs w:val="24"/>
              </w:rPr>
            </w:pPr>
            <w:r w:rsidRPr="00F03A9F">
              <w:rPr>
                <w:rFonts w:ascii="Calibri" w:eastAsia="Times New Roman" w:hAnsi="Calibri" w:cs="Calibri"/>
                <w:color w:val="2F5496"/>
                <w:sz w:val="24"/>
                <w:szCs w:val="24"/>
              </w:rPr>
              <w:t>System chowu</w:t>
            </w:r>
          </w:p>
        </w:tc>
        <w:tc>
          <w:tcPr>
            <w:tcW w:w="1695" w:type="dxa"/>
            <w:vAlign w:val="center"/>
          </w:tcPr>
          <w:p w14:paraId="525468D0" w14:textId="77777777" w:rsidR="00F03A9F" w:rsidRPr="00F03A9F" w:rsidRDefault="00F03A9F" w:rsidP="00F03A9F">
            <w:pPr>
              <w:spacing w:after="120"/>
              <w:jc w:val="center"/>
              <w:rPr>
                <w:rFonts w:ascii="Calibri" w:eastAsia="Times New Roman" w:hAnsi="Calibri" w:cs="Calibri"/>
                <w:color w:val="2F5496"/>
                <w:sz w:val="24"/>
                <w:szCs w:val="24"/>
              </w:rPr>
            </w:pPr>
            <w:r w:rsidRPr="00F03A9F">
              <w:rPr>
                <w:rFonts w:ascii="Calibri" w:eastAsia="Times New Roman" w:hAnsi="Calibri" w:cs="Calibri"/>
                <w:color w:val="2F5496"/>
                <w:sz w:val="24"/>
                <w:szCs w:val="24"/>
              </w:rPr>
              <w:t>Maksymalna powierzchnia hodowlana</w:t>
            </w:r>
          </w:p>
        </w:tc>
      </w:tr>
      <w:tr w:rsidR="00F03A9F" w:rsidRPr="00F03A9F" w14:paraId="476547A0" w14:textId="77777777" w:rsidTr="00955276">
        <w:tc>
          <w:tcPr>
            <w:tcW w:w="6941" w:type="dxa"/>
            <w:gridSpan w:val="4"/>
            <w:vAlign w:val="center"/>
          </w:tcPr>
          <w:p w14:paraId="0FF41972"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Chlewnia I</w:t>
            </w:r>
          </w:p>
        </w:tc>
        <w:tc>
          <w:tcPr>
            <w:tcW w:w="1695" w:type="dxa"/>
            <w:vAlign w:val="center"/>
          </w:tcPr>
          <w:p w14:paraId="2280EF33"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r>
      <w:tr w:rsidR="00F03A9F" w:rsidRPr="00F03A9F" w14:paraId="2420C659" w14:textId="77777777" w:rsidTr="00955276">
        <w:tc>
          <w:tcPr>
            <w:tcW w:w="2405" w:type="dxa"/>
            <w:vAlign w:val="center"/>
          </w:tcPr>
          <w:p w14:paraId="1379A5A3"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c>
          <w:tcPr>
            <w:tcW w:w="1134" w:type="dxa"/>
            <w:vAlign w:val="center"/>
          </w:tcPr>
          <w:p w14:paraId="3CD40FE5"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c>
          <w:tcPr>
            <w:tcW w:w="1418" w:type="dxa"/>
            <w:vAlign w:val="center"/>
          </w:tcPr>
          <w:p w14:paraId="2E728814"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c>
          <w:tcPr>
            <w:tcW w:w="1984" w:type="dxa"/>
            <w:vAlign w:val="center"/>
          </w:tcPr>
          <w:p w14:paraId="7ADB3078"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c>
          <w:tcPr>
            <w:tcW w:w="1695" w:type="dxa"/>
            <w:vAlign w:val="center"/>
          </w:tcPr>
          <w:p w14:paraId="45DF5731"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r>
      <w:tr w:rsidR="00F03A9F" w:rsidRPr="00F03A9F" w14:paraId="77B4173B" w14:textId="77777777" w:rsidTr="00955276">
        <w:tc>
          <w:tcPr>
            <w:tcW w:w="2405" w:type="dxa"/>
            <w:vAlign w:val="center"/>
          </w:tcPr>
          <w:p w14:paraId="18660C1E"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c>
          <w:tcPr>
            <w:tcW w:w="1134" w:type="dxa"/>
            <w:vAlign w:val="center"/>
          </w:tcPr>
          <w:p w14:paraId="1DEB8ED3"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c>
          <w:tcPr>
            <w:tcW w:w="1418" w:type="dxa"/>
            <w:vAlign w:val="center"/>
          </w:tcPr>
          <w:p w14:paraId="70D309C5"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c>
          <w:tcPr>
            <w:tcW w:w="1984" w:type="dxa"/>
            <w:vAlign w:val="center"/>
          </w:tcPr>
          <w:p w14:paraId="6B2AB197"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c>
          <w:tcPr>
            <w:tcW w:w="1695" w:type="dxa"/>
            <w:vAlign w:val="center"/>
          </w:tcPr>
          <w:p w14:paraId="5FEBE4C4"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r>
      <w:tr w:rsidR="00F03A9F" w:rsidRPr="00F03A9F" w14:paraId="5B837022" w14:textId="77777777" w:rsidTr="00955276">
        <w:tc>
          <w:tcPr>
            <w:tcW w:w="6941" w:type="dxa"/>
            <w:gridSpan w:val="4"/>
            <w:vAlign w:val="center"/>
          </w:tcPr>
          <w:p w14:paraId="52EC1F14"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Chlewnia II</w:t>
            </w:r>
          </w:p>
        </w:tc>
        <w:tc>
          <w:tcPr>
            <w:tcW w:w="1695" w:type="dxa"/>
            <w:vAlign w:val="center"/>
          </w:tcPr>
          <w:p w14:paraId="47712ACA"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526 m</w:t>
            </w:r>
            <w:r w:rsidRPr="00F03A9F">
              <w:rPr>
                <w:rFonts w:ascii="Calibri" w:eastAsia="Times New Roman" w:hAnsi="Calibri" w:cs="Calibri"/>
                <w:sz w:val="24"/>
                <w:szCs w:val="24"/>
                <w:vertAlign w:val="superscript"/>
              </w:rPr>
              <w:t>2</w:t>
            </w:r>
          </w:p>
        </w:tc>
      </w:tr>
      <w:tr w:rsidR="00F03A9F" w:rsidRPr="00F03A9F" w14:paraId="7664359F" w14:textId="77777777" w:rsidTr="00955276">
        <w:tc>
          <w:tcPr>
            <w:tcW w:w="2405" w:type="dxa"/>
            <w:vAlign w:val="center"/>
          </w:tcPr>
          <w:p w14:paraId="5C719FA4"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maciory</w:t>
            </w:r>
          </w:p>
        </w:tc>
        <w:tc>
          <w:tcPr>
            <w:tcW w:w="1134" w:type="dxa"/>
            <w:vAlign w:val="center"/>
          </w:tcPr>
          <w:p w14:paraId="0E0647E0"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231</w:t>
            </w:r>
          </w:p>
        </w:tc>
        <w:tc>
          <w:tcPr>
            <w:tcW w:w="1418" w:type="dxa"/>
            <w:vAlign w:val="center"/>
          </w:tcPr>
          <w:p w14:paraId="22000211"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80,85</w:t>
            </w:r>
          </w:p>
        </w:tc>
        <w:tc>
          <w:tcPr>
            <w:tcW w:w="1984" w:type="dxa"/>
            <w:vAlign w:val="center"/>
          </w:tcPr>
          <w:p w14:paraId="755C07A9"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głęboka ściółka</w:t>
            </w:r>
          </w:p>
        </w:tc>
        <w:tc>
          <w:tcPr>
            <w:tcW w:w="1695" w:type="dxa"/>
            <w:vAlign w:val="center"/>
          </w:tcPr>
          <w:p w14:paraId="669ED527"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r>
      <w:tr w:rsidR="00F03A9F" w:rsidRPr="00F03A9F" w14:paraId="25D39B01" w14:textId="77777777" w:rsidTr="00955276">
        <w:tc>
          <w:tcPr>
            <w:tcW w:w="2405" w:type="dxa"/>
            <w:vAlign w:val="center"/>
          </w:tcPr>
          <w:p w14:paraId="7D6A09A5"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knur</w:t>
            </w:r>
          </w:p>
        </w:tc>
        <w:tc>
          <w:tcPr>
            <w:tcW w:w="1134" w:type="dxa"/>
            <w:vAlign w:val="center"/>
          </w:tcPr>
          <w:p w14:paraId="68010CEE"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1</w:t>
            </w:r>
          </w:p>
        </w:tc>
        <w:tc>
          <w:tcPr>
            <w:tcW w:w="1418" w:type="dxa"/>
            <w:vAlign w:val="center"/>
          </w:tcPr>
          <w:p w14:paraId="0B59E865"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0,4</w:t>
            </w:r>
          </w:p>
        </w:tc>
        <w:tc>
          <w:tcPr>
            <w:tcW w:w="1984" w:type="dxa"/>
            <w:vAlign w:val="center"/>
          </w:tcPr>
          <w:p w14:paraId="13352DAE"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głęboka ściółka</w:t>
            </w:r>
          </w:p>
        </w:tc>
        <w:tc>
          <w:tcPr>
            <w:tcW w:w="1695" w:type="dxa"/>
            <w:vAlign w:val="center"/>
          </w:tcPr>
          <w:p w14:paraId="7A262E85"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r>
      <w:tr w:rsidR="00F03A9F" w:rsidRPr="00F03A9F" w14:paraId="1E9A9073" w14:textId="77777777" w:rsidTr="00955276">
        <w:tc>
          <w:tcPr>
            <w:tcW w:w="6941" w:type="dxa"/>
            <w:gridSpan w:val="4"/>
            <w:vAlign w:val="center"/>
          </w:tcPr>
          <w:p w14:paraId="41EE446A"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Chlewnia III</w:t>
            </w:r>
          </w:p>
        </w:tc>
        <w:tc>
          <w:tcPr>
            <w:tcW w:w="1695" w:type="dxa"/>
            <w:vAlign w:val="center"/>
          </w:tcPr>
          <w:p w14:paraId="6CC3622F"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308,8 m</w:t>
            </w:r>
            <w:r w:rsidRPr="00F03A9F">
              <w:rPr>
                <w:rFonts w:ascii="Calibri" w:eastAsia="Times New Roman" w:hAnsi="Calibri" w:cs="Calibri"/>
                <w:sz w:val="24"/>
                <w:szCs w:val="24"/>
                <w:vertAlign w:val="superscript"/>
              </w:rPr>
              <w:t>2</w:t>
            </w:r>
          </w:p>
        </w:tc>
      </w:tr>
      <w:tr w:rsidR="00F03A9F" w:rsidRPr="00F03A9F" w14:paraId="4F3DDE09" w14:textId="77777777" w:rsidTr="00955276">
        <w:tc>
          <w:tcPr>
            <w:tcW w:w="2405" w:type="dxa"/>
            <w:vAlign w:val="center"/>
          </w:tcPr>
          <w:p w14:paraId="2AA44A7E"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warchlaki</w:t>
            </w:r>
          </w:p>
        </w:tc>
        <w:tc>
          <w:tcPr>
            <w:tcW w:w="1134" w:type="dxa"/>
            <w:vAlign w:val="center"/>
          </w:tcPr>
          <w:p w14:paraId="7BCA9EE2"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465</w:t>
            </w:r>
          </w:p>
        </w:tc>
        <w:tc>
          <w:tcPr>
            <w:tcW w:w="1418" w:type="dxa"/>
            <w:vAlign w:val="center"/>
          </w:tcPr>
          <w:p w14:paraId="273E3F83"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32,55</w:t>
            </w:r>
          </w:p>
        </w:tc>
        <w:tc>
          <w:tcPr>
            <w:tcW w:w="1984" w:type="dxa"/>
            <w:vAlign w:val="center"/>
          </w:tcPr>
          <w:p w14:paraId="1A173E5D"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bezściółkowo</w:t>
            </w:r>
          </w:p>
        </w:tc>
        <w:tc>
          <w:tcPr>
            <w:tcW w:w="1695" w:type="dxa"/>
            <w:vAlign w:val="center"/>
          </w:tcPr>
          <w:p w14:paraId="08C02AFD"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r>
      <w:tr w:rsidR="00F03A9F" w:rsidRPr="00F03A9F" w14:paraId="7957C621" w14:textId="77777777" w:rsidTr="00955276">
        <w:tc>
          <w:tcPr>
            <w:tcW w:w="2405" w:type="dxa"/>
            <w:vAlign w:val="center"/>
          </w:tcPr>
          <w:p w14:paraId="137BECF8"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prosięta (porodówka)</w:t>
            </w:r>
          </w:p>
        </w:tc>
        <w:tc>
          <w:tcPr>
            <w:tcW w:w="1134" w:type="dxa"/>
            <w:vAlign w:val="center"/>
          </w:tcPr>
          <w:p w14:paraId="143E9693"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420</w:t>
            </w:r>
          </w:p>
        </w:tc>
        <w:tc>
          <w:tcPr>
            <w:tcW w:w="1418" w:type="dxa"/>
            <w:vAlign w:val="center"/>
          </w:tcPr>
          <w:p w14:paraId="40234CE2"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8,4</w:t>
            </w:r>
          </w:p>
        </w:tc>
        <w:tc>
          <w:tcPr>
            <w:tcW w:w="1984" w:type="dxa"/>
            <w:vAlign w:val="center"/>
          </w:tcPr>
          <w:p w14:paraId="25495EE2"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bezściółkowo</w:t>
            </w:r>
          </w:p>
        </w:tc>
        <w:tc>
          <w:tcPr>
            <w:tcW w:w="1695" w:type="dxa"/>
            <w:vAlign w:val="center"/>
          </w:tcPr>
          <w:p w14:paraId="0AC9C358"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r>
      <w:tr w:rsidR="00F03A9F" w:rsidRPr="00F03A9F" w14:paraId="1001A437" w14:textId="77777777" w:rsidTr="00955276">
        <w:tc>
          <w:tcPr>
            <w:tcW w:w="2405" w:type="dxa"/>
            <w:vAlign w:val="center"/>
          </w:tcPr>
          <w:p w14:paraId="3758E4E9"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maciory (porodówka)</w:t>
            </w:r>
          </w:p>
        </w:tc>
        <w:tc>
          <w:tcPr>
            <w:tcW w:w="1134" w:type="dxa"/>
            <w:vAlign w:val="center"/>
          </w:tcPr>
          <w:p w14:paraId="6852A179"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28</w:t>
            </w:r>
          </w:p>
        </w:tc>
        <w:tc>
          <w:tcPr>
            <w:tcW w:w="1418" w:type="dxa"/>
            <w:vAlign w:val="center"/>
          </w:tcPr>
          <w:p w14:paraId="45098F33"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9,8</w:t>
            </w:r>
          </w:p>
        </w:tc>
        <w:tc>
          <w:tcPr>
            <w:tcW w:w="1984" w:type="dxa"/>
            <w:vAlign w:val="center"/>
          </w:tcPr>
          <w:p w14:paraId="1AC7751E"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bezściółkowo</w:t>
            </w:r>
          </w:p>
        </w:tc>
        <w:tc>
          <w:tcPr>
            <w:tcW w:w="1695" w:type="dxa"/>
            <w:vAlign w:val="center"/>
          </w:tcPr>
          <w:p w14:paraId="70E4AE5A"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r>
      <w:tr w:rsidR="00F03A9F" w:rsidRPr="00F03A9F" w14:paraId="63598556" w14:textId="77777777" w:rsidTr="00955276">
        <w:tc>
          <w:tcPr>
            <w:tcW w:w="2405" w:type="dxa"/>
            <w:vAlign w:val="center"/>
          </w:tcPr>
          <w:p w14:paraId="2A058CA7"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maciory (krycie)</w:t>
            </w:r>
          </w:p>
        </w:tc>
        <w:tc>
          <w:tcPr>
            <w:tcW w:w="1134" w:type="dxa"/>
            <w:vAlign w:val="center"/>
          </w:tcPr>
          <w:p w14:paraId="31F19EC3"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34</w:t>
            </w:r>
          </w:p>
        </w:tc>
        <w:tc>
          <w:tcPr>
            <w:tcW w:w="1418" w:type="dxa"/>
            <w:vAlign w:val="center"/>
          </w:tcPr>
          <w:p w14:paraId="1D646C3E"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11,9</w:t>
            </w:r>
          </w:p>
        </w:tc>
        <w:tc>
          <w:tcPr>
            <w:tcW w:w="1984" w:type="dxa"/>
            <w:vAlign w:val="center"/>
          </w:tcPr>
          <w:p w14:paraId="3099525A"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bezściółkowo</w:t>
            </w:r>
          </w:p>
        </w:tc>
        <w:tc>
          <w:tcPr>
            <w:tcW w:w="1695" w:type="dxa"/>
            <w:vAlign w:val="center"/>
          </w:tcPr>
          <w:p w14:paraId="04F919A5"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r>
      <w:tr w:rsidR="00F03A9F" w:rsidRPr="00F03A9F" w14:paraId="5F47FAB8" w14:textId="77777777" w:rsidTr="00955276">
        <w:tc>
          <w:tcPr>
            <w:tcW w:w="2405" w:type="dxa"/>
            <w:vAlign w:val="center"/>
          </w:tcPr>
          <w:p w14:paraId="7C5D2F7F"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knur</w:t>
            </w:r>
          </w:p>
        </w:tc>
        <w:tc>
          <w:tcPr>
            <w:tcW w:w="1134" w:type="dxa"/>
            <w:vAlign w:val="center"/>
          </w:tcPr>
          <w:p w14:paraId="1DF413A0"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1</w:t>
            </w:r>
          </w:p>
        </w:tc>
        <w:tc>
          <w:tcPr>
            <w:tcW w:w="1418" w:type="dxa"/>
            <w:vAlign w:val="center"/>
          </w:tcPr>
          <w:p w14:paraId="37A19799"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0,4</w:t>
            </w:r>
          </w:p>
        </w:tc>
        <w:tc>
          <w:tcPr>
            <w:tcW w:w="1984" w:type="dxa"/>
            <w:vAlign w:val="center"/>
          </w:tcPr>
          <w:p w14:paraId="4D41A472"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bezściółkowo</w:t>
            </w:r>
          </w:p>
        </w:tc>
        <w:tc>
          <w:tcPr>
            <w:tcW w:w="1695" w:type="dxa"/>
            <w:vAlign w:val="center"/>
          </w:tcPr>
          <w:p w14:paraId="6A4E776A"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r>
      <w:tr w:rsidR="00F03A9F" w:rsidRPr="00F03A9F" w14:paraId="0A97B177" w14:textId="77777777" w:rsidTr="00955276">
        <w:tc>
          <w:tcPr>
            <w:tcW w:w="6941" w:type="dxa"/>
            <w:gridSpan w:val="4"/>
            <w:vAlign w:val="center"/>
          </w:tcPr>
          <w:p w14:paraId="676A3D2F"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Chlewnia IV</w:t>
            </w:r>
          </w:p>
        </w:tc>
        <w:tc>
          <w:tcPr>
            <w:tcW w:w="1695" w:type="dxa"/>
            <w:vAlign w:val="center"/>
          </w:tcPr>
          <w:p w14:paraId="71BA13D4"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515,22 m</w:t>
            </w:r>
            <w:r w:rsidRPr="00F03A9F">
              <w:rPr>
                <w:rFonts w:ascii="Calibri" w:eastAsia="Times New Roman" w:hAnsi="Calibri" w:cs="Calibri"/>
                <w:sz w:val="24"/>
                <w:szCs w:val="24"/>
                <w:vertAlign w:val="superscript"/>
              </w:rPr>
              <w:t>2</w:t>
            </w:r>
          </w:p>
        </w:tc>
      </w:tr>
      <w:tr w:rsidR="00F03A9F" w:rsidRPr="00F03A9F" w14:paraId="79C0E72C" w14:textId="77777777" w:rsidTr="00955276">
        <w:tc>
          <w:tcPr>
            <w:tcW w:w="2405" w:type="dxa"/>
            <w:vAlign w:val="center"/>
          </w:tcPr>
          <w:p w14:paraId="787FE909"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prosięta (porodówka)</w:t>
            </w:r>
          </w:p>
        </w:tc>
        <w:tc>
          <w:tcPr>
            <w:tcW w:w="1134" w:type="dxa"/>
            <w:vAlign w:val="center"/>
          </w:tcPr>
          <w:p w14:paraId="5E1BF10F"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420</w:t>
            </w:r>
          </w:p>
        </w:tc>
        <w:tc>
          <w:tcPr>
            <w:tcW w:w="1418" w:type="dxa"/>
            <w:vAlign w:val="center"/>
          </w:tcPr>
          <w:p w14:paraId="70FBB0C7"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8,4</w:t>
            </w:r>
          </w:p>
        </w:tc>
        <w:tc>
          <w:tcPr>
            <w:tcW w:w="1984" w:type="dxa"/>
            <w:vAlign w:val="center"/>
          </w:tcPr>
          <w:p w14:paraId="02B9A474"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bezściółkowo</w:t>
            </w:r>
          </w:p>
        </w:tc>
        <w:tc>
          <w:tcPr>
            <w:tcW w:w="1695" w:type="dxa"/>
            <w:vAlign w:val="center"/>
          </w:tcPr>
          <w:p w14:paraId="26E6A7D2"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r>
      <w:tr w:rsidR="00F03A9F" w:rsidRPr="00F03A9F" w14:paraId="22AA2FB2" w14:textId="77777777" w:rsidTr="00955276">
        <w:tc>
          <w:tcPr>
            <w:tcW w:w="2405" w:type="dxa"/>
            <w:vAlign w:val="center"/>
          </w:tcPr>
          <w:p w14:paraId="7871898D"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warchlaki</w:t>
            </w:r>
          </w:p>
        </w:tc>
        <w:tc>
          <w:tcPr>
            <w:tcW w:w="1134" w:type="dxa"/>
            <w:vAlign w:val="center"/>
          </w:tcPr>
          <w:p w14:paraId="36B6EF1E"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302</w:t>
            </w:r>
          </w:p>
        </w:tc>
        <w:tc>
          <w:tcPr>
            <w:tcW w:w="1418" w:type="dxa"/>
            <w:vAlign w:val="center"/>
          </w:tcPr>
          <w:p w14:paraId="23002658"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21,14</w:t>
            </w:r>
          </w:p>
        </w:tc>
        <w:tc>
          <w:tcPr>
            <w:tcW w:w="1984" w:type="dxa"/>
            <w:vAlign w:val="center"/>
          </w:tcPr>
          <w:p w14:paraId="57CBCCA4"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bezściółkowo</w:t>
            </w:r>
          </w:p>
        </w:tc>
        <w:tc>
          <w:tcPr>
            <w:tcW w:w="1695" w:type="dxa"/>
            <w:vAlign w:val="center"/>
          </w:tcPr>
          <w:p w14:paraId="4076A524"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r>
      <w:tr w:rsidR="00F03A9F" w:rsidRPr="00F03A9F" w14:paraId="13D7C5E2" w14:textId="77777777" w:rsidTr="00955276">
        <w:tc>
          <w:tcPr>
            <w:tcW w:w="2405" w:type="dxa"/>
            <w:vAlign w:val="center"/>
          </w:tcPr>
          <w:p w14:paraId="75F47C6E"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maciory (porodówka)</w:t>
            </w:r>
          </w:p>
        </w:tc>
        <w:tc>
          <w:tcPr>
            <w:tcW w:w="1134" w:type="dxa"/>
            <w:vAlign w:val="center"/>
          </w:tcPr>
          <w:p w14:paraId="3F566DB7"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28</w:t>
            </w:r>
          </w:p>
        </w:tc>
        <w:tc>
          <w:tcPr>
            <w:tcW w:w="1418" w:type="dxa"/>
            <w:vAlign w:val="center"/>
          </w:tcPr>
          <w:p w14:paraId="71BBD2BB"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9,8</w:t>
            </w:r>
          </w:p>
        </w:tc>
        <w:tc>
          <w:tcPr>
            <w:tcW w:w="1984" w:type="dxa"/>
            <w:vAlign w:val="center"/>
          </w:tcPr>
          <w:p w14:paraId="4D903430"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bezściółkowo</w:t>
            </w:r>
          </w:p>
        </w:tc>
        <w:tc>
          <w:tcPr>
            <w:tcW w:w="1695" w:type="dxa"/>
            <w:vAlign w:val="center"/>
          </w:tcPr>
          <w:p w14:paraId="302EF0C7"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r>
      <w:tr w:rsidR="00F03A9F" w:rsidRPr="00F03A9F" w14:paraId="295A39B2" w14:textId="77777777" w:rsidTr="00955276">
        <w:tc>
          <w:tcPr>
            <w:tcW w:w="2405" w:type="dxa"/>
            <w:vAlign w:val="center"/>
          </w:tcPr>
          <w:p w14:paraId="57CF1C6F"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maciory (krycie)</w:t>
            </w:r>
          </w:p>
        </w:tc>
        <w:tc>
          <w:tcPr>
            <w:tcW w:w="1134" w:type="dxa"/>
            <w:vAlign w:val="center"/>
          </w:tcPr>
          <w:p w14:paraId="3F82A40B"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88</w:t>
            </w:r>
          </w:p>
        </w:tc>
        <w:tc>
          <w:tcPr>
            <w:tcW w:w="1418" w:type="dxa"/>
            <w:vAlign w:val="center"/>
          </w:tcPr>
          <w:p w14:paraId="11DC0C0C"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30,8</w:t>
            </w:r>
          </w:p>
        </w:tc>
        <w:tc>
          <w:tcPr>
            <w:tcW w:w="1984" w:type="dxa"/>
            <w:vAlign w:val="center"/>
          </w:tcPr>
          <w:p w14:paraId="41C6D7DD"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bezściółkowo</w:t>
            </w:r>
          </w:p>
        </w:tc>
        <w:tc>
          <w:tcPr>
            <w:tcW w:w="1695" w:type="dxa"/>
            <w:vAlign w:val="center"/>
          </w:tcPr>
          <w:p w14:paraId="04541946"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r>
      <w:tr w:rsidR="00F03A9F" w:rsidRPr="00F03A9F" w14:paraId="50086C9E" w14:textId="77777777" w:rsidTr="00955276">
        <w:tc>
          <w:tcPr>
            <w:tcW w:w="2405" w:type="dxa"/>
            <w:vAlign w:val="center"/>
          </w:tcPr>
          <w:p w14:paraId="05641C09"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loszki (tuczniki)</w:t>
            </w:r>
          </w:p>
        </w:tc>
        <w:tc>
          <w:tcPr>
            <w:tcW w:w="1134" w:type="dxa"/>
            <w:vAlign w:val="center"/>
          </w:tcPr>
          <w:p w14:paraId="6C944BD9"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90</w:t>
            </w:r>
          </w:p>
        </w:tc>
        <w:tc>
          <w:tcPr>
            <w:tcW w:w="1418" w:type="dxa"/>
            <w:vAlign w:val="center"/>
          </w:tcPr>
          <w:p w14:paraId="102EC815"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12,6</w:t>
            </w:r>
          </w:p>
        </w:tc>
        <w:tc>
          <w:tcPr>
            <w:tcW w:w="1984" w:type="dxa"/>
            <w:vAlign w:val="center"/>
          </w:tcPr>
          <w:p w14:paraId="6DBE9808"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bezściółkowo</w:t>
            </w:r>
          </w:p>
        </w:tc>
        <w:tc>
          <w:tcPr>
            <w:tcW w:w="1695" w:type="dxa"/>
            <w:vAlign w:val="center"/>
          </w:tcPr>
          <w:p w14:paraId="43DB52E8"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r>
      <w:tr w:rsidR="00F03A9F" w:rsidRPr="00F03A9F" w14:paraId="7982D3BE" w14:textId="77777777" w:rsidTr="00955276">
        <w:tc>
          <w:tcPr>
            <w:tcW w:w="2405" w:type="dxa"/>
            <w:vAlign w:val="center"/>
          </w:tcPr>
          <w:p w14:paraId="6E3BB72C"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knur</w:t>
            </w:r>
          </w:p>
        </w:tc>
        <w:tc>
          <w:tcPr>
            <w:tcW w:w="1134" w:type="dxa"/>
            <w:vAlign w:val="center"/>
          </w:tcPr>
          <w:p w14:paraId="03EF01A8"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1</w:t>
            </w:r>
          </w:p>
        </w:tc>
        <w:tc>
          <w:tcPr>
            <w:tcW w:w="1418" w:type="dxa"/>
            <w:vAlign w:val="center"/>
          </w:tcPr>
          <w:p w14:paraId="031F4873"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0,4</w:t>
            </w:r>
          </w:p>
        </w:tc>
        <w:tc>
          <w:tcPr>
            <w:tcW w:w="1984" w:type="dxa"/>
            <w:vAlign w:val="center"/>
          </w:tcPr>
          <w:p w14:paraId="622B2304"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bezściółkowo</w:t>
            </w:r>
          </w:p>
        </w:tc>
        <w:tc>
          <w:tcPr>
            <w:tcW w:w="1695" w:type="dxa"/>
            <w:vAlign w:val="center"/>
          </w:tcPr>
          <w:p w14:paraId="2BEB35FC" w14:textId="77777777" w:rsidR="00F03A9F" w:rsidRPr="00F03A9F" w:rsidRDefault="00F03A9F" w:rsidP="00F03A9F">
            <w:pPr>
              <w:spacing w:after="120"/>
              <w:jc w:val="center"/>
              <w:rPr>
                <w:rFonts w:ascii="Calibri" w:eastAsia="Times New Roman" w:hAnsi="Calibri" w:cs="Calibri"/>
                <w:sz w:val="24"/>
                <w:szCs w:val="24"/>
              </w:rPr>
            </w:pPr>
            <w:r w:rsidRPr="00F03A9F">
              <w:rPr>
                <w:rFonts w:ascii="Calibri" w:eastAsia="Times New Roman" w:hAnsi="Calibri" w:cs="Calibri"/>
                <w:sz w:val="24"/>
                <w:szCs w:val="24"/>
              </w:rPr>
              <w:t>-</w:t>
            </w:r>
          </w:p>
        </w:tc>
      </w:tr>
      <w:tr w:rsidR="00F03A9F" w:rsidRPr="00F03A9F" w14:paraId="0EBD6EBF" w14:textId="77777777" w:rsidTr="00955276">
        <w:tc>
          <w:tcPr>
            <w:tcW w:w="6941" w:type="dxa"/>
            <w:gridSpan w:val="4"/>
            <w:vAlign w:val="center"/>
          </w:tcPr>
          <w:p w14:paraId="2B022001"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Chlewnia V</w:t>
            </w:r>
          </w:p>
        </w:tc>
        <w:tc>
          <w:tcPr>
            <w:tcW w:w="1695" w:type="dxa"/>
            <w:vAlign w:val="center"/>
          </w:tcPr>
          <w:p w14:paraId="0B928322"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 xml:space="preserve">787,2 </w:t>
            </w:r>
            <w:r w:rsidRPr="00F03A9F">
              <w:rPr>
                <w:rFonts w:ascii="Calibri" w:eastAsia="Times New Roman" w:hAnsi="Calibri" w:cs="Calibri"/>
                <w:sz w:val="24"/>
                <w:szCs w:val="24"/>
              </w:rPr>
              <w:t>m</w:t>
            </w:r>
            <w:r w:rsidRPr="00F03A9F">
              <w:rPr>
                <w:rFonts w:ascii="Calibri" w:eastAsia="Times New Roman" w:hAnsi="Calibri" w:cs="Calibri"/>
                <w:sz w:val="24"/>
                <w:szCs w:val="24"/>
                <w:vertAlign w:val="superscript"/>
              </w:rPr>
              <w:t>2</w:t>
            </w:r>
          </w:p>
        </w:tc>
      </w:tr>
      <w:tr w:rsidR="00F03A9F" w:rsidRPr="00F03A9F" w14:paraId="36A54782" w14:textId="77777777" w:rsidTr="00955276">
        <w:tc>
          <w:tcPr>
            <w:tcW w:w="2405" w:type="dxa"/>
            <w:vAlign w:val="center"/>
          </w:tcPr>
          <w:p w14:paraId="144E3C21"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prosięta (porodówka)</w:t>
            </w:r>
          </w:p>
        </w:tc>
        <w:tc>
          <w:tcPr>
            <w:tcW w:w="1134" w:type="dxa"/>
            <w:vAlign w:val="center"/>
          </w:tcPr>
          <w:p w14:paraId="18656DF2"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840</w:t>
            </w:r>
          </w:p>
        </w:tc>
        <w:tc>
          <w:tcPr>
            <w:tcW w:w="1418" w:type="dxa"/>
            <w:vAlign w:val="center"/>
          </w:tcPr>
          <w:p w14:paraId="063799FC"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16,8</w:t>
            </w:r>
          </w:p>
        </w:tc>
        <w:tc>
          <w:tcPr>
            <w:tcW w:w="1984" w:type="dxa"/>
            <w:vAlign w:val="center"/>
          </w:tcPr>
          <w:p w14:paraId="1E1B0D73"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bezściółkowo</w:t>
            </w:r>
          </w:p>
        </w:tc>
        <w:tc>
          <w:tcPr>
            <w:tcW w:w="1695" w:type="dxa"/>
            <w:vAlign w:val="center"/>
          </w:tcPr>
          <w:p w14:paraId="0EDFB166"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w:t>
            </w:r>
          </w:p>
        </w:tc>
      </w:tr>
      <w:tr w:rsidR="00F03A9F" w:rsidRPr="00F03A9F" w14:paraId="6CC612C2" w14:textId="77777777" w:rsidTr="00955276">
        <w:tc>
          <w:tcPr>
            <w:tcW w:w="2405" w:type="dxa"/>
            <w:vAlign w:val="center"/>
          </w:tcPr>
          <w:p w14:paraId="7DB51B91"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maciory (porodówka)</w:t>
            </w:r>
          </w:p>
        </w:tc>
        <w:tc>
          <w:tcPr>
            <w:tcW w:w="1134" w:type="dxa"/>
            <w:vAlign w:val="center"/>
          </w:tcPr>
          <w:p w14:paraId="27EF859C"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56</w:t>
            </w:r>
          </w:p>
        </w:tc>
        <w:tc>
          <w:tcPr>
            <w:tcW w:w="1418" w:type="dxa"/>
            <w:vAlign w:val="center"/>
          </w:tcPr>
          <w:p w14:paraId="2AE575EF"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19,6</w:t>
            </w:r>
          </w:p>
        </w:tc>
        <w:tc>
          <w:tcPr>
            <w:tcW w:w="1984" w:type="dxa"/>
            <w:vAlign w:val="center"/>
          </w:tcPr>
          <w:p w14:paraId="3FEA1782"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bezściółkowo</w:t>
            </w:r>
          </w:p>
        </w:tc>
        <w:tc>
          <w:tcPr>
            <w:tcW w:w="1695" w:type="dxa"/>
            <w:vAlign w:val="center"/>
          </w:tcPr>
          <w:p w14:paraId="1294AD39"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w:t>
            </w:r>
          </w:p>
        </w:tc>
      </w:tr>
      <w:tr w:rsidR="00F03A9F" w:rsidRPr="00F03A9F" w14:paraId="66450A17" w14:textId="77777777" w:rsidTr="00955276">
        <w:tc>
          <w:tcPr>
            <w:tcW w:w="2405" w:type="dxa"/>
            <w:vAlign w:val="center"/>
          </w:tcPr>
          <w:p w14:paraId="05CA9F61"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warchlaki</w:t>
            </w:r>
          </w:p>
        </w:tc>
        <w:tc>
          <w:tcPr>
            <w:tcW w:w="1134" w:type="dxa"/>
            <w:vAlign w:val="center"/>
          </w:tcPr>
          <w:p w14:paraId="49510C4D"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882</w:t>
            </w:r>
          </w:p>
        </w:tc>
        <w:tc>
          <w:tcPr>
            <w:tcW w:w="1418" w:type="dxa"/>
            <w:vAlign w:val="center"/>
          </w:tcPr>
          <w:p w14:paraId="4551CB6D"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61,74</w:t>
            </w:r>
          </w:p>
        </w:tc>
        <w:tc>
          <w:tcPr>
            <w:tcW w:w="1984" w:type="dxa"/>
            <w:vAlign w:val="center"/>
          </w:tcPr>
          <w:p w14:paraId="6DF5EC30"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bezściółkowo</w:t>
            </w:r>
          </w:p>
        </w:tc>
        <w:tc>
          <w:tcPr>
            <w:tcW w:w="1695" w:type="dxa"/>
            <w:vAlign w:val="center"/>
          </w:tcPr>
          <w:p w14:paraId="0E72D43E"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w:t>
            </w:r>
          </w:p>
        </w:tc>
      </w:tr>
      <w:tr w:rsidR="00F03A9F" w:rsidRPr="00F03A9F" w14:paraId="502B393A" w14:textId="77777777" w:rsidTr="00955276">
        <w:tc>
          <w:tcPr>
            <w:tcW w:w="2405" w:type="dxa"/>
            <w:vAlign w:val="center"/>
          </w:tcPr>
          <w:p w14:paraId="01A0FDB5"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tuczniki</w:t>
            </w:r>
          </w:p>
        </w:tc>
        <w:tc>
          <w:tcPr>
            <w:tcW w:w="1134" w:type="dxa"/>
            <w:vAlign w:val="center"/>
          </w:tcPr>
          <w:p w14:paraId="1831CB11"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400</w:t>
            </w:r>
          </w:p>
        </w:tc>
        <w:tc>
          <w:tcPr>
            <w:tcW w:w="1418" w:type="dxa"/>
            <w:vAlign w:val="center"/>
          </w:tcPr>
          <w:p w14:paraId="49481B80"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56</w:t>
            </w:r>
          </w:p>
        </w:tc>
        <w:tc>
          <w:tcPr>
            <w:tcW w:w="1984" w:type="dxa"/>
            <w:vAlign w:val="center"/>
          </w:tcPr>
          <w:p w14:paraId="6E53D80C"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bezściółkowo</w:t>
            </w:r>
          </w:p>
        </w:tc>
        <w:tc>
          <w:tcPr>
            <w:tcW w:w="1695" w:type="dxa"/>
            <w:vAlign w:val="center"/>
          </w:tcPr>
          <w:p w14:paraId="21944517"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w:t>
            </w:r>
          </w:p>
        </w:tc>
      </w:tr>
      <w:tr w:rsidR="00F03A9F" w:rsidRPr="00F03A9F" w14:paraId="40F4BC40" w14:textId="77777777" w:rsidTr="00955276">
        <w:tc>
          <w:tcPr>
            <w:tcW w:w="6941" w:type="dxa"/>
            <w:gridSpan w:val="4"/>
            <w:vAlign w:val="center"/>
          </w:tcPr>
          <w:p w14:paraId="253F56EA"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Chlewnia VI</w:t>
            </w:r>
          </w:p>
        </w:tc>
        <w:tc>
          <w:tcPr>
            <w:tcW w:w="1695" w:type="dxa"/>
            <w:vAlign w:val="center"/>
          </w:tcPr>
          <w:p w14:paraId="09F6179E"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 xml:space="preserve">2 112,2 </w:t>
            </w:r>
            <w:r w:rsidRPr="00F03A9F">
              <w:rPr>
                <w:rFonts w:ascii="Calibri" w:eastAsia="Times New Roman" w:hAnsi="Calibri" w:cs="Calibri"/>
                <w:sz w:val="24"/>
                <w:szCs w:val="24"/>
              </w:rPr>
              <w:t>m</w:t>
            </w:r>
            <w:r w:rsidRPr="00F03A9F">
              <w:rPr>
                <w:rFonts w:ascii="Calibri" w:eastAsia="Times New Roman" w:hAnsi="Calibri" w:cs="Calibri"/>
                <w:sz w:val="24"/>
                <w:szCs w:val="24"/>
                <w:vertAlign w:val="superscript"/>
              </w:rPr>
              <w:t>2</w:t>
            </w:r>
          </w:p>
        </w:tc>
      </w:tr>
      <w:tr w:rsidR="00F03A9F" w:rsidRPr="00F03A9F" w14:paraId="5F2721E4" w14:textId="77777777" w:rsidTr="00955276">
        <w:tc>
          <w:tcPr>
            <w:tcW w:w="2405" w:type="dxa"/>
            <w:vAlign w:val="center"/>
          </w:tcPr>
          <w:p w14:paraId="07E6B167"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tuczniki</w:t>
            </w:r>
          </w:p>
        </w:tc>
        <w:tc>
          <w:tcPr>
            <w:tcW w:w="1134" w:type="dxa"/>
            <w:vAlign w:val="center"/>
          </w:tcPr>
          <w:p w14:paraId="38308134"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2800</w:t>
            </w:r>
          </w:p>
        </w:tc>
        <w:tc>
          <w:tcPr>
            <w:tcW w:w="1418" w:type="dxa"/>
            <w:vAlign w:val="center"/>
          </w:tcPr>
          <w:p w14:paraId="37D977FD"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392</w:t>
            </w:r>
          </w:p>
        </w:tc>
        <w:tc>
          <w:tcPr>
            <w:tcW w:w="1984" w:type="dxa"/>
            <w:vAlign w:val="center"/>
          </w:tcPr>
          <w:p w14:paraId="2CDD056B"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bezściółkowo</w:t>
            </w:r>
          </w:p>
        </w:tc>
        <w:tc>
          <w:tcPr>
            <w:tcW w:w="1695" w:type="dxa"/>
            <w:vAlign w:val="center"/>
          </w:tcPr>
          <w:p w14:paraId="3625B1EA"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w:t>
            </w:r>
          </w:p>
        </w:tc>
      </w:tr>
      <w:tr w:rsidR="00F03A9F" w:rsidRPr="00F03A9F" w14:paraId="7321714F" w14:textId="77777777" w:rsidTr="00955276">
        <w:tc>
          <w:tcPr>
            <w:tcW w:w="3539" w:type="dxa"/>
            <w:gridSpan w:val="2"/>
            <w:vAlign w:val="center"/>
          </w:tcPr>
          <w:p w14:paraId="7B4C1765" w14:textId="77777777" w:rsidR="00F03A9F" w:rsidRPr="00F03A9F" w:rsidRDefault="00F03A9F" w:rsidP="00F03A9F">
            <w:pPr>
              <w:spacing w:after="120"/>
              <w:jc w:val="center"/>
              <w:rPr>
                <w:rFonts w:ascii="Calibri" w:eastAsia="Times New Roman" w:hAnsi="Calibri" w:cs="Calibri"/>
                <w:color w:val="2F5496"/>
                <w:sz w:val="23"/>
                <w:szCs w:val="23"/>
              </w:rPr>
            </w:pPr>
            <w:r w:rsidRPr="00F03A9F">
              <w:rPr>
                <w:rFonts w:ascii="Calibri" w:eastAsia="Times New Roman" w:hAnsi="Calibri" w:cs="Calibri"/>
                <w:color w:val="2F5496"/>
                <w:sz w:val="23"/>
                <w:szCs w:val="23"/>
              </w:rPr>
              <w:t>Razem</w:t>
            </w:r>
          </w:p>
        </w:tc>
        <w:tc>
          <w:tcPr>
            <w:tcW w:w="1418" w:type="dxa"/>
            <w:vAlign w:val="center"/>
          </w:tcPr>
          <w:p w14:paraId="312A694A" w14:textId="77777777" w:rsidR="00F03A9F" w:rsidRPr="00F03A9F" w:rsidRDefault="00F03A9F" w:rsidP="00F03A9F">
            <w:pPr>
              <w:spacing w:after="120"/>
              <w:jc w:val="center"/>
              <w:rPr>
                <w:rFonts w:ascii="Calibri" w:eastAsia="Times New Roman" w:hAnsi="Calibri" w:cs="Calibri"/>
                <w:color w:val="2F5496"/>
                <w:sz w:val="23"/>
                <w:szCs w:val="23"/>
              </w:rPr>
            </w:pPr>
            <w:r w:rsidRPr="00F03A9F">
              <w:rPr>
                <w:rFonts w:ascii="Calibri" w:eastAsia="Times New Roman" w:hAnsi="Calibri" w:cs="Calibri"/>
                <w:color w:val="2F5496"/>
                <w:sz w:val="23"/>
                <w:szCs w:val="23"/>
              </w:rPr>
              <w:t>773,58</w:t>
            </w:r>
          </w:p>
        </w:tc>
        <w:tc>
          <w:tcPr>
            <w:tcW w:w="1984" w:type="dxa"/>
            <w:vAlign w:val="center"/>
          </w:tcPr>
          <w:p w14:paraId="43160F6E"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w:t>
            </w:r>
          </w:p>
        </w:tc>
        <w:tc>
          <w:tcPr>
            <w:tcW w:w="1695" w:type="dxa"/>
            <w:vAlign w:val="center"/>
          </w:tcPr>
          <w:p w14:paraId="405AB6BE" w14:textId="77777777" w:rsidR="00F03A9F" w:rsidRPr="00F03A9F" w:rsidRDefault="00F03A9F" w:rsidP="00F03A9F">
            <w:pPr>
              <w:spacing w:after="120"/>
              <w:jc w:val="center"/>
              <w:rPr>
                <w:rFonts w:ascii="Calibri" w:eastAsia="Times New Roman" w:hAnsi="Calibri" w:cs="Calibri"/>
                <w:sz w:val="23"/>
                <w:szCs w:val="23"/>
              </w:rPr>
            </w:pPr>
            <w:r w:rsidRPr="00F03A9F">
              <w:rPr>
                <w:rFonts w:ascii="Calibri" w:eastAsia="Times New Roman" w:hAnsi="Calibri" w:cs="Calibri"/>
                <w:sz w:val="23"/>
                <w:szCs w:val="23"/>
              </w:rPr>
              <w:t>-</w:t>
            </w:r>
          </w:p>
        </w:tc>
      </w:tr>
    </w:tbl>
    <w:p w14:paraId="6504DF2E" w14:textId="77777777" w:rsidR="00F03A9F" w:rsidRPr="00F03A9F" w:rsidRDefault="00F03A9F" w:rsidP="00F03A9F">
      <w:pPr>
        <w:spacing w:after="120" w:line="240" w:lineRule="auto"/>
        <w:ind w:firstLine="709"/>
        <w:jc w:val="both"/>
        <w:rPr>
          <w:rFonts w:ascii="Calibri" w:eastAsia="Times New Roman" w:hAnsi="Calibri" w:cs="Calibri"/>
          <w:sz w:val="28"/>
          <w:szCs w:val="28"/>
          <w:shd w:val="clear" w:color="auto" w:fill="FFFFFF"/>
          <w:lang w:eastAsia="pl-PL"/>
        </w:rPr>
      </w:pPr>
      <w:r w:rsidRPr="00F03A9F">
        <w:rPr>
          <w:rFonts w:ascii="Calibri" w:eastAsia="Times New Roman" w:hAnsi="Calibri" w:cs="Calibri"/>
          <w:sz w:val="28"/>
          <w:szCs w:val="28"/>
          <w:shd w:val="clear" w:color="auto" w:fill="FFFFFF"/>
          <w:lang w:eastAsia="pl-PL"/>
        </w:rPr>
        <w:lastRenderedPageBreak/>
        <w:t>Po zrealizowaniu przedsięwzięcia obsada w gospodarstwie rolnym zostanie zwiększona o 526,68 DJP i będzie wynosić łącznie nie więcej niż 773,58 DJP.</w:t>
      </w:r>
    </w:p>
    <w:p w14:paraId="06F2CEBE" w14:textId="77777777" w:rsidR="00F03A9F" w:rsidRPr="00F03A9F" w:rsidRDefault="00F03A9F" w:rsidP="00F03A9F">
      <w:pPr>
        <w:spacing w:after="120" w:line="240" w:lineRule="auto"/>
        <w:ind w:firstLine="709"/>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W związku z chowem trzody chlewnej powstawać będzie gnojowica oraz obornik. Obornik z budynku chlewni II magazynowany będzie na dwóch istniejących płytach obornikowych o powierzchniach 150 m</w:t>
      </w:r>
      <w:r w:rsidRPr="00F03A9F">
        <w:rPr>
          <w:rFonts w:ascii="Calibri" w:eastAsia="Times New Roman" w:hAnsi="Calibri" w:cs="Calibri"/>
          <w:sz w:val="28"/>
          <w:szCs w:val="28"/>
          <w:vertAlign w:val="superscript"/>
          <w:lang w:eastAsia="pl-PL"/>
        </w:rPr>
        <w:t>2</w:t>
      </w:r>
      <w:r w:rsidRPr="00F03A9F">
        <w:rPr>
          <w:rFonts w:ascii="Calibri" w:eastAsia="Times New Roman" w:hAnsi="Calibri" w:cs="Calibri"/>
          <w:sz w:val="28"/>
          <w:szCs w:val="28"/>
          <w:lang w:eastAsia="pl-PL"/>
        </w:rPr>
        <w:t xml:space="preserve"> i 300 m</w:t>
      </w:r>
      <w:r w:rsidRPr="00F03A9F">
        <w:rPr>
          <w:rFonts w:ascii="Calibri" w:eastAsia="Times New Roman" w:hAnsi="Calibri" w:cs="Calibri"/>
          <w:sz w:val="28"/>
          <w:szCs w:val="28"/>
          <w:vertAlign w:val="superscript"/>
          <w:lang w:eastAsia="pl-PL"/>
        </w:rPr>
        <w:t>2</w:t>
      </w:r>
      <w:r w:rsidRPr="00F03A9F">
        <w:rPr>
          <w:rFonts w:ascii="Calibri" w:eastAsia="Times New Roman" w:hAnsi="Calibri" w:cs="Calibri"/>
          <w:sz w:val="28"/>
          <w:szCs w:val="28"/>
          <w:lang w:eastAsia="pl-PL"/>
        </w:rPr>
        <w:t xml:space="preserve">.  </w:t>
      </w:r>
    </w:p>
    <w:p w14:paraId="2BF1F922" w14:textId="77777777" w:rsidR="00F03A9F" w:rsidRPr="00F03A9F" w:rsidRDefault="00F03A9F" w:rsidP="00F03A9F">
      <w:pPr>
        <w:spacing w:after="0" w:line="240" w:lineRule="auto"/>
        <w:ind w:firstLine="709"/>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Gnojowica magazynowana będzie w kanałach pod budynkami:</w:t>
      </w:r>
    </w:p>
    <w:p w14:paraId="7CEF6A56" w14:textId="77777777" w:rsidR="00F03A9F" w:rsidRPr="00F03A9F" w:rsidRDefault="00F03A9F" w:rsidP="00F03A9F">
      <w:pPr>
        <w:numPr>
          <w:ilvl w:val="0"/>
          <w:numId w:val="42"/>
        </w:numPr>
        <w:spacing w:after="0" w:line="240" w:lineRule="auto"/>
        <w:ind w:left="284" w:hanging="284"/>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chlewnia I (izolatka): pojemność użytkowa około 28 m</w:t>
      </w:r>
      <w:r w:rsidRPr="00F03A9F">
        <w:rPr>
          <w:rFonts w:ascii="Calibri" w:eastAsia="Times New Roman" w:hAnsi="Calibri" w:cs="Calibri"/>
          <w:sz w:val="28"/>
          <w:szCs w:val="28"/>
          <w:vertAlign w:val="superscript"/>
          <w:lang w:eastAsia="pl-PL"/>
        </w:rPr>
        <w:t>3</w:t>
      </w:r>
      <w:r w:rsidRPr="00F03A9F">
        <w:rPr>
          <w:rFonts w:ascii="Calibri" w:eastAsia="Times New Roman" w:hAnsi="Calibri" w:cs="Calibri"/>
          <w:sz w:val="28"/>
          <w:szCs w:val="28"/>
          <w:lang w:eastAsia="pl-PL"/>
        </w:rPr>
        <w:t>,</w:t>
      </w:r>
    </w:p>
    <w:p w14:paraId="07CF4F0B" w14:textId="77777777" w:rsidR="00F03A9F" w:rsidRPr="00F03A9F" w:rsidRDefault="00F03A9F" w:rsidP="00F03A9F">
      <w:pPr>
        <w:numPr>
          <w:ilvl w:val="0"/>
          <w:numId w:val="42"/>
        </w:numPr>
        <w:spacing w:after="0" w:line="240" w:lineRule="auto"/>
        <w:ind w:left="284" w:hanging="284"/>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chlewnia III: pojemność użytkowa około 77 m</w:t>
      </w:r>
      <w:r w:rsidRPr="00F03A9F">
        <w:rPr>
          <w:rFonts w:ascii="Calibri" w:eastAsia="Times New Roman" w:hAnsi="Calibri" w:cs="Calibri"/>
          <w:sz w:val="28"/>
          <w:szCs w:val="28"/>
          <w:vertAlign w:val="superscript"/>
          <w:lang w:eastAsia="pl-PL"/>
        </w:rPr>
        <w:t>3</w:t>
      </w:r>
      <w:r w:rsidRPr="00F03A9F">
        <w:rPr>
          <w:rFonts w:ascii="Calibri" w:eastAsia="Times New Roman" w:hAnsi="Calibri" w:cs="Calibri"/>
          <w:sz w:val="28"/>
          <w:szCs w:val="28"/>
          <w:lang w:eastAsia="pl-PL"/>
        </w:rPr>
        <w:t>,</w:t>
      </w:r>
    </w:p>
    <w:p w14:paraId="37181EC1" w14:textId="77777777" w:rsidR="00F03A9F" w:rsidRPr="00F03A9F" w:rsidRDefault="00F03A9F" w:rsidP="00F03A9F">
      <w:pPr>
        <w:numPr>
          <w:ilvl w:val="0"/>
          <w:numId w:val="42"/>
        </w:numPr>
        <w:spacing w:after="0" w:line="240" w:lineRule="auto"/>
        <w:ind w:left="284" w:hanging="284"/>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chlewnia IV: pojemność użytkowa około 288 m</w:t>
      </w:r>
      <w:r w:rsidRPr="00F03A9F">
        <w:rPr>
          <w:rFonts w:ascii="Calibri" w:eastAsia="Times New Roman" w:hAnsi="Calibri" w:cs="Calibri"/>
          <w:sz w:val="28"/>
          <w:szCs w:val="28"/>
          <w:vertAlign w:val="superscript"/>
          <w:lang w:eastAsia="pl-PL"/>
        </w:rPr>
        <w:t>3</w:t>
      </w:r>
      <w:r w:rsidRPr="00F03A9F">
        <w:rPr>
          <w:rFonts w:ascii="Calibri" w:eastAsia="Times New Roman" w:hAnsi="Calibri" w:cs="Calibri"/>
          <w:sz w:val="28"/>
          <w:szCs w:val="28"/>
          <w:lang w:eastAsia="pl-PL"/>
        </w:rPr>
        <w:t>,</w:t>
      </w:r>
    </w:p>
    <w:p w14:paraId="3360B013" w14:textId="77777777" w:rsidR="00F03A9F" w:rsidRPr="00F03A9F" w:rsidRDefault="00F03A9F" w:rsidP="00F03A9F">
      <w:pPr>
        <w:numPr>
          <w:ilvl w:val="0"/>
          <w:numId w:val="42"/>
        </w:numPr>
        <w:spacing w:after="0" w:line="240" w:lineRule="auto"/>
        <w:ind w:left="284" w:hanging="284"/>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chlewnia V: pojemność użytkowa około 518 m</w:t>
      </w:r>
      <w:r w:rsidRPr="00F03A9F">
        <w:rPr>
          <w:rFonts w:ascii="Calibri" w:eastAsia="Times New Roman" w:hAnsi="Calibri" w:cs="Calibri"/>
          <w:sz w:val="28"/>
          <w:szCs w:val="28"/>
          <w:vertAlign w:val="superscript"/>
          <w:lang w:eastAsia="pl-PL"/>
        </w:rPr>
        <w:t>3</w:t>
      </w:r>
      <w:r w:rsidRPr="00F03A9F">
        <w:rPr>
          <w:rFonts w:ascii="Calibri" w:eastAsia="Times New Roman" w:hAnsi="Calibri" w:cs="Calibri"/>
          <w:sz w:val="28"/>
          <w:szCs w:val="28"/>
          <w:lang w:eastAsia="pl-PL"/>
        </w:rPr>
        <w:t>,</w:t>
      </w:r>
    </w:p>
    <w:p w14:paraId="1F4F9A34" w14:textId="77777777" w:rsidR="00F03A9F" w:rsidRPr="00F03A9F" w:rsidRDefault="00F03A9F" w:rsidP="00F03A9F">
      <w:pPr>
        <w:numPr>
          <w:ilvl w:val="0"/>
          <w:numId w:val="42"/>
        </w:numPr>
        <w:spacing w:after="0" w:line="240" w:lineRule="auto"/>
        <w:ind w:left="284" w:hanging="284"/>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projektowana chlewnia VI: pojemność użytkowa nie mniejsza niż 2 083 m</w:t>
      </w:r>
      <w:r w:rsidRPr="00F03A9F">
        <w:rPr>
          <w:rFonts w:ascii="Calibri" w:eastAsia="Times New Roman" w:hAnsi="Calibri" w:cs="Calibri"/>
          <w:sz w:val="28"/>
          <w:szCs w:val="28"/>
          <w:vertAlign w:val="superscript"/>
          <w:lang w:eastAsia="pl-PL"/>
        </w:rPr>
        <w:t>3</w:t>
      </w:r>
    </w:p>
    <w:p w14:paraId="4BDB7370" w14:textId="77777777" w:rsidR="00F03A9F" w:rsidRPr="00F03A9F" w:rsidRDefault="00F03A9F" w:rsidP="00F03A9F">
      <w:pPr>
        <w:spacing w:after="0" w:line="240" w:lineRule="auto"/>
        <w:ind w:firstLine="708"/>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oraz w zbiornikach zewnętrznych:</w:t>
      </w:r>
    </w:p>
    <w:p w14:paraId="3CE87285" w14:textId="77777777" w:rsidR="00F03A9F" w:rsidRPr="00F03A9F" w:rsidRDefault="00F03A9F" w:rsidP="00F03A9F">
      <w:pPr>
        <w:numPr>
          <w:ilvl w:val="0"/>
          <w:numId w:val="43"/>
        </w:numPr>
        <w:spacing w:after="0" w:line="240" w:lineRule="auto"/>
        <w:ind w:left="284" w:hanging="284"/>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projektowany zbiornik magazynowy na gnojowicę o pojemności do 2 611 m</w:t>
      </w:r>
      <w:r w:rsidRPr="00F03A9F">
        <w:rPr>
          <w:rFonts w:ascii="Calibri" w:eastAsia="Times New Roman" w:hAnsi="Calibri" w:cs="Calibri"/>
          <w:sz w:val="28"/>
          <w:szCs w:val="28"/>
          <w:vertAlign w:val="superscript"/>
          <w:lang w:eastAsia="pl-PL"/>
        </w:rPr>
        <w:t>3</w:t>
      </w:r>
      <w:r w:rsidRPr="00F03A9F">
        <w:rPr>
          <w:rFonts w:ascii="Calibri" w:eastAsia="Times New Roman" w:hAnsi="Calibri" w:cs="Calibri"/>
          <w:sz w:val="28"/>
          <w:szCs w:val="28"/>
          <w:lang w:eastAsia="pl-PL"/>
        </w:rPr>
        <w:t>,</w:t>
      </w:r>
    </w:p>
    <w:p w14:paraId="3C7E2232" w14:textId="77777777" w:rsidR="00F03A9F" w:rsidRPr="00F03A9F" w:rsidRDefault="00F03A9F" w:rsidP="00F03A9F">
      <w:pPr>
        <w:numPr>
          <w:ilvl w:val="0"/>
          <w:numId w:val="43"/>
        </w:numPr>
        <w:spacing w:after="0" w:line="240" w:lineRule="auto"/>
        <w:ind w:left="284" w:hanging="284"/>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zbiornik magazynowy na gnojowicę o pojemności 453 m</w:t>
      </w:r>
      <w:r w:rsidRPr="00F03A9F">
        <w:rPr>
          <w:rFonts w:ascii="Calibri" w:eastAsia="Times New Roman" w:hAnsi="Calibri" w:cs="Calibri"/>
          <w:sz w:val="28"/>
          <w:szCs w:val="28"/>
          <w:vertAlign w:val="superscript"/>
          <w:lang w:eastAsia="pl-PL"/>
        </w:rPr>
        <w:t>3</w:t>
      </w:r>
      <w:r w:rsidRPr="00F03A9F">
        <w:rPr>
          <w:rFonts w:ascii="Calibri" w:eastAsia="Times New Roman" w:hAnsi="Calibri" w:cs="Calibri"/>
          <w:sz w:val="28"/>
          <w:szCs w:val="28"/>
          <w:lang w:eastAsia="pl-PL"/>
        </w:rPr>
        <w:t>,</w:t>
      </w:r>
    </w:p>
    <w:p w14:paraId="4DF2B5C0" w14:textId="77777777" w:rsidR="00F03A9F" w:rsidRPr="00F03A9F" w:rsidRDefault="00F03A9F" w:rsidP="00F03A9F">
      <w:pPr>
        <w:numPr>
          <w:ilvl w:val="0"/>
          <w:numId w:val="43"/>
        </w:numPr>
        <w:spacing w:after="0" w:line="240" w:lineRule="auto"/>
        <w:ind w:left="284" w:hanging="284"/>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zbiornik magazynowy na gnojowicę o pojemności 789 m</w:t>
      </w:r>
      <w:r w:rsidRPr="00F03A9F">
        <w:rPr>
          <w:rFonts w:ascii="Calibri" w:eastAsia="Times New Roman" w:hAnsi="Calibri" w:cs="Calibri"/>
          <w:sz w:val="28"/>
          <w:szCs w:val="28"/>
          <w:vertAlign w:val="superscript"/>
          <w:lang w:eastAsia="pl-PL"/>
        </w:rPr>
        <w:t>3</w:t>
      </w:r>
      <w:r w:rsidRPr="00F03A9F">
        <w:rPr>
          <w:rFonts w:ascii="Calibri" w:eastAsia="Times New Roman" w:hAnsi="Calibri" w:cs="Calibri"/>
          <w:sz w:val="28"/>
          <w:szCs w:val="28"/>
          <w:lang w:eastAsia="pl-PL"/>
        </w:rPr>
        <w:t>,</w:t>
      </w:r>
    </w:p>
    <w:p w14:paraId="73335B91" w14:textId="77777777" w:rsidR="00F03A9F" w:rsidRPr="00F03A9F" w:rsidRDefault="00F03A9F" w:rsidP="00F03A9F">
      <w:pPr>
        <w:numPr>
          <w:ilvl w:val="0"/>
          <w:numId w:val="43"/>
        </w:numPr>
        <w:spacing w:after="0" w:line="240" w:lineRule="auto"/>
        <w:ind w:left="284" w:hanging="284"/>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zbiornik przepompowy na gnojowicę o pojemności 14 m</w:t>
      </w:r>
      <w:r w:rsidRPr="00F03A9F">
        <w:rPr>
          <w:rFonts w:ascii="Calibri" w:eastAsia="Times New Roman" w:hAnsi="Calibri" w:cs="Calibri"/>
          <w:sz w:val="28"/>
          <w:szCs w:val="28"/>
          <w:vertAlign w:val="superscript"/>
          <w:lang w:eastAsia="pl-PL"/>
        </w:rPr>
        <w:t>3</w:t>
      </w:r>
      <w:r w:rsidRPr="00F03A9F">
        <w:rPr>
          <w:rFonts w:ascii="Calibri" w:eastAsia="Times New Roman" w:hAnsi="Calibri" w:cs="Calibri"/>
          <w:sz w:val="28"/>
          <w:szCs w:val="28"/>
          <w:lang w:eastAsia="pl-PL"/>
        </w:rPr>
        <w:t>,</w:t>
      </w:r>
    </w:p>
    <w:p w14:paraId="144CBB32" w14:textId="77777777" w:rsidR="00F03A9F" w:rsidRPr="00F03A9F" w:rsidRDefault="00F03A9F" w:rsidP="00F03A9F">
      <w:pPr>
        <w:numPr>
          <w:ilvl w:val="0"/>
          <w:numId w:val="43"/>
        </w:numPr>
        <w:spacing w:after="0" w:line="240" w:lineRule="auto"/>
        <w:ind w:left="284" w:hanging="284"/>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zbiornik przepompowy na gnojowicę o pojemności 18 m</w:t>
      </w:r>
      <w:r w:rsidRPr="00F03A9F">
        <w:rPr>
          <w:rFonts w:ascii="Calibri" w:eastAsia="Times New Roman" w:hAnsi="Calibri" w:cs="Calibri"/>
          <w:sz w:val="28"/>
          <w:szCs w:val="28"/>
          <w:vertAlign w:val="superscript"/>
          <w:lang w:eastAsia="pl-PL"/>
        </w:rPr>
        <w:t>3</w:t>
      </w:r>
      <w:r w:rsidRPr="00F03A9F">
        <w:rPr>
          <w:rFonts w:ascii="Calibri" w:eastAsia="Times New Roman" w:hAnsi="Calibri" w:cs="Calibri"/>
          <w:sz w:val="28"/>
          <w:szCs w:val="28"/>
          <w:lang w:eastAsia="pl-PL"/>
        </w:rPr>
        <w:t>,</w:t>
      </w:r>
    </w:p>
    <w:p w14:paraId="5EB627D5" w14:textId="77777777" w:rsidR="00F03A9F" w:rsidRPr="00F03A9F" w:rsidRDefault="00F03A9F" w:rsidP="00F03A9F">
      <w:pPr>
        <w:numPr>
          <w:ilvl w:val="0"/>
          <w:numId w:val="43"/>
        </w:numPr>
        <w:spacing w:after="0" w:line="240" w:lineRule="auto"/>
        <w:ind w:left="284" w:hanging="284"/>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zbiornik przepompowy na gnojowicę o pojemności 20 m</w:t>
      </w:r>
      <w:r w:rsidRPr="00F03A9F">
        <w:rPr>
          <w:rFonts w:ascii="Calibri" w:eastAsia="Times New Roman" w:hAnsi="Calibri" w:cs="Calibri"/>
          <w:sz w:val="28"/>
          <w:szCs w:val="28"/>
          <w:vertAlign w:val="superscript"/>
          <w:lang w:eastAsia="pl-PL"/>
        </w:rPr>
        <w:t>3</w:t>
      </w:r>
      <w:r w:rsidRPr="00F03A9F">
        <w:rPr>
          <w:rFonts w:ascii="Calibri" w:eastAsia="Times New Roman" w:hAnsi="Calibri" w:cs="Calibri"/>
          <w:sz w:val="28"/>
          <w:szCs w:val="28"/>
          <w:lang w:eastAsia="pl-PL"/>
        </w:rPr>
        <w:t>,</w:t>
      </w:r>
    </w:p>
    <w:p w14:paraId="0D22F8D7" w14:textId="77777777" w:rsidR="00F03A9F" w:rsidRPr="00F03A9F" w:rsidRDefault="00F03A9F" w:rsidP="00F03A9F">
      <w:pPr>
        <w:numPr>
          <w:ilvl w:val="0"/>
          <w:numId w:val="43"/>
        </w:numPr>
        <w:spacing w:after="120" w:line="240" w:lineRule="auto"/>
        <w:ind w:left="284" w:hanging="284"/>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projektowany zbiornik przepompowy na gnojowicę o pojemności do 100 m</w:t>
      </w:r>
      <w:r w:rsidRPr="00F03A9F">
        <w:rPr>
          <w:rFonts w:ascii="Calibri" w:eastAsia="Times New Roman" w:hAnsi="Calibri" w:cs="Calibri"/>
          <w:sz w:val="28"/>
          <w:szCs w:val="28"/>
          <w:vertAlign w:val="superscript"/>
          <w:lang w:eastAsia="pl-PL"/>
        </w:rPr>
        <w:t>3</w:t>
      </w:r>
      <w:r w:rsidRPr="00F03A9F">
        <w:rPr>
          <w:rFonts w:ascii="Calibri" w:eastAsia="Times New Roman" w:hAnsi="Calibri" w:cs="Calibri"/>
          <w:sz w:val="28"/>
          <w:szCs w:val="28"/>
          <w:lang w:eastAsia="pl-PL"/>
        </w:rPr>
        <w:t>.</w:t>
      </w:r>
    </w:p>
    <w:p w14:paraId="11B0F725" w14:textId="77777777" w:rsidR="00F03A9F" w:rsidRPr="00F03A9F" w:rsidRDefault="00F03A9F" w:rsidP="00F03A9F">
      <w:pPr>
        <w:spacing w:after="120" w:line="240" w:lineRule="auto"/>
        <w:ind w:firstLine="709"/>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Część nawozów naturalnych będzie zagospodarowywana na gruntach własnych Wnioskodawcy, stanowiących areał 147 ha, z zachowaniem dopuszczalnej dawki azotu, wynoszącej nie więcej niż 170 kg/ha/rok. Pozostała cześć nawozów naturalnych przekazywana będzie do biogazowni na podstawie zawartej umowy.</w:t>
      </w:r>
      <w:r w:rsidRPr="00F03A9F">
        <w:rPr>
          <w:rFonts w:ascii="Times New Roman" w:eastAsia="Calibri" w:hAnsi="Times New Roman" w:cs="Times New Roman"/>
          <w:sz w:val="28"/>
        </w:rPr>
        <w:t xml:space="preserve"> </w:t>
      </w:r>
      <w:r w:rsidRPr="00F03A9F">
        <w:rPr>
          <w:rFonts w:ascii="Calibri" w:eastAsia="Times New Roman" w:hAnsi="Calibri" w:cs="Calibri"/>
          <w:sz w:val="28"/>
          <w:szCs w:val="28"/>
          <w:lang w:eastAsia="pl-PL"/>
        </w:rPr>
        <w:t>Planowany sposób postępowania z nawozami naturalnymi jest zgodny</w:t>
      </w:r>
      <w:r w:rsidRPr="00F03A9F">
        <w:rPr>
          <w:rFonts w:ascii="Times New Roman" w:eastAsia="Calibri" w:hAnsi="Times New Roman" w:cs="Times New Roman"/>
          <w:sz w:val="28"/>
        </w:rPr>
        <w:t xml:space="preserve"> </w:t>
      </w:r>
      <w:r w:rsidRPr="00F03A9F">
        <w:rPr>
          <w:rFonts w:ascii="Calibri" w:eastAsia="Times New Roman" w:hAnsi="Calibri" w:cs="Calibri"/>
          <w:sz w:val="28"/>
          <w:szCs w:val="28"/>
          <w:lang w:eastAsia="pl-PL"/>
        </w:rPr>
        <w:t>z przepisami określonymi w „Programie działań mających na celu zmniejszenie zanieczyszczenia wód azotanami pochodzącymi ze źródeł rolniczych oraz zapobieganie dalszemu zanieczyszczeniu” przyjętym rozporządzeniem Rady Ministrów z dnia 12 lutego 2020 r. (Dz. U. poz. 243).</w:t>
      </w:r>
    </w:p>
    <w:p w14:paraId="4D061245" w14:textId="77777777" w:rsidR="00F03A9F" w:rsidRPr="00F03A9F" w:rsidRDefault="00F03A9F" w:rsidP="00F03A9F">
      <w:pPr>
        <w:spacing w:after="120" w:line="240" w:lineRule="auto"/>
        <w:ind w:firstLine="709"/>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Przedsięwzięcie będzie zaopatrywane w wodę z gminnej sieci wodociągowej oraz z planowanego ujęcia wód podziemnych. Łączne średnioroczne zapotrzebowanie na wodę na terenie gospodarstwa rolnego kształtowało się będzie na poziomie około 21 776,45 m</w:t>
      </w:r>
      <w:r w:rsidRPr="00F03A9F">
        <w:rPr>
          <w:rFonts w:ascii="Calibri" w:eastAsia="Times New Roman" w:hAnsi="Calibri" w:cs="Calibri"/>
          <w:sz w:val="28"/>
          <w:szCs w:val="28"/>
          <w:vertAlign w:val="superscript"/>
          <w:lang w:eastAsia="pl-PL"/>
        </w:rPr>
        <w:t>3</w:t>
      </w:r>
      <w:r w:rsidRPr="00F03A9F">
        <w:rPr>
          <w:rFonts w:ascii="Calibri" w:eastAsia="Times New Roman" w:hAnsi="Calibri" w:cs="Calibri"/>
          <w:sz w:val="28"/>
          <w:szCs w:val="28"/>
          <w:lang w:eastAsia="pl-PL"/>
        </w:rPr>
        <w:t>/rok.</w:t>
      </w:r>
    </w:p>
    <w:p w14:paraId="7CF7B402" w14:textId="77777777" w:rsidR="00F03A9F" w:rsidRPr="00F03A9F" w:rsidRDefault="00F03A9F" w:rsidP="00F03A9F">
      <w:pPr>
        <w:spacing w:after="120" w:line="240" w:lineRule="auto"/>
        <w:ind w:firstLine="709"/>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lastRenderedPageBreak/>
        <w:t xml:space="preserve">Ścieki bytowe odprowadzane będą do istniejącego podziemnego, szczelnego zbiornika, a następnie wywożone do oczyszczalni ścieków przez koncesjonowanego przewoźnika. </w:t>
      </w:r>
    </w:p>
    <w:p w14:paraId="45C1B3DA" w14:textId="77777777" w:rsidR="00F03A9F" w:rsidRPr="00F03A9F" w:rsidRDefault="00F03A9F" w:rsidP="00F03A9F">
      <w:pPr>
        <w:spacing w:after="120" w:line="240" w:lineRule="auto"/>
        <w:ind w:firstLine="709"/>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 xml:space="preserve">Projektowany budynek chlewni będzie czyszczony poprzez spłukiwanie zanieczyszczeń czystą wodą pod ciśnieniem, bez użycia żadnych środków chemicznych. Zanieczyszczone wody powstające w tym procesie będą kierowane do kanałów podrusztowych zlokalizowanych pod planowanym budynkiem inwentarskim i zostaną zagospodarowane razem z gnojowicą. </w:t>
      </w:r>
    </w:p>
    <w:p w14:paraId="331D873D" w14:textId="77777777" w:rsidR="00F03A9F" w:rsidRPr="00F03A9F" w:rsidRDefault="00F03A9F" w:rsidP="00F03A9F">
      <w:pPr>
        <w:spacing w:after="120" w:line="240" w:lineRule="auto"/>
        <w:ind w:firstLine="709"/>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 xml:space="preserve">Dezynfekcja chlewni wykonywana będzie poprzez zamgławianie z użyciem środków biodegradowalnych bez generowania odcieków z tego procesu. </w:t>
      </w:r>
    </w:p>
    <w:p w14:paraId="0EDA0F39" w14:textId="77777777" w:rsidR="00F03A9F" w:rsidRPr="00F03A9F" w:rsidRDefault="00F03A9F" w:rsidP="00F03A9F">
      <w:pPr>
        <w:spacing w:after="120" w:line="240" w:lineRule="auto"/>
        <w:ind w:firstLine="709"/>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 xml:space="preserve">W związku z eksploatacją przedsięwzięcia nie przewiduje się powstawania ścieków przemysłowych. </w:t>
      </w:r>
    </w:p>
    <w:p w14:paraId="5E86ABF0" w14:textId="77777777" w:rsidR="00F03A9F" w:rsidRPr="00F03A9F" w:rsidRDefault="00F03A9F" w:rsidP="00F03A9F">
      <w:pPr>
        <w:spacing w:after="120" w:line="240" w:lineRule="auto"/>
        <w:ind w:firstLine="709"/>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Wody opadowe i roztopowe z powierzchni dachowych i utwardzonych nie będą ujmowane w systemy kanalizacji deszczowej, przewiduje się ich odprowadzanie powierzchniowe, w obrębie działki, do której Wnioskodawca posiada tytuł prawny.</w:t>
      </w:r>
    </w:p>
    <w:p w14:paraId="6F7EF2CC" w14:textId="77777777" w:rsidR="00F03A9F" w:rsidRPr="00F03A9F" w:rsidRDefault="00F03A9F" w:rsidP="00F03A9F">
      <w:pPr>
        <w:spacing w:after="120" w:line="240" w:lineRule="auto"/>
        <w:ind w:firstLine="709"/>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W wyniku funkcjonowania przedsięwzięcia będą wytwarzane odpady niebezpieczne, jak i inne niż niebezpieczne. Wszystkie powstające w gospodarstwie rolnym odpady będą magazynowane selektywnie, w przystosowanych pojemnikach i kontenerach, na utwardzonej powierzchni. Odpady będą zagospodarowywane zgodnie z przepisami prawa, to jest będą przekazywane w pierwszej kolejności do odzysku podmiotom posiadającym wymagane prawem zezwolenia w zakresie gospodarowania odpadami. W przypadku, kiedy nie będzie takiej możliwości, wytworzone odpady będą przekazywane do unieszkodliwiania. Gospodarstwo rolne będzie posiadało umowy ze specjalistycznymi podmiotami na odbiór wytwarzanych odpadów oraz prowadzić będzie ich ewidencję. Padłe zwierzęta będą magazynowane w konfiskatorze, w którym będą przetrzymywane maksymalnie do 48 godzin, to jest do czasu odbioru przez firmę zajmująca się utylizacją padłych zwierząt. Masy ziemne, powstające podczas realizacji przedsięwzięcia, zostaną rozplantowane na terenie przedsięwzięcia, w sposób niepowodujący zmiany kierunku spływu wód powierzchniowych oraz zmianę stosunków wodnych na terenach sąsiednich.</w:t>
      </w:r>
    </w:p>
    <w:p w14:paraId="7435696D" w14:textId="77777777" w:rsidR="00F03A9F" w:rsidRPr="00F03A9F" w:rsidRDefault="00F03A9F" w:rsidP="00F03A9F">
      <w:pPr>
        <w:spacing w:after="0" w:line="240" w:lineRule="auto"/>
        <w:rPr>
          <w:rFonts w:ascii="Calibri" w:eastAsia="Times New Roman" w:hAnsi="Calibri" w:cs="Calibri"/>
          <w:sz w:val="28"/>
          <w:szCs w:val="28"/>
          <w:lang w:eastAsia="pl-PL"/>
        </w:rPr>
      </w:pPr>
      <w:r w:rsidRPr="00F03A9F">
        <w:rPr>
          <w:rFonts w:ascii="Calibri" w:eastAsia="Times New Roman" w:hAnsi="Calibri" w:cs="Calibri"/>
          <w:sz w:val="28"/>
          <w:szCs w:val="28"/>
          <w:lang w:eastAsia="pl-PL"/>
        </w:rPr>
        <w:br w:type="page"/>
      </w:r>
    </w:p>
    <w:p w14:paraId="401A7B66" w14:textId="77777777" w:rsidR="00F03A9F" w:rsidRPr="00F03A9F" w:rsidRDefault="00F03A9F" w:rsidP="00F03A9F">
      <w:pPr>
        <w:spacing w:after="120" w:line="240" w:lineRule="auto"/>
        <w:ind w:firstLine="709"/>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lastRenderedPageBreak/>
        <w:t xml:space="preserve">Źródłami emisji zorganizowanej do powietrza będą głównie systemy wentylacji w istniejących chlewniach i projektowanym budynku inwentarskim, którymi wyprowadzane będą zanieczyszczenia pochodzące z procesów chowu zwierząt, w tym substancje odorotwórcze powstające w wyniku rozkładu produktów przemiany materii tych zwierząt. </w:t>
      </w:r>
    </w:p>
    <w:p w14:paraId="52FCDB2F" w14:textId="77777777" w:rsidR="00F03A9F" w:rsidRPr="00F03A9F" w:rsidRDefault="00F03A9F" w:rsidP="00F03A9F">
      <w:pPr>
        <w:spacing w:after="120" w:line="240" w:lineRule="auto"/>
        <w:ind w:firstLine="709"/>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W projektowanym budynku chlewni VI planuje się zainstalować nie więcej niż 17 wentylatorów dachowych z otwartymi wylotami pionowymi, z wylotami na wysokości minimum 6,2 m n.p.t., średnicy wylotu 0,91 m (±10%) oraz wydajności urządzenia 25 000 m</w:t>
      </w:r>
      <w:r w:rsidRPr="00F03A9F">
        <w:rPr>
          <w:rFonts w:ascii="Calibri" w:eastAsia="Times New Roman" w:hAnsi="Calibri" w:cs="Calibri"/>
          <w:sz w:val="28"/>
          <w:szCs w:val="28"/>
          <w:vertAlign w:val="superscript"/>
          <w:lang w:eastAsia="pl-PL"/>
        </w:rPr>
        <w:t>3</w:t>
      </w:r>
      <w:r w:rsidRPr="00F03A9F">
        <w:rPr>
          <w:rFonts w:ascii="Calibri" w:eastAsia="Times New Roman" w:hAnsi="Calibri" w:cs="Calibri"/>
          <w:sz w:val="28"/>
          <w:szCs w:val="28"/>
          <w:lang w:eastAsia="pl-PL"/>
        </w:rPr>
        <w:t>/h (±10%) każdy.</w:t>
      </w:r>
    </w:p>
    <w:p w14:paraId="49717FD4" w14:textId="77777777" w:rsidR="00F03A9F" w:rsidRPr="00F03A9F" w:rsidRDefault="00F03A9F" w:rsidP="00F03A9F">
      <w:pPr>
        <w:spacing w:after="120" w:line="240" w:lineRule="auto"/>
        <w:ind w:firstLine="709"/>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W ramach planowanego przedsięwzięcia przewidziano modernizację systemu wentylacji w istniejącej chlewni V. W budynku tym planuje się zainstalować nie więcej niż 12 wentylatorów dachowych z otwartymi wylotami pionowymi, z wylotami na wysokości minimum 6,5 m n.p.t., średnicy wylotu 0,63 m (±10%) oraz wydajności urządzenia 12 600 m</w:t>
      </w:r>
      <w:r w:rsidRPr="00F03A9F">
        <w:rPr>
          <w:rFonts w:ascii="Calibri" w:eastAsia="Times New Roman" w:hAnsi="Calibri" w:cs="Calibri"/>
          <w:sz w:val="28"/>
          <w:szCs w:val="28"/>
          <w:vertAlign w:val="superscript"/>
          <w:lang w:eastAsia="pl-PL"/>
        </w:rPr>
        <w:t>3</w:t>
      </w:r>
      <w:r w:rsidRPr="00F03A9F">
        <w:rPr>
          <w:rFonts w:ascii="Calibri" w:eastAsia="Times New Roman" w:hAnsi="Calibri" w:cs="Calibri"/>
          <w:sz w:val="28"/>
          <w:szCs w:val="28"/>
          <w:lang w:eastAsia="pl-PL"/>
        </w:rPr>
        <w:t>/h (±10%) każdy.</w:t>
      </w:r>
    </w:p>
    <w:p w14:paraId="2241B51E" w14:textId="77777777" w:rsidR="00F03A9F" w:rsidRPr="00F03A9F" w:rsidRDefault="00F03A9F" w:rsidP="00F03A9F">
      <w:pPr>
        <w:spacing w:after="120" w:line="240" w:lineRule="auto"/>
        <w:ind w:firstLine="709"/>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 xml:space="preserve">Źródłami emisji zanieczyszczeń do powietrza na terenie gospodarstwa rolnego będą także: projektowany kurnik (decyzja Burmistrza Śremu z 04.06.2019 r. znak PPSOŚ.6220.18.2018.BM o środowiskowych uwarunkowaniach), płyty obornikowe oraz istniejący kocioł węglowy o mocy 105 kW, zlokalizowany w kotłowni w chlewni III, sześć nagrzewnic gazowych o mocy 100 kW każda, do ogrzewania projektowanego kurnika oraz dwa agregaty prądotwórcze – jeden o mocy do 60 kW i drugi o mocy do 100 kW. Projektowana chlewnia VI nie będzie wyposażona w system ogrzewania. Emisja niezorganizowana związana z ruchem pojazdów obsługujących przedsięwzięcie będzie pomijalnie mała. Mieszanka paszowa będzie dostarczana do silosów specjalnymi paszowozami. Napełnianie silosów paszowych odbywać się będzie przewodami w sposób całkowicie szczelny, a rura odpowietrzająca skierowana będzie wylotem w dół, który to wyposażony będzie w filtr workowy. Odbiór gnojowicy z projektowanego budynku inwentarskiego odbywał się będzie za pomocą hermetycznego złącza. </w:t>
      </w:r>
      <w:bookmarkStart w:id="23" w:name="_Hlk104977627"/>
      <w:r w:rsidRPr="00F03A9F">
        <w:rPr>
          <w:rFonts w:ascii="Calibri" w:eastAsia="Times New Roman" w:hAnsi="Calibri" w:cs="Calibri"/>
          <w:sz w:val="28"/>
          <w:szCs w:val="28"/>
          <w:lang w:eastAsia="pl-PL"/>
        </w:rPr>
        <w:t xml:space="preserve">Emisja zanieczyszczeń do powietrza będzie ograniczana również poprzez </w:t>
      </w:r>
      <w:bookmarkEnd w:id="23"/>
      <w:r w:rsidRPr="00F03A9F">
        <w:rPr>
          <w:rFonts w:ascii="Calibri" w:eastAsia="Times New Roman" w:hAnsi="Calibri" w:cs="Calibri"/>
          <w:sz w:val="28"/>
          <w:szCs w:val="28"/>
          <w:lang w:eastAsia="pl-PL"/>
        </w:rPr>
        <w:t>nowoczesny i sprawny system wentylacji, skuteczne i systematyczne czyszczenie budynku inwentarskiego, stosowanie efektywnych mikroorganizmów (tak zwanych preparatów EM), obniżenie poziomu białka w diecie zwierząt, tucz fazowy dostosowany do wieku i masy ciała zwierząt, stosowanie dodatków paszowych.</w:t>
      </w:r>
    </w:p>
    <w:p w14:paraId="4DCE1637" w14:textId="77777777" w:rsidR="00F03A9F" w:rsidRPr="00F03A9F" w:rsidRDefault="00F03A9F" w:rsidP="00F03A9F">
      <w:pPr>
        <w:spacing w:after="0" w:line="240" w:lineRule="auto"/>
        <w:rPr>
          <w:rFonts w:ascii="Calibri" w:eastAsia="Times New Roman" w:hAnsi="Calibri" w:cs="Calibri"/>
          <w:sz w:val="28"/>
          <w:szCs w:val="28"/>
          <w:lang w:eastAsia="pl-PL"/>
        </w:rPr>
      </w:pPr>
      <w:r w:rsidRPr="00F03A9F">
        <w:rPr>
          <w:rFonts w:ascii="Calibri" w:eastAsia="Times New Roman" w:hAnsi="Calibri" w:cs="Calibri"/>
          <w:sz w:val="28"/>
          <w:szCs w:val="28"/>
          <w:lang w:eastAsia="pl-PL"/>
        </w:rPr>
        <w:br w:type="page"/>
      </w:r>
    </w:p>
    <w:p w14:paraId="76371F68" w14:textId="77777777" w:rsidR="00F03A9F" w:rsidRPr="00F03A9F" w:rsidRDefault="00F03A9F" w:rsidP="00F03A9F">
      <w:pPr>
        <w:spacing w:after="120" w:line="240" w:lineRule="auto"/>
        <w:ind w:firstLine="709"/>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lastRenderedPageBreak/>
        <w:t>Z przedstawionych w raporcie o oddziaływaniu przedsięwzięcia na środowisko obliczeń rozprzestrzeniania substancji wprowadzanych do powietrza z wyżej wymienionych źródeł wynika, że emisje te nie będą powodować przekroczenia dopuszczalnych wartości odniesienia w powietrzu oraz dopuszczalnych częstości przekroczeń określonych w rozporządzeniu Ministra Środowiska z dnia 26 stycznia 2010 r. w sprawie wartości odniesienia dla niektórych substancji w powietrzu (Dz. U. Nr 16, poz. 87) poza terenem, do którego Wnioskodawca posiada tytuł prawny oraz, że będą dotrzymane standardy jakości powietrza określone w rozporządzeniu Ministra Środowiska z dnia 24 sierpnia 2012 r. w sprawie poziomów niektórych substancji w powietrzu (Dz. U. z 2021 r. poz. 845). W związku z tym spełnione będą wymagania w zakresie ochrony powietrza określone w przepisach.</w:t>
      </w:r>
    </w:p>
    <w:p w14:paraId="3BBCDA68" w14:textId="77777777" w:rsidR="00F03A9F" w:rsidRPr="00F03A9F" w:rsidRDefault="00F03A9F" w:rsidP="00F03A9F">
      <w:pPr>
        <w:spacing w:after="120" w:line="240" w:lineRule="auto"/>
        <w:ind w:firstLine="709"/>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 xml:space="preserve">Źródłami hałasu emitowanego w wyniku funkcjonowania gospodarstwa rolnego będą stanowiły: planowany i istniejące budynki inwentarskie, kontenerowe agregaty prądotwórcze, wentylacja mechaniczna, przeładunek pasz, pompowanie nieczystości ciekłych, wygarnianie i załadunek obornika, pompowanie gnojowicy, przeładunek gazu do zbiorników i środki transportu. Istniejące budynki chlewni wentylowane są za pomocą łącznie 28 wentylatorów dachowych [sześciu wentylatorów o poziomie mocy akustycznej 77,9 dB każdy (chlewnia I i II), sześciu wentylatorów o poziomie mocy akustycznej 73,9 dB każdy (chlewnia III), 17 wentylatorów o poziomie mocy akustycznej 71 dB każdy (chlewnia IV i V)]. Projektowany kurnik zostanie wyposażony w dziewięć wentylatorów dachowych o poziomie mocy akustycznej nie wyższym niż 85,9 dB każdy i 14 wentylatorów szczytowych o poziomie mocy akustycznej nie wyższym niż 90 dB każdy. Wentylatory szczytowe w kurniku będą pracować tylko w porze dnia. Przedmiotowa chlewnia VI, zostanie wyposażona w maksymalnie 17 wentylatorów dachowych o poziomie mocy akustycznej nie wyższym niż 75 dB każdy. Wszystkie wentylatory dachowe będą źródłem hałasu zarówno w porze dziennej, jak i w porze nocnej. Emisja hałasu wewnątrz budynków związana będzie z hałasem wywoływanym przez zwierzęta. Maksymalny poziom dźwięku wewnątrz obiektów, w odległości metra od przegrody, wynosił będzie dla budynków chlewni 67 dB, dla budynku kurnika 75 dB oraz 97 dB dla agregatów prądotwórczych. Izolacyjność akustyczna istniejących i planowanego budynku inwentarskiego wynosi 48 dB dla ścian i 25 dB dla dachu, natomiast izolacyjność akustyczna ścian i dachów kontenerów dla agregatów prądotwórczych wynosi 25 dB. </w:t>
      </w:r>
    </w:p>
    <w:p w14:paraId="5713AAE9" w14:textId="77777777" w:rsidR="00F03A9F" w:rsidRPr="00F03A9F" w:rsidRDefault="00F03A9F" w:rsidP="00F03A9F">
      <w:pPr>
        <w:spacing w:after="0" w:line="240" w:lineRule="auto"/>
        <w:rPr>
          <w:rFonts w:ascii="Calibri" w:eastAsia="Times New Roman" w:hAnsi="Calibri" w:cs="Calibri"/>
          <w:sz w:val="28"/>
          <w:szCs w:val="28"/>
          <w:lang w:eastAsia="pl-PL"/>
        </w:rPr>
      </w:pPr>
      <w:r w:rsidRPr="00F03A9F">
        <w:rPr>
          <w:rFonts w:ascii="Calibri" w:eastAsia="Times New Roman" w:hAnsi="Calibri" w:cs="Calibri"/>
          <w:sz w:val="28"/>
          <w:szCs w:val="28"/>
          <w:lang w:eastAsia="pl-PL"/>
        </w:rPr>
        <w:br w:type="page"/>
      </w:r>
    </w:p>
    <w:p w14:paraId="28909266" w14:textId="77777777" w:rsidR="00F03A9F" w:rsidRPr="00F03A9F" w:rsidRDefault="00F03A9F" w:rsidP="00F03A9F">
      <w:pPr>
        <w:spacing w:after="120" w:line="240" w:lineRule="auto"/>
        <w:ind w:firstLine="709"/>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lastRenderedPageBreak/>
        <w:t xml:space="preserve">Po terenie gospodarstwa rolnego w ciągu ośmiu najmniej korzystnych godzin w porze dnia poruszać się będzie maksymalnie 10 pojazdów ciężkich </w:t>
      </w:r>
      <w:r w:rsidRPr="00F03A9F">
        <w:rPr>
          <w:rFonts w:ascii="Times New Roman" w:eastAsia="Calibri" w:hAnsi="Times New Roman" w:cs="Times New Roman"/>
          <w:sz w:val="28"/>
          <w:lang w:eastAsia="pl-PL"/>
        </w:rPr>
        <w:t>i cztery</w:t>
      </w:r>
      <w:r w:rsidRPr="00F03A9F">
        <w:rPr>
          <w:rFonts w:ascii="Calibri" w:eastAsia="Times New Roman" w:hAnsi="Calibri" w:cs="Calibri"/>
          <w:sz w:val="28"/>
          <w:szCs w:val="28"/>
          <w:lang w:eastAsia="pl-PL"/>
        </w:rPr>
        <w:t xml:space="preserve"> pojazdy lekkie. W porze nocy nie zakłada się poruszania pojazdów po terenie przedmiotowego gospodarstwa rolnego. Z analizy akustycznej przedstawionej w raporcie o oddziaływaniu przedsięwzięcia na środowisko wynika, że eksploatacja przedsięwzięcia nie spowoduje przekroczenia poziomu dopuszczalnego hałasu, określonego w rozporządzeniu Ministra Środowiska z dnia 14 czerwca 2007 r. w sprawie dopuszczalnych wartości poziomów hałasu w środowisku (Dz. U. z 2014 r. poz. 112), na najbliższym terenie chronionym akustycznie, znajdującym się w odległości około 13 m na wchód od terenu przedsięwzięcia (działka o numerze ewidencyjnym 248/2, obręb Kadzewo).</w:t>
      </w:r>
    </w:p>
    <w:p w14:paraId="4D4D2028" w14:textId="77777777" w:rsidR="00F03A9F" w:rsidRPr="00F03A9F" w:rsidRDefault="00F03A9F" w:rsidP="00F03A9F">
      <w:pPr>
        <w:spacing w:after="120" w:line="240" w:lineRule="auto"/>
        <w:ind w:firstLine="708"/>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 xml:space="preserve">Przedmiotowe przedsięwzięcie położone jest poza obszarami chronionymi na podstawie ustawy z dnia 16 kwietnia 2004 r. o ochronie przyrody (Dz. U. z 2022 r. poz. 916). Najbliżej położonymi obszarami Natura 2000 są: obszar specjalnej ochrony ptaków Ostoja Rogalińska PLB300017 i specjalny obszar ochrony siedliska Rogalińska Dolina Warty PLH300012, oddalone o około 7 km od przedsięwzięcia. Mając na uwadze lokalizację przedsięwzięcia na terenie rolnym, charakter przedsięwzięcia zakładający rozbudowę funkcjonującego gospodarstwa rolnego, brak konieczności wycinki drzew i krzewów, nałożone w decyzji warunki realizacji przedsięwzięcia oraz przy zastosowaniu przepisów ochrony gatunkowej, nie przewiduje się znacząco negatywnego oddziaływania przedsięwzięcia na etapie realizacji, eksploatacji i likwidacji na środowisko przyrodnicze, w tym na krajobraz i bioróżnorodność rozumianą jako liczebność i kondycję populacji występujących gatunków, w szczególności gatunków chronionych, rzadkich lub ginących oraz ich siedliska, w tym utraty, fragmentacji lub izolacji siedlisk oraz zaburzenia funkcji przez nie pełnionych, a także wpływu na ekosystemy – ich kondycję, stabilność, odporność na zaburzenia, fragmentację i pełnione funkcje w środowisku. Przedsięwzięcie nie powinno także spowodować nadmiernej eksploatacji lub niewłaściwego wykorzystania zasobów przyrodniczych, czy przyczynić się do rozprzestrzeniania się gatunków obcych. </w:t>
      </w:r>
    </w:p>
    <w:p w14:paraId="22D774DA" w14:textId="77777777" w:rsidR="00F03A9F" w:rsidRPr="00F03A9F" w:rsidRDefault="00F03A9F" w:rsidP="00F03A9F">
      <w:pPr>
        <w:spacing w:after="0" w:line="240" w:lineRule="auto"/>
        <w:rPr>
          <w:rFonts w:ascii="Calibri" w:eastAsia="Times New Roman" w:hAnsi="Calibri" w:cs="Calibri"/>
          <w:sz w:val="28"/>
          <w:szCs w:val="28"/>
          <w:lang w:eastAsia="pl-PL"/>
        </w:rPr>
      </w:pPr>
      <w:r w:rsidRPr="00F03A9F">
        <w:rPr>
          <w:rFonts w:ascii="Calibri" w:eastAsia="Times New Roman" w:hAnsi="Calibri" w:cs="Calibri"/>
          <w:sz w:val="28"/>
          <w:szCs w:val="28"/>
          <w:lang w:eastAsia="pl-PL"/>
        </w:rPr>
        <w:br w:type="page"/>
      </w:r>
    </w:p>
    <w:p w14:paraId="3EAA8C43" w14:textId="77777777" w:rsidR="00F03A9F" w:rsidRPr="00F03A9F" w:rsidRDefault="00F03A9F" w:rsidP="00F03A9F">
      <w:pPr>
        <w:spacing w:after="120" w:line="240" w:lineRule="auto"/>
        <w:ind w:firstLine="708"/>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lastRenderedPageBreak/>
        <w:t xml:space="preserve">Ze względu na lokalizację planowanego przedsięwzięcia poza obszarami Natura 2000 nie nastąpi jego negatywne oddziaływanie na te obszary, w szczególności na cele ochrony obszarów, gatunki, siedliska gatunków lub siedliska przyrodnicze będące przedmiotami ochrony obszarów Natura 2000, integralność obszarów Natura 2000 lub ich powiązanie z innymi obszarami. Nie przewiduje się również negatywnego oddziaływania skumulowanego planowanego przedsięwzięcia na środowisko przyrodnicze, w tym na przedmioty ochrony obszarów Natura 2000. </w:t>
      </w:r>
    </w:p>
    <w:p w14:paraId="2FD3C19B" w14:textId="77777777" w:rsidR="00F03A9F" w:rsidRPr="00F03A9F" w:rsidRDefault="00F03A9F" w:rsidP="00F03A9F">
      <w:pPr>
        <w:spacing w:after="120" w:line="240" w:lineRule="auto"/>
        <w:ind w:firstLine="708"/>
        <w:jc w:val="both"/>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Planowane przedsięwzięcie nie spowoduje naruszenia wymagań ochrony środowiska, jeśli zostaną spełnione warunki określone w raporcie o oddziaływaniu przedsięwzięcia na środowisko i w niniejszej decyzji o środowiskowych uwarunkowaniach.</w:t>
      </w:r>
    </w:p>
    <w:p w14:paraId="69B713EC" w14:textId="77777777" w:rsidR="00F03A9F" w:rsidRPr="00F03A9F" w:rsidRDefault="00F03A9F" w:rsidP="00F03A9F">
      <w:pPr>
        <w:spacing w:after="120" w:line="240" w:lineRule="auto"/>
        <w:ind w:firstLine="708"/>
        <w:jc w:val="both"/>
        <w:rPr>
          <w:rFonts w:ascii="Calibri" w:eastAsia="Times New Roman" w:hAnsi="Calibri" w:cs="Calibri"/>
          <w:sz w:val="28"/>
          <w:szCs w:val="28"/>
          <w:highlight w:val="yellow"/>
          <w:lang w:eastAsia="pl-PL"/>
        </w:rPr>
      </w:pPr>
    </w:p>
    <w:p w14:paraId="2F8442EA" w14:textId="6A331904" w:rsidR="00F03A9F" w:rsidRPr="00F03A9F" w:rsidRDefault="00F03A9F" w:rsidP="00F03A9F">
      <w:pPr>
        <w:spacing w:after="0" w:line="240" w:lineRule="auto"/>
        <w:ind w:left="1416"/>
        <w:jc w:val="center"/>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z up. BURMISTRZA</w:t>
      </w:r>
    </w:p>
    <w:p w14:paraId="0007E05B" w14:textId="77777777" w:rsidR="00F03A9F" w:rsidRPr="00F03A9F" w:rsidRDefault="00F03A9F" w:rsidP="00F03A9F">
      <w:pPr>
        <w:spacing w:after="0" w:line="240" w:lineRule="auto"/>
        <w:ind w:left="1416"/>
        <w:jc w:val="center"/>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Katarzyna Bednarowicz</w:t>
      </w:r>
    </w:p>
    <w:p w14:paraId="4936B243" w14:textId="77777777" w:rsidR="00F03A9F" w:rsidRPr="00F03A9F" w:rsidRDefault="00F03A9F" w:rsidP="00F03A9F">
      <w:pPr>
        <w:spacing w:after="0" w:line="240" w:lineRule="auto"/>
        <w:ind w:left="1416"/>
        <w:jc w:val="center"/>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naczelnik Pionu Gospodarowania</w:t>
      </w:r>
    </w:p>
    <w:p w14:paraId="52619ED0" w14:textId="77777777" w:rsidR="00F03A9F" w:rsidRPr="00F03A9F" w:rsidRDefault="00F03A9F" w:rsidP="00F03A9F">
      <w:pPr>
        <w:spacing w:after="0" w:line="240" w:lineRule="auto"/>
        <w:ind w:left="1416"/>
        <w:jc w:val="center"/>
        <w:rPr>
          <w:rFonts w:ascii="Calibri" w:eastAsia="Times New Roman" w:hAnsi="Calibri" w:cs="Calibri"/>
          <w:sz w:val="28"/>
          <w:szCs w:val="28"/>
          <w:lang w:eastAsia="pl-PL"/>
        </w:rPr>
      </w:pPr>
      <w:r w:rsidRPr="00F03A9F">
        <w:rPr>
          <w:rFonts w:ascii="Calibri" w:eastAsia="Times New Roman" w:hAnsi="Calibri" w:cs="Calibri"/>
          <w:sz w:val="28"/>
          <w:szCs w:val="28"/>
          <w:lang w:eastAsia="pl-PL"/>
        </w:rPr>
        <w:t>Przestrzenią i Środowiskiem</w:t>
      </w:r>
    </w:p>
    <w:p w14:paraId="2ECD6375" w14:textId="77777777" w:rsidR="004922DB" w:rsidRPr="00D96D0F" w:rsidRDefault="004922DB" w:rsidP="001A7E19">
      <w:pPr>
        <w:spacing w:after="0" w:line="240" w:lineRule="auto"/>
        <w:ind w:right="5668"/>
        <w:rPr>
          <w:rFonts w:ascii="Calibri" w:eastAsia="Times New Roman" w:hAnsi="Calibri" w:cs="Calibri"/>
          <w:bCs/>
          <w:sz w:val="28"/>
          <w:szCs w:val="28"/>
          <w:lang w:eastAsia="pl-PL"/>
        </w:rPr>
      </w:pPr>
    </w:p>
    <w:sectPr w:rsidR="004922DB" w:rsidRPr="00D96D0F" w:rsidSect="00D066E1">
      <w:headerReference w:type="default" r:id="rId13"/>
      <w:footerReference w:type="even" r:id="rId14"/>
      <w:footerReference w:type="default" r:id="rId15"/>
      <w:headerReference w:type="first" r:id="rId16"/>
      <w:footerReference w:type="first" r:id="rId17"/>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64152" w14:textId="77777777" w:rsidR="00032E42" w:rsidRDefault="00032E42" w:rsidP="00053E5A">
      <w:pPr>
        <w:spacing w:after="0" w:line="240" w:lineRule="auto"/>
      </w:pPr>
      <w:r>
        <w:separator/>
      </w:r>
    </w:p>
  </w:endnote>
  <w:endnote w:type="continuationSeparator" w:id="0">
    <w:p w14:paraId="3AB0230C" w14:textId="77777777" w:rsidR="00032E42" w:rsidRDefault="00032E42"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Nimbus Roman No9 L">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4F7C49B4" w:rsidR="00722E64" w:rsidRDefault="00722E64" w:rsidP="00722E64">
    <w:pPr>
      <w:pStyle w:val="Stopka"/>
      <w:jc w:val="center"/>
    </w:pPr>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E7DAB" w14:textId="77777777" w:rsidR="00032E42" w:rsidRDefault="00032E42" w:rsidP="00053E5A">
      <w:pPr>
        <w:spacing w:after="0" w:line="240" w:lineRule="auto"/>
      </w:pPr>
      <w:r>
        <w:separator/>
      </w:r>
    </w:p>
  </w:footnote>
  <w:footnote w:type="continuationSeparator" w:id="0">
    <w:p w14:paraId="17DF9A6E" w14:textId="77777777" w:rsidR="00032E42" w:rsidRDefault="00032E42" w:rsidP="00053E5A">
      <w:pPr>
        <w:spacing w:after="0" w:line="240" w:lineRule="auto"/>
      </w:pPr>
      <w:r>
        <w:continuationSeparator/>
      </w:r>
    </w:p>
  </w:footnote>
  <w:footnote w:id="1">
    <w:p w14:paraId="2ED5D3FB" w14:textId="77777777" w:rsidR="004E61DD" w:rsidRPr="009A2DB4" w:rsidRDefault="004E61DD" w:rsidP="004E61DD">
      <w:pPr>
        <w:pStyle w:val="Tekstprzypisudolnego"/>
        <w:jc w:val="both"/>
        <w:rPr>
          <w:sz w:val="28"/>
          <w:szCs w:val="28"/>
        </w:rPr>
      </w:pPr>
      <w:r w:rsidRPr="009A2DB4">
        <w:rPr>
          <w:rStyle w:val="Odwoanieprzypisudolnego"/>
          <w:sz w:val="28"/>
          <w:szCs w:val="28"/>
        </w:rPr>
        <w:footnoteRef/>
      </w:r>
      <w:r w:rsidRPr="009A2DB4">
        <w:rPr>
          <w:sz w:val="28"/>
          <w:szCs w:val="28"/>
        </w:rPr>
        <w:t xml:space="preserve"> </w:t>
      </w:r>
      <w:r w:rsidRPr="004E61DD">
        <w:rPr>
          <w:rFonts w:cs="Calibri"/>
          <w:sz w:val="28"/>
          <w:szCs w:val="28"/>
        </w:rPr>
        <w:t>Zastosowane symbole (I, II, III, IV, V i VI) budynków inwentarskich odpowiadają oznaczeniom użytym w Raporcie o oddziaływaniu przedsięwzięcia na środowisko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93444"/>
    <w:multiLevelType w:val="hybridMultilevel"/>
    <w:tmpl w:val="7E502328"/>
    <w:lvl w:ilvl="0" w:tplc="04150017">
      <w:start w:val="1"/>
      <w:numFmt w:val="lowerLetter"/>
      <w:lvlText w:val="%1)"/>
      <w:lvlJc w:val="left"/>
      <w:pPr>
        <w:tabs>
          <w:tab w:val="num" w:pos="780"/>
        </w:tabs>
        <w:ind w:left="78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374249C4">
      <w:start w:val="1"/>
      <w:numFmt w:val="decimal"/>
      <w:lvlText w:val="%4."/>
      <w:lvlJc w:val="left"/>
      <w:pPr>
        <w:tabs>
          <w:tab w:val="num" w:pos="360"/>
        </w:tabs>
        <w:ind w:left="36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15:restartNumberingAfterBreak="0">
    <w:nsid w:val="037F4B6E"/>
    <w:multiLevelType w:val="hybridMultilevel"/>
    <w:tmpl w:val="558C585E"/>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2"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70607F"/>
    <w:multiLevelType w:val="hybridMultilevel"/>
    <w:tmpl w:val="3216F76C"/>
    <w:lvl w:ilvl="0" w:tplc="A27CDF8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2E877E0"/>
    <w:multiLevelType w:val="hybridMultilevel"/>
    <w:tmpl w:val="59EE53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171055"/>
    <w:multiLevelType w:val="hybridMultilevel"/>
    <w:tmpl w:val="77C41572"/>
    <w:lvl w:ilvl="0" w:tplc="A27CDF8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13AF44F0"/>
    <w:multiLevelType w:val="hybridMultilevel"/>
    <w:tmpl w:val="74985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19656F95"/>
    <w:multiLevelType w:val="hybridMultilevel"/>
    <w:tmpl w:val="13B2DA2E"/>
    <w:lvl w:ilvl="0" w:tplc="A27CDF86">
      <w:start w:val="1"/>
      <w:numFmt w:val="bullet"/>
      <w:lvlText w:val=""/>
      <w:lvlJc w:val="left"/>
      <w:pPr>
        <w:ind w:left="1423" w:hanging="360"/>
      </w:pPr>
      <w:rPr>
        <w:rFonts w:ascii="Symbol" w:hAnsi="Symbol" w:hint="default"/>
      </w:rPr>
    </w:lvl>
    <w:lvl w:ilvl="1" w:tplc="04150003" w:tentative="1">
      <w:start w:val="1"/>
      <w:numFmt w:val="bullet"/>
      <w:lvlText w:val="o"/>
      <w:lvlJc w:val="left"/>
      <w:pPr>
        <w:ind w:left="2143" w:hanging="360"/>
      </w:pPr>
      <w:rPr>
        <w:rFonts w:ascii="Courier New" w:hAnsi="Courier New" w:cs="Courier New" w:hint="default"/>
      </w:rPr>
    </w:lvl>
    <w:lvl w:ilvl="2" w:tplc="04150005" w:tentative="1">
      <w:start w:val="1"/>
      <w:numFmt w:val="bullet"/>
      <w:lvlText w:val=""/>
      <w:lvlJc w:val="left"/>
      <w:pPr>
        <w:ind w:left="2863" w:hanging="360"/>
      </w:pPr>
      <w:rPr>
        <w:rFonts w:ascii="Wingdings" w:hAnsi="Wingdings" w:hint="default"/>
      </w:rPr>
    </w:lvl>
    <w:lvl w:ilvl="3" w:tplc="04150001" w:tentative="1">
      <w:start w:val="1"/>
      <w:numFmt w:val="bullet"/>
      <w:lvlText w:val=""/>
      <w:lvlJc w:val="left"/>
      <w:pPr>
        <w:ind w:left="3583" w:hanging="360"/>
      </w:pPr>
      <w:rPr>
        <w:rFonts w:ascii="Symbol" w:hAnsi="Symbol" w:hint="default"/>
      </w:rPr>
    </w:lvl>
    <w:lvl w:ilvl="4" w:tplc="04150003" w:tentative="1">
      <w:start w:val="1"/>
      <w:numFmt w:val="bullet"/>
      <w:lvlText w:val="o"/>
      <w:lvlJc w:val="left"/>
      <w:pPr>
        <w:ind w:left="4303" w:hanging="360"/>
      </w:pPr>
      <w:rPr>
        <w:rFonts w:ascii="Courier New" w:hAnsi="Courier New" w:cs="Courier New" w:hint="default"/>
      </w:rPr>
    </w:lvl>
    <w:lvl w:ilvl="5" w:tplc="04150005" w:tentative="1">
      <w:start w:val="1"/>
      <w:numFmt w:val="bullet"/>
      <w:lvlText w:val=""/>
      <w:lvlJc w:val="left"/>
      <w:pPr>
        <w:ind w:left="5023" w:hanging="360"/>
      </w:pPr>
      <w:rPr>
        <w:rFonts w:ascii="Wingdings" w:hAnsi="Wingdings" w:hint="default"/>
      </w:rPr>
    </w:lvl>
    <w:lvl w:ilvl="6" w:tplc="04150001" w:tentative="1">
      <w:start w:val="1"/>
      <w:numFmt w:val="bullet"/>
      <w:lvlText w:val=""/>
      <w:lvlJc w:val="left"/>
      <w:pPr>
        <w:ind w:left="5743" w:hanging="360"/>
      </w:pPr>
      <w:rPr>
        <w:rFonts w:ascii="Symbol" w:hAnsi="Symbol" w:hint="default"/>
      </w:rPr>
    </w:lvl>
    <w:lvl w:ilvl="7" w:tplc="04150003" w:tentative="1">
      <w:start w:val="1"/>
      <w:numFmt w:val="bullet"/>
      <w:lvlText w:val="o"/>
      <w:lvlJc w:val="left"/>
      <w:pPr>
        <w:ind w:left="6463" w:hanging="360"/>
      </w:pPr>
      <w:rPr>
        <w:rFonts w:ascii="Courier New" w:hAnsi="Courier New" w:cs="Courier New" w:hint="default"/>
      </w:rPr>
    </w:lvl>
    <w:lvl w:ilvl="8" w:tplc="04150005" w:tentative="1">
      <w:start w:val="1"/>
      <w:numFmt w:val="bullet"/>
      <w:lvlText w:val=""/>
      <w:lvlJc w:val="left"/>
      <w:pPr>
        <w:ind w:left="7183" w:hanging="360"/>
      </w:pPr>
      <w:rPr>
        <w:rFonts w:ascii="Wingdings" w:hAnsi="Wingdings" w:hint="default"/>
      </w:rPr>
    </w:lvl>
  </w:abstractNum>
  <w:abstractNum w:abstractNumId="10" w15:restartNumberingAfterBreak="0">
    <w:nsid w:val="1CDE3510"/>
    <w:multiLevelType w:val="hybridMultilevel"/>
    <w:tmpl w:val="CA3CFD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B30479"/>
    <w:multiLevelType w:val="multilevel"/>
    <w:tmpl w:val="244E4D3C"/>
    <w:lvl w:ilvl="0">
      <w:start w:val="2"/>
      <w:numFmt w:val="decimal"/>
      <w:lvlText w:val="%1"/>
      <w:lvlJc w:val="left"/>
      <w:pPr>
        <w:ind w:left="375" w:hanging="375"/>
      </w:pPr>
    </w:lvl>
    <w:lvl w:ilvl="1">
      <w:start w:val="1"/>
      <w:numFmt w:val="lowerLetter"/>
      <w:lvlText w:val="%2)"/>
      <w:lvlJc w:val="left"/>
      <w:pPr>
        <w:ind w:left="825" w:hanging="375"/>
      </w:pPr>
    </w:lvl>
    <w:lvl w:ilvl="2">
      <w:start w:val="1"/>
      <w:numFmt w:val="decimal"/>
      <w:lvlText w:val="%1.%2.%3"/>
      <w:lvlJc w:val="left"/>
      <w:pPr>
        <w:ind w:left="1620" w:hanging="720"/>
      </w:p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140" w:hanging="144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12" w15:restartNumberingAfterBreak="0">
    <w:nsid w:val="36E231DA"/>
    <w:multiLevelType w:val="hybridMultilevel"/>
    <w:tmpl w:val="7B3AEB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3A0A56F0"/>
    <w:multiLevelType w:val="hybridMultilevel"/>
    <w:tmpl w:val="20DAB1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0A25899"/>
    <w:multiLevelType w:val="hybridMultilevel"/>
    <w:tmpl w:val="49F22C64"/>
    <w:lvl w:ilvl="0" w:tplc="B05AFA14">
      <w:start w:val="1"/>
      <w:numFmt w:val="bullet"/>
      <w:lvlText w:val=""/>
      <w:lvlJc w:val="left"/>
      <w:pPr>
        <w:ind w:left="1287"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1703224"/>
    <w:multiLevelType w:val="hybridMultilevel"/>
    <w:tmpl w:val="9C18B13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6D23BE1"/>
    <w:multiLevelType w:val="hybridMultilevel"/>
    <w:tmpl w:val="C5E2F0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75C450D"/>
    <w:multiLevelType w:val="hybridMultilevel"/>
    <w:tmpl w:val="B73280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78C0E80"/>
    <w:multiLevelType w:val="hybridMultilevel"/>
    <w:tmpl w:val="E8C0A0A4"/>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8214B1B"/>
    <w:multiLevelType w:val="hybridMultilevel"/>
    <w:tmpl w:val="D1BCD042"/>
    <w:lvl w:ilvl="0" w:tplc="04150011">
      <w:start w:val="1"/>
      <w:numFmt w:val="decimal"/>
      <w:lvlText w:val="%1)"/>
      <w:lvlJc w:val="left"/>
      <w:pPr>
        <w:ind w:left="1146" w:hanging="360"/>
      </w:pPr>
      <w:rPr>
        <w:b w:val="0"/>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1" w15:restartNumberingAfterBreak="0">
    <w:nsid w:val="4BD273B5"/>
    <w:multiLevelType w:val="hybridMultilevel"/>
    <w:tmpl w:val="4AB6AFA2"/>
    <w:lvl w:ilvl="0" w:tplc="A27CDF8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2"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DC42C56"/>
    <w:multiLevelType w:val="hybridMultilevel"/>
    <w:tmpl w:val="33E2C8C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2735A0A"/>
    <w:multiLevelType w:val="hybridMultilevel"/>
    <w:tmpl w:val="0D16821E"/>
    <w:lvl w:ilvl="0" w:tplc="0552908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7CD1380"/>
    <w:multiLevelType w:val="hybridMultilevel"/>
    <w:tmpl w:val="F624530E"/>
    <w:lvl w:ilvl="0" w:tplc="AB00CDEA">
      <w:start w:val="1"/>
      <w:numFmt w:val="upperRoman"/>
      <w:lvlText w:val="%1."/>
      <w:lvlJc w:val="left"/>
      <w:pPr>
        <w:ind w:left="720" w:hanging="360"/>
      </w:pPr>
      <w:rPr>
        <w:rFonts w:asciiTheme="minorHAnsi" w:eastAsia="Times New Roman" w:hAnsiTheme="minorHAnsi" w:cstheme="minorHAns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4422E3"/>
    <w:multiLevelType w:val="hybridMultilevel"/>
    <w:tmpl w:val="273C8568"/>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64555CF6"/>
    <w:multiLevelType w:val="hybridMultilevel"/>
    <w:tmpl w:val="E2C890B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6C0D6A90"/>
    <w:multiLevelType w:val="hybridMultilevel"/>
    <w:tmpl w:val="AAAE4DA2"/>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48D266D"/>
    <w:multiLevelType w:val="hybridMultilevel"/>
    <w:tmpl w:val="985A2C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546418B"/>
    <w:multiLevelType w:val="hybridMultilevel"/>
    <w:tmpl w:val="92D6825C"/>
    <w:lvl w:ilvl="0" w:tplc="6DFE4B00">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97C5997"/>
    <w:multiLevelType w:val="multilevel"/>
    <w:tmpl w:val="244E4D3C"/>
    <w:lvl w:ilvl="0">
      <w:start w:val="2"/>
      <w:numFmt w:val="decimal"/>
      <w:lvlText w:val="%1"/>
      <w:lvlJc w:val="left"/>
      <w:pPr>
        <w:ind w:left="375" w:hanging="375"/>
      </w:pPr>
    </w:lvl>
    <w:lvl w:ilvl="1">
      <w:start w:val="1"/>
      <w:numFmt w:val="lowerLetter"/>
      <w:lvlText w:val="%2)"/>
      <w:lvlJc w:val="left"/>
      <w:pPr>
        <w:ind w:left="825" w:hanging="375"/>
      </w:pPr>
    </w:lvl>
    <w:lvl w:ilvl="2">
      <w:start w:val="1"/>
      <w:numFmt w:val="decimal"/>
      <w:lvlText w:val="%1.%2.%3"/>
      <w:lvlJc w:val="left"/>
      <w:pPr>
        <w:ind w:left="1620" w:hanging="720"/>
      </w:p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140" w:hanging="144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37" w15:restartNumberingAfterBreak="0">
    <w:nsid w:val="79A17383"/>
    <w:multiLevelType w:val="hybridMultilevel"/>
    <w:tmpl w:val="79C634D2"/>
    <w:lvl w:ilvl="0" w:tplc="A27CDF86">
      <w:start w:val="1"/>
      <w:numFmt w:val="bullet"/>
      <w:lvlText w:val=""/>
      <w:lvlJc w:val="left"/>
      <w:pPr>
        <w:ind w:left="1502" w:hanging="360"/>
      </w:pPr>
      <w:rPr>
        <w:rFonts w:ascii="Symbol" w:hAnsi="Symbol" w:hint="default"/>
      </w:rPr>
    </w:lvl>
    <w:lvl w:ilvl="1" w:tplc="04150003" w:tentative="1">
      <w:start w:val="1"/>
      <w:numFmt w:val="bullet"/>
      <w:lvlText w:val="o"/>
      <w:lvlJc w:val="left"/>
      <w:pPr>
        <w:ind w:left="2222" w:hanging="360"/>
      </w:pPr>
      <w:rPr>
        <w:rFonts w:ascii="Courier New" w:hAnsi="Courier New" w:cs="Courier New" w:hint="default"/>
      </w:rPr>
    </w:lvl>
    <w:lvl w:ilvl="2" w:tplc="04150005" w:tentative="1">
      <w:start w:val="1"/>
      <w:numFmt w:val="bullet"/>
      <w:lvlText w:val=""/>
      <w:lvlJc w:val="left"/>
      <w:pPr>
        <w:ind w:left="2942" w:hanging="360"/>
      </w:pPr>
      <w:rPr>
        <w:rFonts w:ascii="Wingdings" w:hAnsi="Wingdings" w:hint="default"/>
      </w:rPr>
    </w:lvl>
    <w:lvl w:ilvl="3" w:tplc="04150001" w:tentative="1">
      <w:start w:val="1"/>
      <w:numFmt w:val="bullet"/>
      <w:lvlText w:val=""/>
      <w:lvlJc w:val="left"/>
      <w:pPr>
        <w:ind w:left="3662" w:hanging="360"/>
      </w:pPr>
      <w:rPr>
        <w:rFonts w:ascii="Symbol" w:hAnsi="Symbol" w:hint="default"/>
      </w:rPr>
    </w:lvl>
    <w:lvl w:ilvl="4" w:tplc="04150003" w:tentative="1">
      <w:start w:val="1"/>
      <w:numFmt w:val="bullet"/>
      <w:lvlText w:val="o"/>
      <w:lvlJc w:val="left"/>
      <w:pPr>
        <w:ind w:left="4382" w:hanging="360"/>
      </w:pPr>
      <w:rPr>
        <w:rFonts w:ascii="Courier New" w:hAnsi="Courier New" w:cs="Courier New" w:hint="default"/>
      </w:rPr>
    </w:lvl>
    <w:lvl w:ilvl="5" w:tplc="04150005" w:tentative="1">
      <w:start w:val="1"/>
      <w:numFmt w:val="bullet"/>
      <w:lvlText w:val=""/>
      <w:lvlJc w:val="left"/>
      <w:pPr>
        <w:ind w:left="5102" w:hanging="360"/>
      </w:pPr>
      <w:rPr>
        <w:rFonts w:ascii="Wingdings" w:hAnsi="Wingdings" w:hint="default"/>
      </w:rPr>
    </w:lvl>
    <w:lvl w:ilvl="6" w:tplc="04150001" w:tentative="1">
      <w:start w:val="1"/>
      <w:numFmt w:val="bullet"/>
      <w:lvlText w:val=""/>
      <w:lvlJc w:val="left"/>
      <w:pPr>
        <w:ind w:left="5822" w:hanging="360"/>
      </w:pPr>
      <w:rPr>
        <w:rFonts w:ascii="Symbol" w:hAnsi="Symbol" w:hint="default"/>
      </w:rPr>
    </w:lvl>
    <w:lvl w:ilvl="7" w:tplc="04150003" w:tentative="1">
      <w:start w:val="1"/>
      <w:numFmt w:val="bullet"/>
      <w:lvlText w:val="o"/>
      <w:lvlJc w:val="left"/>
      <w:pPr>
        <w:ind w:left="6542" w:hanging="360"/>
      </w:pPr>
      <w:rPr>
        <w:rFonts w:ascii="Courier New" w:hAnsi="Courier New" w:cs="Courier New" w:hint="default"/>
      </w:rPr>
    </w:lvl>
    <w:lvl w:ilvl="8" w:tplc="04150005" w:tentative="1">
      <w:start w:val="1"/>
      <w:numFmt w:val="bullet"/>
      <w:lvlText w:val=""/>
      <w:lvlJc w:val="left"/>
      <w:pPr>
        <w:ind w:left="7262" w:hanging="360"/>
      </w:pPr>
      <w:rPr>
        <w:rFonts w:ascii="Wingdings" w:hAnsi="Wingdings" w:hint="default"/>
      </w:rPr>
    </w:lvl>
  </w:abstractNum>
  <w:abstractNum w:abstractNumId="38" w15:restartNumberingAfterBreak="0">
    <w:nsid w:val="7A9161DC"/>
    <w:multiLevelType w:val="hybridMultilevel"/>
    <w:tmpl w:val="0540D3D6"/>
    <w:lvl w:ilvl="0" w:tplc="A27CDF8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9" w15:restartNumberingAfterBreak="0">
    <w:nsid w:val="7AB95DD5"/>
    <w:multiLevelType w:val="hybridMultilevel"/>
    <w:tmpl w:val="05003D36"/>
    <w:lvl w:ilvl="0" w:tplc="D04A44DC">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DF748FB"/>
    <w:multiLevelType w:val="hybridMultilevel"/>
    <w:tmpl w:val="386AC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16797971">
    <w:abstractNumId w:val="29"/>
  </w:num>
  <w:num w:numId="2" w16cid:durableId="388774509">
    <w:abstractNumId w:val="35"/>
  </w:num>
  <w:num w:numId="3" w16cid:durableId="1915314768">
    <w:abstractNumId w:val="7"/>
  </w:num>
  <w:num w:numId="4" w16cid:durableId="1732924008">
    <w:abstractNumId w:val="22"/>
  </w:num>
  <w:num w:numId="5" w16cid:durableId="114646206">
    <w:abstractNumId w:val="13"/>
  </w:num>
  <w:num w:numId="6" w16cid:durableId="1440682328">
    <w:abstractNumId w:val="26"/>
  </w:num>
  <w:num w:numId="7" w16cid:durableId="792478214">
    <w:abstractNumId w:val="2"/>
  </w:num>
  <w:num w:numId="8" w16cid:durableId="1679427087">
    <w:abstractNumId w:val="28"/>
  </w:num>
  <w:num w:numId="9" w16cid:durableId="833715599">
    <w:abstractNumId w:val="4"/>
  </w:num>
  <w:num w:numId="10" w16cid:durableId="1599408382">
    <w:abstractNumId w:val="32"/>
  </w:num>
  <w:num w:numId="11" w16cid:durableId="1491826482">
    <w:abstractNumId w:val="40"/>
  </w:num>
  <w:num w:numId="12" w16cid:durableId="721253765">
    <w:abstractNumId w:val="41"/>
  </w:num>
  <w:num w:numId="13" w16cid:durableId="1743210591">
    <w:abstractNumId w:val="5"/>
  </w:num>
  <w:num w:numId="14" w16cid:durableId="1234194380">
    <w:abstractNumId w:val="33"/>
  </w:num>
  <w:num w:numId="15" w16cid:durableId="973678337">
    <w:abstractNumId w:val="30"/>
  </w:num>
  <w:num w:numId="16" w16cid:durableId="53744650">
    <w:abstractNumId w:val="36"/>
  </w:num>
  <w:num w:numId="17" w16cid:durableId="5695355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33359937">
    <w:abstractNumId w:val="20"/>
  </w:num>
  <w:num w:numId="19" w16cid:durableId="1128553478">
    <w:abstractNumId w:val="12"/>
  </w:num>
  <w:num w:numId="20" w16cid:durableId="648217800">
    <w:abstractNumId w:val="14"/>
  </w:num>
  <w:num w:numId="21" w16cid:durableId="719980056">
    <w:abstractNumId w:val="15"/>
  </w:num>
  <w:num w:numId="22" w16cid:durableId="1968925814">
    <w:abstractNumId w:val="1"/>
  </w:num>
  <w:num w:numId="23" w16cid:durableId="1101149052">
    <w:abstractNumId w:val="0"/>
  </w:num>
  <w:num w:numId="24" w16cid:durableId="1379355174">
    <w:abstractNumId w:val="18"/>
  </w:num>
  <w:num w:numId="25" w16cid:durableId="1344937102">
    <w:abstractNumId w:val="6"/>
  </w:num>
  <w:num w:numId="26" w16cid:durableId="860163094">
    <w:abstractNumId w:val="37"/>
  </w:num>
  <w:num w:numId="27" w16cid:durableId="1607617397">
    <w:abstractNumId w:val="9"/>
  </w:num>
  <w:num w:numId="28" w16cid:durableId="111285724">
    <w:abstractNumId w:val="27"/>
  </w:num>
  <w:num w:numId="29" w16cid:durableId="1468545237">
    <w:abstractNumId w:val="31"/>
  </w:num>
  <w:num w:numId="30" w16cid:durableId="80880487">
    <w:abstractNumId w:val="10"/>
  </w:num>
  <w:num w:numId="31" w16cid:durableId="1512335831">
    <w:abstractNumId w:val="11"/>
  </w:num>
  <w:num w:numId="32" w16cid:durableId="412161966">
    <w:abstractNumId w:val="3"/>
  </w:num>
  <w:num w:numId="33" w16cid:durableId="449401339">
    <w:abstractNumId w:val="34"/>
  </w:num>
  <w:num w:numId="34" w16cid:durableId="1086195584">
    <w:abstractNumId w:val="24"/>
  </w:num>
  <w:num w:numId="35" w16cid:durableId="1556964963">
    <w:abstractNumId w:val="39"/>
  </w:num>
  <w:num w:numId="36" w16cid:durableId="1069230913">
    <w:abstractNumId w:val="8"/>
  </w:num>
  <w:num w:numId="37" w16cid:durableId="604465429">
    <w:abstractNumId w:val="38"/>
  </w:num>
  <w:num w:numId="38" w16cid:durableId="242179945">
    <w:abstractNumId w:val="21"/>
  </w:num>
  <w:num w:numId="39" w16cid:durableId="20241624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04411037">
    <w:abstractNumId w:val="17"/>
  </w:num>
  <w:num w:numId="41" w16cid:durableId="92824386">
    <w:abstractNumId w:val="23"/>
  </w:num>
  <w:num w:numId="42" w16cid:durableId="881945193">
    <w:abstractNumId w:val="16"/>
  </w:num>
  <w:num w:numId="43" w16cid:durableId="6488428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20EF4"/>
    <w:rsid w:val="00032E42"/>
    <w:rsid w:val="00053E5A"/>
    <w:rsid w:val="000C0935"/>
    <w:rsid w:val="0010000E"/>
    <w:rsid w:val="001753AD"/>
    <w:rsid w:val="001A7E19"/>
    <w:rsid w:val="001E45F7"/>
    <w:rsid w:val="00200BD9"/>
    <w:rsid w:val="002443CE"/>
    <w:rsid w:val="00246E57"/>
    <w:rsid w:val="00250690"/>
    <w:rsid w:val="00296D46"/>
    <w:rsid w:val="002E64CC"/>
    <w:rsid w:val="0031777D"/>
    <w:rsid w:val="003625F3"/>
    <w:rsid w:val="003650B3"/>
    <w:rsid w:val="004266A8"/>
    <w:rsid w:val="004519AC"/>
    <w:rsid w:val="0048459B"/>
    <w:rsid w:val="004922DB"/>
    <w:rsid w:val="004C3713"/>
    <w:rsid w:val="004E61DD"/>
    <w:rsid w:val="00525346"/>
    <w:rsid w:val="00547B25"/>
    <w:rsid w:val="00575C7A"/>
    <w:rsid w:val="00582CAF"/>
    <w:rsid w:val="005A07CF"/>
    <w:rsid w:val="005B4C37"/>
    <w:rsid w:val="005E5887"/>
    <w:rsid w:val="00677A8F"/>
    <w:rsid w:val="006A6F3E"/>
    <w:rsid w:val="006D70A7"/>
    <w:rsid w:val="00722E64"/>
    <w:rsid w:val="00760E88"/>
    <w:rsid w:val="00775A53"/>
    <w:rsid w:val="00801B47"/>
    <w:rsid w:val="0081559F"/>
    <w:rsid w:val="00825443"/>
    <w:rsid w:val="00852A4F"/>
    <w:rsid w:val="00883567"/>
    <w:rsid w:val="00883E3F"/>
    <w:rsid w:val="008A398F"/>
    <w:rsid w:val="008A4EA9"/>
    <w:rsid w:val="009134E8"/>
    <w:rsid w:val="00917C21"/>
    <w:rsid w:val="009614DC"/>
    <w:rsid w:val="00962002"/>
    <w:rsid w:val="00977946"/>
    <w:rsid w:val="009937A8"/>
    <w:rsid w:val="00A22672"/>
    <w:rsid w:val="00A80570"/>
    <w:rsid w:val="00A831D2"/>
    <w:rsid w:val="00AA3AD3"/>
    <w:rsid w:val="00C114F0"/>
    <w:rsid w:val="00C636CE"/>
    <w:rsid w:val="00C74A10"/>
    <w:rsid w:val="00C9190F"/>
    <w:rsid w:val="00D066E1"/>
    <w:rsid w:val="00D91D83"/>
    <w:rsid w:val="00D96D0F"/>
    <w:rsid w:val="00DE0591"/>
    <w:rsid w:val="00E43A7B"/>
    <w:rsid w:val="00E560F8"/>
    <w:rsid w:val="00E81680"/>
    <w:rsid w:val="00E94009"/>
    <w:rsid w:val="00F03A9F"/>
    <w:rsid w:val="00F11BA4"/>
    <w:rsid w:val="00FA3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 w:type="paragraph" w:styleId="Tekstprzypisudolnego">
    <w:name w:val="footnote text"/>
    <w:basedOn w:val="Normalny"/>
    <w:link w:val="TekstprzypisudolnegoZnak"/>
    <w:uiPriority w:val="99"/>
    <w:semiHidden/>
    <w:unhideWhenUsed/>
    <w:rsid w:val="001753A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53AD"/>
    <w:rPr>
      <w:sz w:val="20"/>
      <w:szCs w:val="20"/>
    </w:rPr>
  </w:style>
  <w:style w:type="character" w:styleId="Odwoanieprzypisudolnego">
    <w:name w:val="footnote reference"/>
    <w:uiPriority w:val="99"/>
    <w:semiHidden/>
    <w:unhideWhenUsed/>
    <w:rsid w:val="001753AD"/>
    <w:rPr>
      <w:vertAlign w:val="superscript"/>
    </w:rPr>
  </w:style>
  <w:style w:type="numbering" w:customStyle="1" w:styleId="Bezlisty1">
    <w:name w:val="Bez listy1"/>
    <w:next w:val="Bezlisty"/>
    <w:uiPriority w:val="99"/>
    <w:semiHidden/>
    <w:unhideWhenUsed/>
    <w:rsid w:val="004E61DD"/>
  </w:style>
  <w:style w:type="numbering" w:customStyle="1" w:styleId="Bezlisty11">
    <w:name w:val="Bez listy11"/>
    <w:next w:val="Bezlisty"/>
    <w:uiPriority w:val="99"/>
    <w:semiHidden/>
    <w:unhideWhenUsed/>
    <w:rsid w:val="004E61DD"/>
  </w:style>
  <w:style w:type="numbering" w:customStyle="1" w:styleId="Bezlisty111">
    <w:name w:val="Bez listy111"/>
    <w:next w:val="Bezlisty"/>
    <w:uiPriority w:val="99"/>
    <w:semiHidden/>
    <w:unhideWhenUsed/>
    <w:rsid w:val="004E61DD"/>
  </w:style>
  <w:style w:type="table" w:styleId="Tabela-Siatka">
    <w:name w:val="Table Grid"/>
    <w:basedOn w:val="Standardowy"/>
    <w:uiPriority w:val="39"/>
    <w:rsid w:val="004E61DD"/>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4E61DD"/>
    <w:pPr>
      <w:spacing w:after="0" w:line="240" w:lineRule="auto"/>
      <w:ind w:left="720"/>
      <w:contextualSpacing/>
      <w:jc w:val="both"/>
    </w:pPr>
    <w:rPr>
      <w:rFonts w:ascii="Times New Roman" w:eastAsia="Calibri" w:hAnsi="Times New Roman" w:cs="Times New Roman"/>
      <w:sz w:val="28"/>
    </w:rPr>
  </w:style>
  <w:style w:type="table" w:customStyle="1" w:styleId="Tabela-Siatka1">
    <w:name w:val="Tabela - Siatka1"/>
    <w:basedOn w:val="Standardowy"/>
    <w:next w:val="Tabela-Siatka"/>
    <w:uiPriority w:val="39"/>
    <w:rsid w:val="00F03A9F"/>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msrem.bip.eur.pl/public/?id=219256"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documentId=mfrxilrtg4ytcmzyheydeltqmfyc4mzzg4zdsmzrgm"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cmzyheydeltqmfyc4mzzg4zdsmzqg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ip.legalis.pl/document-view.seam?documentId=mfrxilrtg4ytcmzyheydeltqmfyc4mzzg4zdsmrzh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p.legalis.pl/document-view.seam?documentId=mfrxilrtg4ytcmzyheydeltqmfyc4mzzg4zdsmrzg4"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43</Pages>
  <Words>12449</Words>
  <Characters>74696</Characters>
  <Application>Microsoft Office Word</Application>
  <DocSecurity>0</DocSecurity>
  <Lines>622</Lines>
  <Paragraphs>173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 Wartecki</dc:creator>
  <cp:lastModifiedBy>Marta Matuszewska</cp:lastModifiedBy>
  <cp:revision>16</cp:revision>
  <cp:lastPrinted>2020-02-11T13:09:00Z</cp:lastPrinted>
  <dcterms:created xsi:type="dcterms:W3CDTF">2022-01-20T09:45:00Z</dcterms:created>
  <dcterms:modified xsi:type="dcterms:W3CDTF">2022-06-07T05:14:00Z</dcterms:modified>
</cp:coreProperties>
</file>