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27556720"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B664A9">
        <w:rPr>
          <w:rFonts w:cstheme="minorHAnsi"/>
          <w:sz w:val="28"/>
          <w:szCs w:val="28"/>
        </w:rPr>
        <w:t>29</w:t>
      </w:r>
      <w:r w:rsidR="003B5D23">
        <w:rPr>
          <w:rFonts w:cstheme="minorHAnsi"/>
          <w:sz w:val="28"/>
          <w:szCs w:val="28"/>
        </w:rPr>
        <w:t xml:space="preserve"> września</w:t>
      </w:r>
      <w:r>
        <w:rPr>
          <w:rFonts w:cstheme="minorHAnsi"/>
          <w:sz w:val="28"/>
          <w:szCs w:val="28"/>
        </w:rPr>
        <w:t xml:space="preserve"> 2022</w:t>
      </w:r>
      <w:r w:rsidRPr="003A76C5">
        <w:rPr>
          <w:rFonts w:cstheme="minorHAnsi"/>
          <w:sz w:val="28"/>
          <w:szCs w:val="28"/>
        </w:rPr>
        <w:t xml:space="preserve"> roku</w:t>
      </w:r>
    </w:p>
    <w:p w14:paraId="4FE9DCF9" w14:textId="4D70DFA9"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3B5D23">
        <w:rPr>
          <w:rFonts w:cstheme="minorHAnsi"/>
          <w:sz w:val="28"/>
          <w:szCs w:val="28"/>
        </w:rPr>
        <w:t>8.2022</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5E3256E5"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 xml:space="preserve">2008 r. o udostępnianiu informacji o środowisku i jego ochronie, udziale społeczeństwa w ochronie środowiska oraz o ocenach oddziaływania na środowisko (Dz. U. z 2021 r. poz. </w:t>
      </w:r>
      <w:r w:rsidR="003B5D23">
        <w:rPr>
          <w:rFonts w:eastAsia="Times New Roman" w:cstheme="minorHAnsi"/>
          <w:sz w:val="28"/>
          <w:szCs w:val="28"/>
          <w:lang w:eastAsia="pl-PL"/>
        </w:rPr>
        <w:t>1029, z późn. zm.</w:t>
      </w:r>
      <w:r w:rsidRPr="0031777D">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zwanej dalej ustawą o udostępnianiu informacji, zawiadamiam strony postępowania, że </w:t>
      </w:r>
      <w:r w:rsidR="003B5D23">
        <w:rPr>
          <w:rFonts w:eastAsia="Times New Roman" w:cstheme="minorHAnsi"/>
          <w:sz w:val="28"/>
          <w:szCs w:val="28"/>
          <w:lang w:eastAsia="pl-PL"/>
        </w:rPr>
        <w:t>29.09</w:t>
      </w:r>
      <w:r w:rsidR="009134E8" w:rsidRPr="009134E8">
        <w:rPr>
          <w:rFonts w:eastAsia="Times New Roman" w:cstheme="minorHAnsi"/>
          <w:sz w:val="28"/>
          <w:szCs w:val="28"/>
          <w:lang w:eastAsia="pl-PL"/>
        </w:rPr>
        <w:t xml:space="preserve">.2022 r. Burmistrz Śremu wydał </w:t>
      </w:r>
      <w:r w:rsidR="009134E8">
        <w:rPr>
          <w:rFonts w:eastAsia="Times New Roman" w:cstheme="minorHAnsi"/>
          <w:sz w:val="28"/>
          <w:szCs w:val="28"/>
          <w:lang w:eastAsia="pl-PL"/>
        </w:rPr>
        <w:t xml:space="preserve">na rzecz </w:t>
      </w:r>
      <w:r w:rsidR="003B5D23">
        <w:rPr>
          <w:rFonts w:eastAsia="Times New Roman" w:cstheme="minorHAnsi"/>
          <w:sz w:val="28"/>
          <w:szCs w:val="28"/>
          <w:lang w:eastAsia="pl-PL"/>
        </w:rPr>
        <w:t>osób fizycznych</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środowiskowych uwarunkowaniach dla planowanego przedsięwzięcia polegającego na </w:t>
      </w:r>
      <w:r w:rsidR="003B5D23" w:rsidRPr="003B5D23">
        <w:rPr>
          <w:rFonts w:eastAsia="Times New Roman" w:cstheme="minorHAnsi"/>
          <w:sz w:val="28"/>
          <w:szCs w:val="28"/>
          <w:lang w:eastAsia="pl-PL"/>
        </w:rPr>
        <w:t>wykonaniu wiercenia do głębokości 114 m p.p.t. w celu zaopatrzenia w wodę, na działce o numerze ewidencyjnym 20/19, obręb Góra</w:t>
      </w:r>
      <w:r w:rsidR="009134E8" w:rsidRPr="009134E8">
        <w:rPr>
          <w:rFonts w:eastAsia="Times New Roman" w:cstheme="minorHAnsi"/>
          <w:sz w:val="28"/>
          <w:szCs w:val="28"/>
          <w:lang w:eastAsia="pl-PL"/>
        </w:rPr>
        <w:t>. Od decyzji służy stronie prawo wniesienia odwołania do Samorządowego Kolegium Odwoławczego w Poznaniu, za pośrednictwem Burmistrza Śremu, w</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terminie 14 dni od dnia doręczenia. W trakcie biegu terminu do wniesienia odwołania strona może, na podstawie art. 127a § 1 </w:t>
      </w:r>
      <w:r w:rsidR="003B5D23" w:rsidRPr="003B5D23">
        <w:rPr>
          <w:rFonts w:eastAsia="Times New Roman" w:cstheme="minorHAnsi"/>
          <w:sz w:val="28"/>
          <w:szCs w:val="28"/>
          <w:lang w:eastAsia="pl-PL"/>
        </w:rPr>
        <w:t>ustawy z dnia 14</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czerwca</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1960 r. – Kodeks postępowania administracyjnego (Dz. U. z 2022</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r. poz. 2000), zwanej dalej K.p.a.</w:t>
      </w:r>
      <w:r w:rsidR="009134E8" w:rsidRPr="009134E8">
        <w:rPr>
          <w:rFonts w:eastAsia="Times New Roman" w:cstheme="minorHAnsi"/>
          <w:sz w:val="28"/>
          <w:szCs w:val="28"/>
          <w:lang w:eastAsia="pl-PL"/>
        </w:rPr>
        <w:t>,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90D66">
        <w:rPr>
          <w:rFonts w:eastAsia="Times New Roman" w:cstheme="minorHAnsi"/>
          <w:sz w:val="28"/>
          <w:szCs w:val="28"/>
          <w:lang w:eastAsia="pl-PL"/>
        </w:rPr>
        <w:t> </w:t>
      </w:r>
      <w:r w:rsidR="009134E8" w:rsidRPr="009134E8">
        <w:rPr>
          <w:rFonts w:eastAsia="Times New Roman" w:cstheme="minorHAnsi"/>
          <w:sz w:val="28"/>
          <w:szCs w:val="28"/>
          <w:lang w:eastAsia="pl-PL"/>
        </w:rPr>
        <w:t xml:space="preserve">49 K.p.a. </w:t>
      </w:r>
    </w:p>
    <w:p w14:paraId="05D0B015" w14:textId="492DD4AF" w:rsidR="00C9190F" w:rsidRDefault="009134E8" w:rsidP="00590D66">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3BEDABB0" w14:textId="77777777" w:rsidR="00590D66" w:rsidRDefault="00590D66">
      <w:pPr>
        <w:rPr>
          <w:rFonts w:eastAsia="Times New Roman" w:cstheme="minorHAnsi"/>
          <w:sz w:val="28"/>
          <w:szCs w:val="28"/>
          <w:lang w:eastAsia="pl-PL"/>
        </w:rPr>
      </w:pPr>
      <w:r>
        <w:rPr>
          <w:rFonts w:eastAsia="Times New Roman" w:cstheme="minorHAnsi"/>
          <w:sz w:val="28"/>
          <w:szCs w:val="28"/>
          <w:lang w:eastAsia="pl-PL"/>
        </w:rPr>
        <w:br w:type="page"/>
      </w:r>
    </w:p>
    <w:p w14:paraId="1D7EAFF7" w14:textId="084C6B16" w:rsidR="009134E8" w:rsidRPr="009134E8" w:rsidRDefault="009134E8" w:rsidP="009134E8">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Publicznej Urzędu Miejskiego w Śremie (</w:t>
      </w:r>
      <w:r w:rsidR="00590D66" w:rsidRPr="00590D66">
        <w:rPr>
          <w:rFonts w:eastAsia="Times New Roman" w:cstheme="minorHAnsi"/>
          <w:sz w:val="28"/>
          <w:szCs w:val="28"/>
          <w:lang w:eastAsia="pl-PL"/>
        </w:rPr>
        <w:t>http://umsrem.bip.eur.pl/public/?id=219942</w:t>
      </w:r>
      <w:r w:rsidRPr="009134E8">
        <w:rPr>
          <w:rFonts w:eastAsia="Times New Roman" w:cstheme="minorHAnsi"/>
          <w:sz w:val="28"/>
          <w:szCs w:val="28"/>
          <w:lang w:eastAsia="pl-PL"/>
        </w:rPr>
        <w:t>).</w:t>
      </w:r>
    </w:p>
    <w:p w14:paraId="20314B08"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2F3D5ADC" w14:textId="77777777" w:rsidR="00590D66" w:rsidRPr="00D51F82" w:rsidRDefault="00590D66" w:rsidP="00590D66">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5FD37F7D" w14:textId="77777777" w:rsidR="00590D66" w:rsidRPr="00D51F82" w:rsidRDefault="00590D66" w:rsidP="00590D66">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3B460099"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D67012">
        <w:rPr>
          <w:rFonts w:eastAsia="Times New Roman" w:cstheme="minorHAnsi"/>
          <w:sz w:val="28"/>
          <w:szCs w:val="28"/>
          <w:lang w:eastAsia="pl-PL"/>
        </w:rPr>
        <w:t>30</w:t>
      </w:r>
      <w:r w:rsidR="00590D66">
        <w:rPr>
          <w:rFonts w:eastAsia="Times New Roman" w:cstheme="minorHAnsi"/>
          <w:sz w:val="28"/>
          <w:szCs w:val="28"/>
          <w:lang w:eastAsia="pl-PL"/>
        </w:rPr>
        <w:t>.09.2022</w:t>
      </w:r>
      <w:r w:rsidR="002E64CC">
        <w:rPr>
          <w:rFonts w:eastAsia="Times New Roman" w:cstheme="minorHAnsi"/>
          <w:sz w:val="28"/>
          <w:szCs w:val="28"/>
          <w:lang w:eastAsia="pl-PL"/>
        </w:rPr>
        <w:t xml:space="preserve">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35B2ED67" w14:textId="77777777" w:rsidR="00590D66" w:rsidRPr="00590D66" w:rsidRDefault="00590D66" w:rsidP="00590D66">
      <w:pPr>
        <w:spacing w:after="0" w:line="240" w:lineRule="auto"/>
        <w:ind w:right="5668"/>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Burmistrz Śremu</w:t>
      </w:r>
    </w:p>
    <w:p w14:paraId="2C4A6987" w14:textId="77777777" w:rsidR="00590D66" w:rsidRPr="00590D66" w:rsidRDefault="00590D66" w:rsidP="00590D66">
      <w:pPr>
        <w:spacing w:after="0" w:line="240" w:lineRule="auto"/>
        <w:ind w:right="5668"/>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ul. Plac 20 Października 1</w:t>
      </w:r>
    </w:p>
    <w:p w14:paraId="3DBF231B" w14:textId="77777777" w:rsidR="00590D66" w:rsidRPr="00590D66" w:rsidRDefault="00590D66" w:rsidP="00590D66">
      <w:pPr>
        <w:spacing w:after="0" w:line="240" w:lineRule="auto"/>
        <w:ind w:right="5668"/>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63-100 Śrem</w:t>
      </w:r>
    </w:p>
    <w:p w14:paraId="68B28C16" w14:textId="77777777" w:rsidR="00590D66" w:rsidRPr="00590D66" w:rsidRDefault="00590D66" w:rsidP="00590D66">
      <w:pPr>
        <w:spacing w:after="120" w:line="240" w:lineRule="auto"/>
        <w:jc w:val="right"/>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Śrem, 29 września 2022 roku</w:t>
      </w:r>
    </w:p>
    <w:p w14:paraId="24B51A8F"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PPSOŚ.6220.8.2022.BM</w:t>
      </w:r>
    </w:p>
    <w:p w14:paraId="52C8AF5F" w14:textId="77777777" w:rsidR="00590D66" w:rsidRPr="00590D66" w:rsidRDefault="00590D66" w:rsidP="00590D66">
      <w:pPr>
        <w:spacing w:after="120" w:line="240" w:lineRule="auto"/>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Decyzja</w:t>
      </w:r>
    </w:p>
    <w:p w14:paraId="77FCBE07"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Na podstawie art. 71 ust. 2 pkt 2, art. 75 ust. 1 pkt 4, art. 84 ust. 1 i ust. 2, art. 85 ust. 1 i ust. 2 pkt 2 ustawy z dnia 3 października 2008 r. o udostępnianiu informacji o środowisku i jego ochronie, udziale społeczeństwa w ochronie środowiska oraz o ocenach oddziaływania na środowisko (Dz. U. z 2022 r. poz. 1029, z późn. zm.), zwanej dalej ustawą, § 3 ust. 1 pkt 43 lit. b rozporządzenia Rady Ministrów z dnia 10 września 2019 r. w sprawie przedsięwzięć mogących znacząco oddziaływać na środowisko (Dz. U. poz. 1839 i z. 2022 r. poz. 1071) oraz art. 104 ustawy z dnia 14 czerwca 1960 r. – Kodeks postępowania administracyjnego (Dz. U. z 2022 r. poz. 2000), zwanej dalej K.p.a.,</w:t>
      </w:r>
    </w:p>
    <w:p w14:paraId="36130FAD" w14:textId="77777777" w:rsidR="00590D66" w:rsidRPr="00590D66" w:rsidRDefault="00590D66" w:rsidP="00590D66">
      <w:pPr>
        <w:spacing w:after="120" w:line="240" w:lineRule="auto"/>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po rozpatrzeniu</w:t>
      </w:r>
    </w:p>
    <w:p w14:paraId="144D2084" w14:textId="3D59E9F2"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wniosku </w:t>
      </w:r>
      <w:bookmarkStart w:id="0" w:name="_Hlk80172667"/>
      <w:r w:rsidRPr="00590D66">
        <w:rPr>
          <w:rFonts w:ascii="Calibri" w:eastAsia="Calibri" w:hAnsi="Calibri" w:cs="Calibri"/>
          <w:sz w:val="28"/>
          <w:szCs w:val="28"/>
        </w:rPr>
        <w:t xml:space="preserve">Panów: </w:t>
      </w:r>
      <w:r w:rsidR="009746B3">
        <w:rPr>
          <w:rFonts w:ascii="Calibri" w:eastAsia="Calibri" w:hAnsi="Calibri" w:cs="Calibri"/>
          <w:sz w:val="28"/>
          <w:szCs w:val="28"/>
        </w:rPr>
        <w:t>…………………………………………………………</w:t>
      </w:r>
      <w:r w:rsidR="00F8027A">
        <w:rPr>
          <w:rFonts w:ascii="Calibri" w:eastAsia="Calibri" w:hAnsi="Calibri" w:cs="Calibri"/>
          <w:sz w:val="28"/>
          <w:szCs w:val="28"/>
        </w:rPr>
        <w:t>………………………………….</w:t>
      </w:r>
      <w:r w:rsidRPr="00590D66">
        <w:rPr>
          <w:rFonts w:ascii="Calibri" w:eastAsia="Calibri" w:hAnsi="Calibri" w:cs="Calibri"/>
          <w:sz w:val="28"/>
          <w:szCs w:val="28"/>
        </w:rPr>
        <w:t xml:space="preserve"> </w:t>
      </w:r>
      <w:r w:rsidR="00F8027A">
        <w:rPr>
          <w:rFonts w:ascii="Calibri" w:eastAsia="Calibri" w:hAnsi="Calibri" w:cs="Calibri"/>
          <w:sz w:val="28"/>
          <w:szCs w:val="28"/>
        </w:rPr>
        <w:t>………………………………………………………………………………………………………………………………………………………………………</w:t>
      </w:r>
      <w:r w:rsidR="009746B3">
        <w:rPr>
          <w:rFonts w:ascii="Calibri" w:eastAsia="Calibri" w:hAnsi="Calibri" w:cs="Calibri"/>
          <w:sz w:val="28"/>
          <w:szCs w:val="28"/>
        </w:rPr>
        <w:t>……………………………………………..</w:t>
      </w:r>
      <w:r w:rsidRPr="00590D66">
        <w:rPr>
          <w:rFonts w:ascii="Calibri" w:eastAsia="Times New Roman" w:hAnsi="Calibri" w:cs="Calibri"/>
          <w:sz w:val="28"/>
          <w:szCs w:val="28"/>
          <w:lang w:eastAsia="pl-PL"/>
        </w:rPr>
        <w:t>,</w:t>
      </w:r>
      <w:r w:rsidRPr="00590D66">
        <w:rPr>
          <w:rFonts w:ascii="Calibri" w:eastAsia="Calibri" w:hAnsi="Calibri" w:cs="Calibri"/>
          <w:sz w:val="28"/>
          <w:szCs w:val="28"/>
        </w:rPr>
        <w:t xml:space="preserve"> o wydanie decyzji o środowiskowych uwarunkowaniach dla planowanego przedsięwzięcia polegającego na </w:t>
      </w:r>
      <w:bookmarkEnd w:id="0"/>
      <w:r w:rsidRPr="00590D66">
        <w:rPr>
          <w:rFonts w:ascii="Calibri" w:eastAsia="Calibri" w:hAnsi="Calibri" w:cs="Calibri"/>
          <w:sz w:val="28"/>
          <w:szCs w:val="28"/>
        </w:rPr>
        <w:t xml:space="preserve">budowie urządzenia wodnego – studni głębinowej (podstawowej) nr 1 z utworów neogeńskich – mioceńskich wraz z obudową na działce o numerze ewidencyjnym 20/19, obręb Góra oraz wykonaniu urządzenia wodnego – deszczowni do nawodnień gruntów rolnych (sadów) na działkach o numerach ewidencyjnych: </w:t>
      </w:r>
      <w:bookmarkStart w:id="1" w:name="_Hlk114208536"/>
      <w:r w:rsidRPr="00590D66">
        <w:rPr>
          <w:rFonts w:ascii="Calibri" w:eastAsia="Calibri" w:hAnsi="Calibri" w:cs="Calibri"/>
          <w:sz w:val="28"/>
          <w:szCs w:val="28"/>
        </w:rPr>
        <w:t>20/19; 20/16; 20/23; 20/26; 20/18; 20/8; 20/20; 20/22; 20/28, obręb Góra</w:t>
      </w:r>
      <w:bookmarkEnd w:id="1"/>
      <w:r w:rsidRPr="00590D66">
        <w:rPr>
          <w:rFonts w:ascii="Calibri" w:eastAsia="Calibri" w:hAnsi="Calibri" w:cs="Calibri"/>
          <w:sz w:val="28"/>
          <w:szCs w:val="28"/>
        </w:rPr>
        <w:t xml:space="preserve">, </w:t>
      </w:r>
    </w:p>
    <w:p w14:paraId="6DE5120F" w14:textId="77777777" w:rsidR="00590D66" w:rsidRPr="00590D66" w:rsidRDefault="00590D66" w:rsidP="00590D66">
      <w:pPr>
        <w:spacing w:after="120" w:line="240" w:lineRule="auto"/>
        <w:jc w:val="center"/>
        <w:rPr>
          <w:rFonts w:ascii="Calibri" w:eastAsia="Times New Roman" w:hAnsi="Calibri" w:cs="Calibri"/>
          <w:b/>
          <w:bCs/>
          <w:sz w:val="28"/>
          <w:szCs w:val="28"/>
          <w:lang w:eastAsia="pl-PL"/>
        </w:rPr>
      </w:pPr>
      <w:r w:rsidRPr="00590D66">
        <w:rPr>
          <w:rFonts w:ascii="Calibri" w:eastAsia="Times New Roman" w:hAnsi="Calibri" w:cs="Calibri"/>
          <w:b/>
          <w:bCs/>
          <w:sz w:val="28"/>
          <w:szCs w:val="28"/>
          <w:lang w:eastAsia="pl-PL"/>
        </w:rPr>
        <w:t>ustalam</w:t>
      </w:r>
    </w:p>
    <w:p w14:paraId="07F2CCCD"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b/>
          <w:bCs/>
          <w:sz w:val="28"/>
          <w:szCs w:val="28"/>
          <w:lang w:eastAsia="pl-PL"/>
        </w:rPr>
        <w:t>brak potrzeby przeprowadzenia oceny oddziaływania na środowisko</w:t>
      </w:r>
      <w:r w:rsidRPr="00590D66">
        <w:rPr>
          <w:rFonts w:ascii="Calibri" w:eastAsia="Times New Roman" w:hAnsi="Calibri" w:cs="Calibri"/>
          <w:sz w:val="28"/>
          <w:szCs w:val="28"/>
          <w:lang w:eastAsia="pl-PL"/>
        </w:rPr>
        <w:t xml:space="preserve"> dla planowanego przedsięwzięcia polegającego na </w:t>
      </w:r>
      <w:r w:rsidRPr="00590D66">
        <w:rPr>
          <w:rFonts w:ascii="Calibri" w:eastAsia="Calibri" w:hAnsi="Calibri" w:cs="Calibri"/>
          <w:sz w:val="28"/>
          <w:szCs w:val="28"/>
        </w:rPr>
        <w:t>wykonaniu wiercenia do głębokości 114 m p.p.t. w celu zaopatrzenia w wodę, na działce o numerze ewidencyjnym 20/19, obręb Góra</w:t>
      </w:r>
      <w:r w:rsidRPr="00590D66">
        <w:rPr>
          <w:rFonts w:ascii="Calibri" w:eastAsia="Times New Roman" w:hAnsi="Calibri" w:cs="Calibri"/>
          <w:sz w:val="28"/>
          <w:szCs w:val="28"/>
          <w:lang w:eastAsia="pl-PL"/>
        </w:rPr>
        <w:t>.</w:t>
      </w:r>
    </w:p>
    <w:p w14:paraId="08A797FD"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Integralną częścią decyzji jest charakterystyka przedsięwzięcia, stanowiąca załącznik nr 1 do niniejszej decyzji.</w:t>
      </w:r>
    </w:p>
    <w:p w14:paraId="207E6B47"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2CE63645" w14:textId="77777777" w:rsidR="00590D66" w:rsidRPr="00590D66" w:rsidRDefault="00590D66" w:rsidP="00590D66">
      <w:pPr>
        <w:spacing w:after="120" w:line="240" w:lineRule="auto"/>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Uzasadnienie</w:t>
      </w:r>
    </w:p>
    <w:p w14:paraId="16BCC6BE" w14:textId="34C4D3E6"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ab/>
        <w:t>20.04.2022 r. do Burmistrza Śremu wpłynął wniosek Panów:</w:t>
      </w:r>
      <w:r w:rsidR="009746B3">
        <w:rPr>
          <w:rFonts w:ascii="Calibri" w:eastAsia="Times New Roman" w:hAnsi="Calibri" w:cs="Calibri"/>
          <w:sz w:val="28"/>
          <w:szCs w:val="28"/>
          <w:lang w:eastAsia="pl-PL"/>
        </w:rPr>
        <w:t xml:space="preserve"> ………………………………………………………………………………………………………………………………………………………………………………………………………………………………………………………………………………………………………………………………………………..</w:t>
      </w:r>
      <w:r w:rsidRPr="00590D66">
        <w:rPr>
          <w:rFonts w:ascii="Calibri" w:eastAsia="Times New Roman" w:hAnsi="Calibri" w:cs="Calibri"/>
          <w:sz w:val="28"/>
          <w:szCs w:val="28"/>
          <w:lang w:eastAsia="pl-PL"/>
        </w:rPr>
        <w:t xml:space="preserve">, uzupełniony 20.05.2022 r., o wydanie decyzji o środowiskowych uwarunkowaniach dla planowanego przedsięwzięcia polegającego na budowie urządzenia wodnego – studni głębinowej (podstawowej) nr 1 z utworów neogeńskich – mioceńskich wraz z obudową na działce o numerze ewidencyjnym 20/19, obręb Góra oraz wykonaniu urządzenia wodnego – deszczowni do nawodnień gruntów rolnych (sadów) na działkach o numerach ewidencyjnych: 20/19; 20/16; 20/23; 20/26; 20/18; 20/8; 20/20; 20/22; 20/28, obręb Góra. </w:t>
      </w:r>
      <w:r w:rsidRPr="00590D66">
        <w:rPr>
          <w:rFonts w:ascii="Calibri" w:eastAsia="Calibri" w:hAnsi="Calibri" w:cs="Calibri"/>
          <w:sz w:val="28"/>
          <w:szCs w:val="28"/>
        </w:rPr>
        <w:t>Do wniosku załączona została karta informacyjna przedsięwzięcia, zwana dalej k.i.p. wraz z wymaganymi załącznikami.</w:t>
      </w:r>
    </w:p>
    <w:p w14:paraId="63211A0C"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07F132F4"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4B3C6008" w14:textId="77777777" w:rsidR="00590D66" w:rsidRPr="00590D66" w:rsidRDefault="00590D66" w:rsidP="00590D66">
      <w:pPr>
        <w:spacing w:after="120" w:line="240" w:lineRule="auto"/>
        <w:ind w:firstLine="708"/>
        <w:jc w:val="both"/>
        <w:rPr>
          <w:rFonts w:ascii="Calibri" w:eastAsia="Calibri" w:hAnsi="Calibri" w:cs="Calibri"/>
          <w:sz w:val="28"/>
          <w:szCs w:val="28"/>
        </w:rPr>
      </w:pPr>
      <w:r w:rsidRPr="00590D66">
        <w:rPr>
          <w:rFonts w:ascii="Calibri" w:eastAsia="Calibri" w:hAnsi="Calibri" w:cs="Calibri"/>
          <w:sz w:val="28"/>
          <w:szCs w:val="28"/>
        </w:rPr>
        <w:t>Planowane przedsięwzięcie będzie polegać na wykonaniu wiercenia w celu zaopatrzenia w wodę z planowanego ujęcia wód podziemnych o głębokości 114 m p.p.t., budowie urządzenia umożliwiającego pobór wód podziemnych w ilości Q</w:t>
      </w:r>
      <w:r w:rsidRPr="00590D66">
        <w:rPr>
          <w:rFonts w:ascii="Calibri" w:eastAsia="Calibri" w:hAnsi="Calibri" w:cs="Calibri"/>
          <w:sz w:val="28"/>
          <w:szCs w:val="28"/>
          <w:vertAlign w:val="subscript"/>
        </w:rPr>
        <w:t>hmax</w:t>
      </w:r>
      <w:r w:rsidRPr="00590D66">
        <w:rPr>
          <w:rFonts w:ascii="Calibri" w:eastAsia="Calibri" w:hAnsi="Calibri" w:cs="Calibri"/>
          <w:sz w:val="28"/>
          <w:szCs w:val="28"/>
        </w:rPr>
        <w:t xml:space="preserve"> = 20 m</w:t>
      </w:r>
      <w:r w:rsidRPr="00590D66">
        <w:rPr>
          <w:rFonts w:ascii="Calibri" w:eastAsia="Calibri" w:hAnsi="Calibri" w:cs="Calibri"/>
          <w:sz w:val="28"/>
          <w:szCs w:val="28"/>
          <w:vertAlign w:val="superscript"/>
        </w:rPr>
        <w:t>3</w:t>
      </w:r>
      <w:r w:rsidRPr="00590D66">
        <w:rPr>
          <w:rFonts w:ascii="Calibri" w:eastAsia="Calibri" w:hAnsi="Calibri" w:cs="Calibri"/>
          <w:sz w:val="28"/>
          <w:szCs w:val="28"/>
        </w:rPr>
        <w:t>/h</w:t>
      </w:r>
      <w:r w:rsidRPr="00590D66">
        <w:rPr>
          <w:rFonts w:ascii="Calibri" w:eastAsia="Calibri" w:hAnsi="Calibri" w:cs="Calibri"/>
          <w:bCs/>
          <w:sz w:val="28"/>
          <w:szCs w:val="28"/>
        </w:rPr>
        <w:t xml:space="preserve"> oraz gospodarowaniu wodą w rolnictwie polegające na melioracji na obszarze nie mniejszym niż 5 ha. Woda będzie wykorzystywana do nawadniania gruntów rolnych (sadów) o łącznej powierzchni 48,639 ha. W tym celu zostanie zamontowane urządzenie wodne (deszczownia), składające się z linii kropelkowych rozkładanych na powierzchni terenu. Obecnie grunty rolne nawadniane są wodą pobieraną z sieci wodociągowej. </w:t>
      </w:r>
    </w:p>
    <w:p w14:paraId="663CDEE2"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483F64FC"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b/>
          <w:bCs/>
          <w:sz w:val="28"/>
          <w:szCs w:val="28"/>
          <w:lang w:eastAsia="pl-PL"/>
        </w:rPr>
        <w:lastRenderedPageBreak/>
        <w:t>Przedmiotowe przedsięwzięcie zakwalifikowano do przedsięwzięć mogących potencjalnie znacząco oddziaływać na środowisko</w:t>
      </w:r>
      <w:r w:rsidRPr="00590D66">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bookmarkStart w:id="2" w:name="_Hlk114143443"/>
      <w:r w:rsidRPr="00590D66">
        <w:rPr>
          <w:rFonts w:ascii="Calibri" w:eastAsia="Times New Roman" w:hAnsi="Calibri" w:cs="Calibri"/>
          <w:sz w:val="28"/>
          <w:szCs w:val="28"/>
          <w:lang w:eastAsia="pl-PL"/>
        </w:rPr>
        <w:t xml:space="preserve">§ 3 ust. 1 </w:t>
      </w:r>
      <w:bookmarkEnd w:id="2"/>
      <w:r w:rsidRPr="00590D66">
        <w:rPr>
          <w:rFonts w:ascii="Calibri" w:eastAsia="Times New Roman" w:hAnsi="Calibri" w:cs="Calibri"/>
          <w:sz w:val="28"/>
          <w:szCs w:val="28"/>
          <w:lang w:eastAsia="pl-PL"/>
        </w:rPr>
        <w:t>pkt 43 lit. b: „wiercenia wykonywane w celu zaopatrzenia w wodę, z wyłączeniem wykonywania ujęć wód podziemnych o głębokości mniejszej niż 100 m;”, § 3 ust. 1 pkt 73: „urządzenia lub zespoły urządzeń umożliwiające pobór wód podziemnych lub sztuczne systemy zasilania wód podziemnych, inne niż wymienione w § 2 ust. 1 pkt 37, o zdolności poboru wody nie mniejszej niż 10 m</w:t>
      </w:r>
      <w:r w:rsidRPr="00590D66">
        <w:rPr>
          <w:rFonts w:ascii="Calibri" w:eastAsia="Times New Roman" w:hAnsi="Calibri" w:cs="Calibri"/>
          <w:sz w:val="28"/>
          <w:szCs w:val="28"/>
          <w:vertAlign w:val="superscript"/>
          <w:lang w:eastAsia="pl-PL"/>
        </w:rPr>
        <w:t>3</w:t>
      </w:r>
      <w:r w:rsidRPr="00590D66">
        <w:rPr>
          <w:rFonts w:ascii="Calibri" w:eastAsia="Times New Roman" w:hAnsi="Calibri" w:cs="Calibri"/>
          <w:sz w:val="28"/>
          <w:szCs w:val="28"/>
          <w:lang w:eastAsia="pl-PL"/>
        </w:rPr>
        <w:t xml:space="preserve"> na godzinę;”, § 3 ust. 1 pkt 74: „urządzenia lub zespoły urządzeń umożliwiające pobór wód podziemnych z tej samej warstwy wodonośnej, o zdolności poboru wody nie mniejszej niż 1 m</w:t>
      </w:r>
      <w:r w:rsidRPr="00590D66">
        <w:rPr>
          <w:rFonts w:ascii="Calibri" w:eastAsia="Times New Roman" w:hAnsi="Calibri" w:cs="Calibri"/>
          <w:sz w:val="28"/>
          <w:szCs w:val="28"/>
          <w:vertAlign w:val="superscript"/>
          <w:lang w:eastAsia="pl-PL"/>
        </w:rPr>
        <w:t>3</w:t>
      </w:r>
      <w:r w:rsidRPr="00590D66">
        <w:rPr>
          <w:rFonts w:ascii="Calibri" w:eastAsia="Times New Roman" w:hAnsi="Calibri" w:cs="Calibri"/>
          <w:sz w:val="28"/>
          <w:szCs w:val="28"/>
          <w:lang w:eastAsia="pl-PL"/>
        </w:rPr>
        <w:t xml:space="preserve"> na godzinę, inne niż wymienione w pkt 73, jeżeli w odległości mniejszej niż 500 m znajdują się inne urządzenia lub inny zespół urządzeń umożliwiający pobór wód podziemnych o zdolności poboru wody nie mniejszej niż 1 m3 na godzinę, z wyłączeniem zwykłego korzystania z wód;” i § 3 ust. 1 pkt 89 lit. d: „</w:t>
      </w:r>
      <w:r w:rsidRPr="00590D66">
        <w:rPr>
          <w:rFonts w:ascii="Calibri" w:eastAsia="Calibri" w:hAnsi="Calibri" w:cs="Calibri"/>
          <w:sz w:val="28"/>
          <w:szCs w:val="28"/>
          <w:shd w:val="clear" w:color="auto" w:fill="FFFFFF"/>
        </w:rPr>
        <w:t>gospodarowanie wodą w rolnictwie polegające na melioracji na obszarze nie mniejszym niż 5 ha innej niż wymieniona w lit. a-c;”.</w:t>
      </w:r>
    </w:p>
    <w:p w14:paraId="4311EC11"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Stosownie do art. 74 ust. 3a ustawy Burmistrz Śremu ustalił krąg podmiotów, którym przysługuje przymiot strony. Przymiot strony postępowania otrzymali: wnioskodawca i właściciele terenu, na którym realizowane będzie przedsięwzięcie (działki o numerach ewidencyjnych: </w:t>
      </w:r>
      <w:r w:rsidRPr="00590D66">
        <w:rPr>
          <w:rFonts w:ascii="Calibri" w:eastAsia="Calibri" w:hAnsi="Calibri" w:cs="Calibri"/>
          <w:sz w:val="28"/>
          <w:szCs w:val="28"/>
        </w:rPr>
        <w:t>20/19; 20/16; 20/23; 20/26; 20/18; 20/8; 20/20; 20/22; 20/28, obręb Góra</w:t>
      </w:r>
      <w:r w:rsidRPr="00590D66">
        <w:rPr>
          <w:rFonts w:ascii="Calibri" w:eastAsia="Times New Roman" w:hAnsi="Calibri" w:cs="Calibri"/>
          <w:sz w:val="28"/>
          <w:szCs w:val="28"/>
          <w:lang w:eastAsia="pl-PL"/>
        </w:rPr>
        <w:t>) oraz podmioty, którym przysługuje prawo rzeczowe do nieruchomości znajdujących się w obszarze wyznaczonym w odległości 100 m od granic terenu przedsięwzięcia. Obszar ten objął więc działki o numerach ewidencyjnych: 20/1; 20/29; 5; 13; 17; 32/1; 8/3; 20/21; 33/19; 9/2; 4; 19/1; 20/27; 33/4; 33/17; 33/18; 38/3; 8/4; 8/2; 10; 14/1; 14/2; 9/1; 19/2; 3; 7; 8/5; 8/1, obręb Góra, gmina Śrem oraz 3; 4/2; 10; 9; 8; 2; 1/5, obręb Boreczek, gmina Brodnica.</w:t>
      </w:r>
    </w:p>
    <w:p w14:paraId="219A1DD2"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Zgodnie z art. 61 § 4 K.p.a. i art. 74 ust. 3 ustawy strony postępowania zostały powiadomione o wszczęciu postępowania w formie obwieszczenia z 25.05.2022 r. Obwieszczenie zamieszczono w Biuletynie Informacji Publicznej Urzędu Miejskiego w Śremie (http://umsrem.bip.eur.pl/public/?id=219942), w gablotach informacyjnych Urzędu oraz na tablicy ogłoszeniowej w Górze i w Brodnicy.</w:t>
      </w:r>
    </w:p>
    <w:p w14:paraId="3076CC5E"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588B0C23"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 xml:space="preserve">Zgodnie z art. 64 ust. 1 ustawy Burmistrz Śremu, pismem z 28.12.2021 r., wystąpił do Regionalnego Dyrektora Ochrony Środowiska w Poznaniu, Dyrektora Zarządu Zlewni Państwowego Gospodarstwa Wodnego Wody Polskie w Poznaniu i Państwowego Powiatowego Inspektora Sanitarnego w Śremie, </w:t>
      </w:r>
      <w:bookmarkStart w:id="3" w:name="_Hlk114216712"/>
      <w:r w:rsidRPr="00590D66">
        <w:rPr>
          <w:rFonts w:ascii="Calibri" w:eastAsia="Times New Roman" w:hAnsi="Calibri" w:cs="Calibri"/>
          <w:sz w:val="28"/>
          <w:szCs w:val="28"/>
          <w:lang w:eastAsia="pl-PL"/>
        </w:rPr>
        <w:t>o opinię w sprawie obowiązku przeprowadzenia oceny oddziaływania przedmiotowego przedsięwzięcia na środowisko i określenia zakresu ewentualnego raportu</w:t>
      </w:r>
      <w:bookmarkEnd w:id="3"/>
      <w:r w:rsidRPr="00590D66">
        <w:rPr>
          <w:rFonts w:ascii="Calibri" w:eastAsia="Times New Roman" w:hAnsi="Calibri" w:cs="Calibri"/>
          <w:sz w:val="28"/>
          <w:szCs w:val="28"/>
          <w:lang w:eastAsia="pl-PL"/>
        </w:rPr>
        <w:t xml:space="preserve">. </w:t>
      </w:r>
    </w:p>
    <w:p w14:paraId="695D7A52"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Dyrektor Zarządu Zlewni Państwowego Gospodarstwa Wodnego Wody Polskie w Poznaniu, w piśmie z 30.05.2022 r. znak PO.ZZŚ.4.435.304.2022.AR.1, nie stwierdził potrzeby przeprowadzenia oceny oddziaływania planowanego przedsięwzięcia na środowisko. W uzasadnieniu Organ wskazał, że: „Mając na względzie charakter i skalę oddziaływania, zastosowane rozwiązania i technologie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 U. z 2016 poz. 1967).”.</w:t>
      </w:r>
    </w:p>
    <w:p w14:paraId="422A934D"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Państwowy Powiatowy Inspektor Sanitarny w Śremie, w piśmie z 08.06.2022 r. znak ON-NS.9011.18.28.2022, wyraził opinię, że przeprowadzenie oceny oddziaływania na środowisko nie jest wymagane, wskazując, co następuje: „Planowana inwestycja jest przedsięwzięciem mogącym potencjalnie znacząco oddziaływać na środowisko. Jednakże stwierdza się, że niedogodności związane z przedmiotową inwestycją (tj. hałas oraz zwiększona emisja zanieczyszczeń powietrza atmosferycznego) będą miały charakter krótkotrwały, tymczasowy i występować będą jedynie na etapie realizacji przedsięwzięcia. Postępując zgodne z rozwiązaniami przedstawionymi w karcie informacyjnej przedmiotowego przedsięwzięcia oraz dzięki przestrzeganiu reżimu techniczno-technologicznego, istnieje możliwość minimalizacji oddziaływań przedsięwzięcia, dlatego też stwierdza się, że inwestycja nie będzie znacząco wpływać na środowisko.”.</w:t>
      </w:r>
    </w:p>
    <w:p w14:paraId="7661BFF2"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1F0D91FD"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 xml:space="preserve">Regionalny Dyrektor Ochrony Środowiska w Poznaniu, w piśmie z 22.06.2022 r., zwrócił się do Burmistrza Śremu z prośbą o wezwanie wnioskodawcy do uzupełnienia k.i.p. poprzez przedstawienie dokumentacji hydrogeologicznej sporządzonej dla planowanego ujęcia wód podziemnych. Jednocześnie Regionalny Dyrektor wskazał, że w przedmiotowej sprawie należałoby rozdzielić wniosek o wydanie decyzji o środowiskowych uwarunkowaniach dla planowanego przedsięwzięcia na dwa wnioski. Zdaniem Organu opiniującego, </w:t>
      </w:r>
      <w:r w:rsidRPr="00590D66">
        <w:rPr>
          <w:rFonts w:ascii="Calibri" w:eastAsia="Calibri" w:hAnsi="Calibri" w:cs="Calibri"/>
          <w:sz w:val="28"/>
          <w:szCs w:val="28"/>
        </w:rPr>
        <w:t xml:space="preserve">w pierwszej kolejności wnioskodawca powinien uzyskać decyzję o środowiskowych uwarunkowaniach dla przedsięwzięcia </w:t>
      </w:r>
      <w:bookmarkStart w:id="4" w:name="_Hlk114214974"/>
      <w:r w:rsidRPr="00590D66">
        <w:rPr>
          <w:rFonts w:ascii="Calibri" w:eastAsia="Calibri" w:hAnsi="Calibri" w:cs="Calibri"/>
          <w:sz w:val="28"/>
          <w:szCs w:val="28"/>
        </w:rPr>
        <w:t>wymienionego w § 3 ust. 1 pkt 43 lit. b rozporządzenia w sprawie przedsięwzięć mogących znacząco oddziaływać na środowisko, polegającego na wykonaniu wiercenia w celu zaopatrzenia w wodę, która umożliwiłaby mu wykonanie planowanego odwiertu, przeprowadzenie próbnych pompowań i sporządzenie dokumentacji hydrogeologicznej ustalającej zasoby eksploatacyjne ujęcia</w:t>
      </w:r>
      <w:bookmarkEnd w:id="4"/>
      <w:r w:rsidRPr="00590D66">
        <w:rPr>
          <w:rFonts w:ascii="Calibri" w:eastAsia="Calibri" w:hAnsi="Calibri" w:cs="Calibri"/>
          <w:sz w:val="28"/>
          <w:szCs w:val="28"/>
        </w:rPr>
        <w:t xml:space="preserve">. Kolejnym krokiem powinno być złożenie wniosku o wydanie decyzji o środowiskowych uwarunkowaniach dla przedsięwzięcia wymienionego w § 3 ust. 1 pkt 73 i § 3 ust. 1 pkt 89 lit. d przywołanego rozporządzenia, do którego załącznik stanowiłaby (poza pozostałymi załącznikami wymaganymi ustawowo) kopia sporządzonej dla ujęcia dokumentacji hydrogeologicznej wraz z decyzją zatwierdzającą właściwego organu. </w:t>
      </w:r>
      <w:r w:rsidRPr="00590D66">
        <w:rPr>
          <w:rFonts w:ascii="Calibri" w:eastAsia="Times New Roman" w:hAnsi="Calibri" w:cs="Calibri"/>
          <w:sz w:val="28"/>
          <w:szCs w:val="28"/>
          <w:lang w:eastAsia="pl-PL"/>
        </w:rPr>
        <w:t>Regionalny Dyrektor wyjaśnił, że dane i informacje, jakimi dysponuje w chwili obecnej wnioskodawca, nie odzwierciedlają w pełni stanu rzeczywistego w zakresie przyszłego oddziaływania prowadzonego poboru wody podziemnej na przewidywaną do ujęcia warstwę wodonośną. Organ opiniujący stwierdził, że przedstawione w k.i.p. informacje bazują na danych dostępnych na tym etapie mających charakter założeń, które zostaną zweryfikowane na etapie późniejszym. W ocenie Regionalnego Dyrektora taki materiał dowodowy nie pozwala na zajęcie stanowiska wyrażającego jednoznacznie brak negatywnego oddziaływania ze strony przedsięwzięcia na środowisko hydrogeologiczne.</w:t>
      </w:r>
    </w:p>
    <w:p w14:paraId="66A6601D"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Mając powyższe na uwadze Burmistrz Śremu, pismem z 29.06.2022 r., wezwał wnioskodawcę do uzupełnienia k.i.p. i złożenia pisemnych wyjaśnień zgodnie z uwagami Regionalnego Dyrektora Ochrony Środowiska w Poznaniu. </w:t>
      </w:r>
    </w:p>
    <w:p w14:paraId="17C22423"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0DF0FFE6" w14:textId="77777777" w:rsidR="00590D66" w:rsidRPr="00590D66" w:rsidRDefault="00590D66" w:rsidP="00590D66">
      <w:pPr>
        <w:spacing w:after="120" w:line="240" w:lineRule="auto"/>
        <w:ind w:firstLine="709"/>
        <w:jc w:val="both"/>
        <w:rPr>
          <w:rFonts w:ascii="Calibri" w:eastAsia="Calibri" w:hAnsi="Calibri" w:cs="Calibri"/>
          <w:sz w:val="28"/>
          <w:szCs w:val="28"/>
        </w:rPr>
      </w:pPr>
      <w:r w:rsidRPr="00590D66">
        <w:rPr>
          <w:rFonts w:ascii="Calibri" w:eastAsia="Times New Roman" w:hAnsi="Calibri" w:cs="Calibri"/>
          <w:sz w:val="28"/>
          <w:szCs w:val="28"/>
          <w:lang w:eastAsia="pl-PL"/>
        </w:rPr>
        <w:lastRenderedPageBreak/>
        <w:t xml:space="preserve">Wnioskodawca, w piśmie z 07.07.2022 r., uzupełnionym 14.07.2022 r., zmodyfikował zakres planowanego przedsięwzięcia i wniósł o wydanie decyzji o środowiskowych uwarunkowaniach wyłącznie dla przedsięwzięcia </w:t>
      </w:r>
      <w:r w:rsidRPr="00590D66">
        <w:rPr>
          <w:rFonts w:ascii="Calibri" w:eastAsia="Calibri" w:hAnsi="Calibri" w:cs="Calibri"/>
          <w:sz w:val="28"/>
          <w:szCs w:val="28"/>
        </w:rPr>
        <w:t xml:space="preserve">wymienionego w § 3 ust. 1 pkt 43 lit. b rozporządzenia w sprawie przedsięwzięć mogących znacząco oddziaływać na środowisko, polegającego na wykonaniu wiercenia w celu ustalenia warunków hydrogeologicznych występujących na rozpatrywanym terenie i na ich podstawie wykonania dokumentacji hydrogeologicznej ustalającej zasoby eksploatacyjne projektowanego ujęcia wód podziemnych. </w:t>
      </w:r>
    </w:p>
    <w:p w14:paraId="7195E255"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Burmistrz Śremu, pismem z 15.07.2022 r., przekazał Regionalnemu Dyrektorowi Ochrony Środowiska w Poznaniu pisemne wyjaśnienia wnioskodawcy.</w:t>
      </w:r>
    </w:p>
    <w:p w14:paraId="1E18D788"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Regionalny Dyrektor Ochrony Środowiska w Poznaniu w piśmie z 29.07.2022 r. znak WOO-IV.4220.664.2022.AK.3 wyraził opinię, że dla przedsięwzięcia polegającego na wykonaniu wiercenia do głębokości 114 m p.p.t. w celu zaopatrzenia w wodę, nie ma potrzeby przeprowadzenia oceny oddziaływania na środowisko. W uzasadnieniu Organ opiniujący stwierdził między innymi, że przedsięwzięcie nie będzie negatywnie wpływać na lokalne warunki gruntowo-wodne, w tym na ilościowy i jakościowy stan wód powierzchniowych i podziemnych. </w:t>
      </w:r>
    </w:p>
    <w:p w14:paraId="3A11519A"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W związku ze zmianą zakresu planowanego przedsięwzięcia, Burmistrz Śremu, pismem z 17.08.2022 r., zwrócił się do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w:t>
      </w:r>
    </w:p>
    <w:p w14:paraId="45744894"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Dyrektor Zarządu Zlewni Państwowego Gospodarstwa Wodnego Wody Polskie w Poznaniu, w piśmie z 29.08.2022 r. znak PO.ZZŚ.4.435.304.2022.AR.2, poinformował, że podtrzymuje swoją opinię wyrażoną w piśmie z 30.05.2022 r. znak PO.ZZŚ.4.435.304.2022.AR.1, w której nie stwierdza potrzeby przeprowadzenia oceny oddziaływania przedsięwzięcia na środowisko.</w:t>
      </w:r>
    </w:p>
    <w:p w14:paraId="1911221F"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4156B642" w14:textId="77777777" w:rsidR="00590D66" w:rsidRPr="00590D66" w:rsidRDefault="00590D66" w:rsidP="00590D66">
      <w:pPr>
        <w:spacing w:after="120" w:line="240" w:lineRule="auto"/>
        <w:ind w:firstLine="709"/>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Państwowy Powiatowy Inspektor Sanitarny w Śremie, w piśmie z 31.08.2022 r. znak ON-NS.9011.18.36.2022, wyraził opinię, że przeprowadzenie oceny oddziaływania na środowisko nie jest wymagane, wskazując, co następuje: „Planowana inwestycja jest przedsięwzięciem mogącym potencjalnie znacząco oddziaływać na środowisko. Jednakże stwierdza się, że niedogodności związane z przedmiotową inwestycją (tj. hałas oraz zwiększona emisja zanieczyszczeń powietrza atmosferycznego) będą miały charakter krótkotrwały, tymczasowy i występować będą jedynie na etapie realizacji przedsięwzięcia. Postępując zgodne z rozwiązaniami przedstawionymi w karcie informacyjnej przedmiotowego przedsięwzięcia oraz dzięki przestrzeganiu reżimu techniczno-technologicznego, istnieje możliwość minimalizacji oddziaływań przedsięwzięcia, dlatego też stwierdza się, że inwestycja nie będzie znacząco wpływać na środowisko.”.</w:t>
      </w:r>
    </w:p>
    <w:p w14:paraId="369AE841"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Zgodnie z art. 10 K.p.a. i art. 74 ust. 3 ustawy strony postępowania zostały powiadomione, w formie obwieszczenia z 05.09.2022 r., o możliwości zapoznania się i wypowiedzenia co do materiałów zgromadzonych w sprawie, w terminie pięciu dni od dnia dokonania zawiadomienia. Obwieszczenie zamieszczono w Biuletynie Informacji Publicznej Urzędu Miejskiego w Śremie (http://umsrem.bip.eur.pl/public/?id=219942), w gablotach informacyjnych Urzędu oraz na tablicy ogłoszeniowej w Górze i w Brodnicy. Żadna ze stron postępowania nie skorzystała z przysługującego jej prawa.</w:t>
      </w:r>
    </w:p>
    <w:p w14:paraId="6FCCDD20"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5" w:name="mip53179001"/>
      <w:bookmarkEnd w:id="5"/>
      <w:r w:rsidRPr="00590D66">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6" w:name="mip53179366"/>
      <w:bookmarkEnd w:id="6"/>
      <w:r w:rsidRPr="00590D66">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14C1AD3"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Po przeanalizowaniu stanowisk Organów opiniujących, informacji zawartych w k.i.p. oraz uwzględniając łącznie kryteria wskazane w art. 63 ust. 1 ustawy, zgodnie z art. 84 ust. 1 ustawy </w:t>
      </w:r>
      <w:r w:rsidRPr="00590D66">
        <w:rPr>
          <w:rFonts w:ascii="Calibri" w:eastAsia="Times New Roman" w:hAnsi="Calibri" w:cs="Calibri"/>
          <w:b/>
          <w:bCs/>
          <w:sz w:val="28"/>
          <w:szCs w:val="28"/>
          <w:lang w:eastAsia="pl-PL"/>
        </w:rPr>
        <w:t>Burmistrz Śremu w decyzji stwierdził brak potrzeby przeprowadzenia oceny oddziaływania przedsięwzięcia na środowisko</w:t>
      </w:r>
      <w:r w:rsidRPr="00590D66">
        <w:rPr>
          <w:rFonts w:ascii="Calibri" w:eastAsia="Times New Roman" w:hAnsi="Calibri" w:cs="Calibri"/>
          <w:sz w:val="28"/>
          <w:szCs w:val="28"/>
          <w:lang w:eastAsia="pl-PL"/>
        </w:rPr>
        <w:t xml:space="preserve">. </w:t>
      </w:r>
    </w:p>
    <w:p w14:paraId="7FADD06A"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 xml:space="preserve">Zgodnie z art. 84 ust. 2 ustawy charakterystyka przedsięwzięcia stanowi załącznik do decyzji o środowiskowych uwarunkowaniach. </w:t>
      </w:r>
    </w:p>
    <w:p w14:paraId="4A216273"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Biorąc pod uwagę informacje przedstawione w k.i.p., w niniejszej sprawie nie zachodzi konieczność nałożenia obowiązku przeprowadzenia oceny oddziaływania na środowisko, na mocy art. 63 ust. 3 pkt 1 i 2 ustawy.</w:t>
      </w:r>
    </w:p>
    <w:p w14:paraId="7DCABE00"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65E7F93D"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Wobec powyższego na podstawie k.i.p. oraz posiadanych przez Urząd materiałów kartograficznych, w związku z art. 63 ust. 1 </w:t>
      </w:r>
      <w:r w:rsidRPr="00590D66">
        <w:rPr>
          <w:rFonts w:ascii="Calibri" w:eastAsia="SimSun" w:hAnsi="Calibri" w:cs="Calibri"/>
          <w:kern w:val="1"/>
          <w:sz w:val="28"/>
          <w:szCs w:val="28"/>
          <w:lang w:eastAsia="hi-IN" w:bidi="hi-IN"/>
        </w:rPr>
        <w:t>ustawy,</w:t>
      </w:r>
      <w:r w:rsidRPr="00590D66">
        <w:rPr>
          <w:rFonts w:ascii="Calibri" w:eastAsia="Times New Roman" w:hAnsi="Calibri" w:cs="Calibri"/>
          <w:sz w:val="28"/>
          <w:szCs w:val="28"/>
          <w:lang w:eastAsia="pl-PL"/>
        </w:rPr>
        <w:t xml:space="preserve"> przedstawia się co następuje:</w:t>
      </w:r>
    </w:p>
    <w:p w14:paraId="0F518117"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590D66">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590D66">
        <w:rPr>
          <w:rFonts w:ascii="Calibri" w:eastAsia="SimSun" w:hAnsi="Calibri" w:cs="Calibri"/>
          <w:kern w:val="1"/>
          <w:sz w:val="28"/>
          <w:szCs w:val="28"/>
          <w:lang w:eastAsia="hi-IN" w:bidi="hi-IN"/>
        </w:rPr>
        <w:t xml:space="preserve">: </w:t>
      </w:r>
    </w:p>
    <w:p w14:paraId="44D2005C" w14:textId="77777777" w:rsidR="00590D66" w:rsidRPr="00590D66" w:rsidRDefault="00590D66" w:rsidP="00590D66">
      <w:pPr>
        <w:spacing w:after="120" w:line="240" w:lineRule="auto"/>
        <w:ind w:left="284"/>
        <w:jc w:val="both"/>
        <w:rPr>
          <w:rFonts w:ascii="Calibri" w:eastAsia="SimSun" w:hAnsi="Calibri" w:cs="Calibri"/>
          <w:kern w:val="1"/>
          <w:sz w:val="28"/>
          <w:szCs w:val="28"/>
          <w:lang w:eastAsia="hi-IN" w:bidi="hi-IN"/>
        </w:rPr>
      </w:pPr>
      <w:bookmarkStart w:id="7" w:name="_Hlk114645372"/>
      <w:r w:rsidRPr="00590D66">
        <w:rPr>
          <w:rFonts w:ascii="Calibri" w:eastAsia="SimSun" w:hAnsi="Calibri" w:cs="Calibri"/>
          <w:kern w:val="1"/>
          <w:sz w:val="28"/>
          <w:szCs w:val="28"/>
          <w:lang w:eastAsia="hi-IN" w:bidi="hi-IN"/>
        </w:rPr>
        <w:t xml:space="preserve">planowane przedsięwzięcie będzie polegać na wykonaniu wiercenia do głębokości 114 m p.p.t., w celu ustalenia zasobów eksploatacyjnych ujęcia wód podziemnych z utworów neogeńskich – mioceńskich, na działce o numerze ewidencyjnym 20/19, obręb Góra. </w:t>
      </w:r>
      <w:bookmarkStart w:id="8" w:name="_Hlk114645434"/>
      <w:bookmarkEnd w:id="7"/>
      <w:r w:rsidRPr="00590D66">
        <w:rPr>
          <w:rFonts w:ascii="Calibri" w:eastAsia="SimSun" w:hAnsi="Calibri" w:cs="Calibri"/>
          <w:kern w:val="1"/>
          <w:sz w:val="28"/>
          <w:szCs w:val="28"/>
          <w:lang w:eastAsia="hi-IN" w:bidi="hi-IN"/>
        </w:rPr>
        <w:t>Planowane wiercenie zostanie zrealizowane z wykorzystaniem urządzenia wiertniczego, metodą obrotową z prawym i lewym obiegiem płuczki, na podstawie projektu robót geologicznych zatwierdzonego decyzją właściwego organu. W celu zapewnienia maksymalnego bezpieczeństwa dla jakości ujmowanych w przyszłości wód podziemnych podczas wiercenia zostanie wykonana izolacja. Po zafiltrowaniu otworu hydrogeologicznego przestrzeń wokół części roboczej filtra zostanie wypełniona obsypką piaskową o przewidywanej granulacji od 0,8 mm do 1,4 mm. Przestrzeń między rurą cembrową a ścianami otworu hydrogeologicznego zostanie uszczelniona compactonitem (korek iłowy) na głębokości od 0,0 m do 35 m p.p.t. i od 55 m do 88 m p.p.t. W pozostałym zakresie przestrzeń zostanie wypełniona urobkiem. Po wykonaniu otworu hydrogeologicznego, zostanie on zabezpieczony przed dostępem osób postronnych za pomocą stalowego kołpaka zamykającego o średnicy dostosowanej do rury nadfiltrowej</w:t>
      </w:r>
      <w:bookmarkEnd w:id="8"/>
      <w:r w:rsidRPr="00590D66">
        <w:rPr>
          <w:rFonts w:ascii="Calibri" w:eastAsia="Times New Roman" w:hAnsi="Calibri" w:cs="Calibri"/>
          <w:sz w:val="28"/>
          <w:szCs w:val="28"/>
          <w:lang w:eastAsia="pl-PL"/>
        </w:rPr>
        <w:t xml:space="preserve">; </w:t>
      </w:r>
    </w:p>
    <w:p w14:paraId="47649B52"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79A760B8"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25365B12"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pl-PL"/>
        </w:rPr>
        <w:t>planowane przedsięwzięcie związane jest z wykonaniem otworu hydrogeologicznego o charakterze poszukiwawczo – eksploatacyjnym. Nie przewiduje się powiązań ani kumulowania oddziaływań planowanego przedsięwzięcia z innymi przedsięwzięciami;</w:t>
      </w:r>
    </w:p>
    <w:p w14:paraId="31508E7E"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t xml:space="preserve">rodzaj i charakterystyka przedsięwzięcia z uwzględnieniem </w:t>
      </w:r>
      <w:r w:rsidRPr="00590D66">
        <w:rPr>
          <w:rFonts w:ascii="Calibri" w:eastAsia="Times New Roman" w:hAnsi="Calibri" w:cs="Calibri"/>
          <w:sz w:val="28"/>
          <w:szCs w:val="28"/>
          <w:lang w:eastAsia="pl-PL"/>
        </w:rPr>
        <w:t>różnorodności biologicznej, wykorzystywania zasobów naturalnych, w tym gleby, wody i powierzchni ziemi:</w:t>
      </w:r>
      <w:r w:rsidRPr="00590D66">
        <w:rPr>
          <w:rFonts w:ascii="Calibri" w:eastAsia="Times New Roman" w:hAnsi="Calibri" w:cs="Calibri"/>
          <w:sz w:val="28"/>
          <w:szCs w:val="28"/>
          <w:lang w:eastAsia="zh-CN"/>
        </w:rPr>
        <w:t xml:space="preserve"> </w:t>
      </w:r>
    </w:p>
    <w:p w14:paraId="7A774027"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bookmarkStart w:id="9" w:name="_Hlk114645474"/>
      <w:r w:rsidRPr="00590D66">
        <w:rPr>
          <w:rFonts w:ascii="Calibri" w:eastAsia="Times New Roman" w:hAnsi="Calibri" w:cs="Calibri"/>
          <w:sz w:val="28"/>
          <w:szCs w:val="28"/>
          <w:lang w:eastAsia="zh-CN"/>
        </w:rPr>
        <w:t>na wnioskowanym terenie znajduje się sad. W związku z realizacją przedsięwzięcia z powierzchni biologicznie czynnej zostanie wyłączony obszar o powierzchni około 8,04 m</w:t>
      </w:r>
      <w:r w:rsidRPr="00590D66">
        <w:rPr>
          <w:rFonts w:ascii="Calibri" w:eastAsia="Times New Roman" w:hAnsi="Calibri" w:cs="Calibri"/>
          <w:sz w:val="28"/>
          <w:szCs w:val="28"/>
          <w:vertAlign w:val="superscript"/>
          <w:lang w:eastAsia="zh-CN"/>
        </w:rPr>
        <w:t>2</w:t>
      </w:r>
      <w:r w:rsidRPr="00590D66">
        <w:rPr>
          <w:rFonts w:ascii="Calibri" w:eastAsia="Times New Roman" w:hAnsi="Calibri" w:cs="Calibri"/>
          <w:sz w:val="28"/>
          <w:szCs w:val="28"/>
          <w:lang w:eastAsia="zh-CN"/>
        </w:rPr>
        <w:t xml:space="preserve">, co stanowi około 0,0011% powierzchni przedmiotowej działki. Nie przewiduje się wycinki drzew i krzewów. </w:t>
      </w:r>
      <w:bookmarkEnd w:id="9"/>
      <w:r w:rsidRPr="00590D66">
        <w:rPr>
          <w:rFonts w:ascii="Calibri" w:eastAsia="Calibri" w:hAnsi="Calibri" w:cs="Calibri"/>
          <w:sz w:val="28"/>
          <w:szCs w:val="28"/>
        </w:rPr>
        <w:t>Eksploatacja przedsięwzięcia nie będzie wiązała się z nadmiernym wykorzystaniem zasobów naturalnych. W wyniku realizacji i eksploatacji przedsięwzięcia nie będzie dochodzić do znaczącego negatywnego wpływu na bioróżnorodność</w:t>
      </w:r>
      <w:r w:rsidRPr="00590D66">
        <w:rPr>
          <w:rFonts w:ascii="Calibri" w:eastAsia="Andale Sans UI" w:hAnsi="Calibri" w:cs="Calibri"/>
          <w:kern w:val="1"/>
          <w:sz w:val="28"/>
          <w:szCs w:val="28"/>
          <w:lang w:eastAsia="hi-IN" w:bidi="hi-IN"/>
        </w:rPr>
        <w:t xml:space="preserve"> </w:t>
      </w:r>
      <w:bookmarkStart w:id="10" w:name="_Hlk114646101"/>
      <w:r w:rsidRPr="00590D66">
        <w:rPr>
          <w:rFonts w:ascii="Calibri" w:eastAsia="Andale Sans UI" w:hAnsi="Calibri" w:cs="Calibri"/>
          <w:kern w:val="1"/>
          <w:sz w:val="28"/>
          <w:szCs w:val="28"/>
          <w:lang w:eastAsia="hi-IN" w:bidi="hi-IN"/>
        </w:rPr>
        <w:t>Przed rozpoczęciem wiercenia otworu hydrogeologicznego, w miejscu dołu urobkowego zostanie zdjęta warstwa gleby, która będzie składowana w pryzmie poza placem prac wiertniczych. Dół urobkowy wyłożony zostanie szczelną folią PCV, która wyklucza możliwość przedostania się urobku do środowiska gruntowo-wodnego. Nadmiar urobku, to jest płuczki i odpady wiertnicze z odwiertu, będzie na bieżąco usuwany z wnioskowanego terenu (przekazany uprawnionemu podmiotowi do dalszego zagospodarowania), a dół urobkowy zostanie zlikwidowany po zakończeniu prac wiertniczych. Teren przedsięwzięcia zostanie przywrócony do stanu pierwotnego</w:t>
      </w:r>
      <w:bookmarkEnd w:id="10"/>
      <w:r w:rsidRPr="00590D66">
        <w:rPr>
          <w:rFonts w:ascii="Calibri" w:eastAsia="Times New Roman" w:hAnsi="Calibri" w:cs="Calibri"/>
          <w:sz w:val="28"/>
          <w:szCs w:val="28"/>
          <w:lang w:eastAsia="zh-CN"/>
        </w:rPr>
        <w:t xml:space="preserve">; </w:t>
      </w:r>
    </w:p>
    <w:p w14:paraId="4BE503D7" w14:textId="77777777" w:rsidR="00590D66" w:rsidRPr="00590D66" w:rsidRDefault="00590D66" w:rsidP="00590D66">
      <w:pPr>
        <w:spacing w:after="0" w:line="240" w:lineRule="auto"/>
        <w:jc w:val="both"/>
        <w:rPr>
          <w:rFonts w:ascii="Calibri" w:eastAsia="Andale Sans UI" w:hAnsi="Calibri" w:cs="Calibri"/>
          <w:kern w:val="1"/>
          <w:sz w:val="28"/>
          <w:szCs w:val="28"/>
          <w:lang w:eastAsia="hi-IN" w:bidi="hi-IN"/>
        </w:rPr>
      </w:pPr>
      <w:r w:rsidRPr="00590D66">
        <w:rPr>
          <w:rFonts w:ascii="Calibri" w:eastAsia="Andale Sans UI" w:hAnsi="Calibri" w:cs="Calibri"/>
          <w:kern w:val="1"/>
          <w:sz w:val="28"/>
          <w:szCs w:val="28"/>
          <w:lang w:eastAsia="hi-IN" w:bidi="hi-IN"/>
        </w:rPr>
        <w:br w:type="page"/>
      </w:r>
    </w:p>
    <w:p w14:paraId="2BD129B2" w14:textId="77777777" w:rsidR="00590D66" w:rsidRPr="00590D66" w:rsidRDefault="00590D66" w:rsidP="00590D66">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590D66">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590D66">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590D66">
        <w:rPr>
          <w:rFonts w:ascii="Calibri" w:eastAsia="Andale Sans UI" w:hAnsi="Calibri" w:cs="Calibri"/>
          <w:kern w:val="1"/>
          <w:sz w:val="28"/>
          <w:szCs w:val="28"/>
          <w:lang w:eastAsia="hi-IN" w:bidi="hi-IN"/>
        </w:rPr>
        <w:t>:</w:t>
      </w:r>
    </w:p>
    <w:p w14:paraId="12395C4C" w14:textId="77777777" w:rsidR="00590D66" w:rsidRPr="00590D66" w:rsidRDefault="00590D66" w:rsidP="00590D66">
      <w:pPr>
        <w:spacing w:after="120" w:line="240" w:lineRule="auto"/>
        <w:ind w:left="284"/>
        <w:jc w:val="both"/>
        <w:rPr>
          <w:rFonts w:ascii="Calibri" w:eastAsia="Andale Sans UI" w:hAnsi="Calibri" w:cs="Calibri"/>
          <w:kern w:val="1"/>
          <w:sz w:val="28"/>
          <w:szCs w:val="28"/>
          <w:lang w:eastAsia="hi-IN" w:bidi="hi-IN"/>
        </w:rPr>
      </w:pPr>
      <w:bookmarkStart w:id="11" w:name="_Hlk114647914"/>
      <w:bookmarkStart w:id="12" w:name="_Hlk82517265"/>
      <w:r w:rsidRPr="00590D66">
        <w:rPr>
          <w:rFonts w:ascii="Calibri" w:eastAsia="Andale Sans UI" w:hAnsi="Calibri" w:cs="Calibri"/>
          <w:kern w:val="1"/>
          <w:sz w:val="28"/>
          <w:szCs w:val="28"/>
          <w:lang w:eastAsia="hi-IN" w:bidi="hi-IN"/>
        </w:rPr>
        <w:t>wiercenie otworu hydrogeologicznego odbędzie się zestawem wiertniczym z głowicą obrotową, który jest zasilany energią mechaniczną z pojazdu wiertniczego.</w:t>
      </w:r>
      <w:bookmarkEnd w:id="11"/>
      <w:r w:rsidRPr="00590D66">
        <w:rPr>
          <w:rFonts w:ascii="Calibri" w:eastAsia="Andale Sans UI" w:hAnsi="Calibri" w:cs="Calibri"/>
          <w:kern w:val="1"/>
          <w:sz w:val="28"/>
          <w:szCs w:val="28"/>
          <w:lang w:eastAsia="hi-IN" w:bidi="hi-IN"/>
        </w:rPr>
        <w:t xml:space="preserve"> Energia elektryczna do obsługi próbnych pompowań może być pobierana z istniejącego przyłącza znajdującego się na terenie gospodarstwa rolnego wnioskodawcy. Miejsce prowadzenia robót wiertniczych nie koliduje z żadną podziemną infrastrukturą techniczną. Teren projektowanych prac wiertniczych zostanie ograniczony do niezbędnej powierzchni wymaganej dla bezpieczeństwa ich prowadzenia. Zastosowana technologia wiercenia nie będzie stwarzać niebezpieczeństwa przedostawania się substancji ropopochodnych do środowiska. Teren przedsięwzięcia wyposażony będzie w sorbenty neutralizujące ewentualny wyciek substancji ropopochodnych. Zużyte sorbenty gromadzone będą w specjalistycznych, szczelnych pojemnikach i przekazywane następnie do utylizacji uprawnionym podmiotom. Obsługa robót wiertniczych będzie korzystała z urządzeń sanitarnych znajdujących się w budynkach wnioskodawcy. Prace wiertnicze prowadzone będą w porze dnia. </w:t>
      </w:r>
      <w:bookmarkStart w:id="13" w:name="_Hlk114647942"/>
      <w:r w:rsidRPr="00590D66">
        <w:rPr>
          <w:rFonts w:ascii="Calibri" w:eastAsia="Andale Sans UI" w:hAnsi="Calibri" w:cs="Calibri"/>
          <w:kern w:val="1"/>
          <w:sz w:val="28"/>
          <w:szCs w:val="28"/>
          <w:lang w:eastAsia="hi-IN" w:bidi="hi-IN"/>
        </w:rPr>
        <w:t>W wyniku realizacji przedsięwzięcia nie zwiększy się poziom hałasu w środowisku i nie zostaną przekroczone dopuszczalne poziomy hałasu w środowisku, określone w rozporządzeniu Ministra Środowiska z dnia 14 czerwca 2007 r. w sprawie dopuszczalnych poziomów hałasu w środowisku (Dz. U. z 2014 r. poz. 112). Nie przewiduje się również wpływu przedsięwzięcia na stan jakości powietrza w rejonie zainwestowania. Woda z próbnego pompowania odprowadzana będzie na grunty rolne wnioskodawcy</w:t>
      </w:r>
      <w:bookmarkEnd w:id="12"/>
      <w:bookmarkEnd w:id="13"/>
      <w:r w:rsidRPr="00590D66">
        <w:rPr>
          <w:rFonts w:ascii="Calibri" w:eastAsia="Times New Roman" w:hAnsi="Calibri" w:cs="Calibri"/>
          <w:sz w:val="28"/>
          <w:szCs w:val="28"/>
          <w:lang w:eastAsia="zh-CN"/>
        </w:rPr>
        <w:t>;</w:t>
      </w:r>
    </w:p>
    <w:p w14:paraId="3D967FCA" w14:textId="77777777" w:rsidR="00590D66" w:rsidRPr="00590D66" w:rsidRDefault="00590D66" w:rsidP="00590D66">
      <w:pPr>
        <w:spacing w:after="0" w:line="240" w:lineRule="auto"/>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br w:type="page"/>
      </w:r>
    </w:p>
    <w:p w14:paraId="51B13A5B"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lastRenderedPageBreak/>
        <w:t xml:space="preserve">rodzaj i charakterystyka przedsięwzięcia z uwzględnieniem </w:t>
      </w:r>
      <w:r w:rsidRPr="00590D66">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590D66">
        <w:rPr>
          <w:rFonts w:ascii="Calibri" w:eastAsia="Times New Roman" w:hAnsi="Calibri" w:cs="Calibri"/>
          <w:sz w:val="28"/>
          <w:szCs w:val="28"/>
          <w:lang w:eastAsia="zh-CN"/>
        </w:rPr>
        <w:t xml:space="preserve">: </w:t>
      </w:r>
    </w:p>
    <w:p w14:paraId="171883F6"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t xml:space="preserve">przy uwzględnieniu używanych substancji i stosowanych technologii oraz realizacji zgodnie z obowiązującymi przepisami i normami, ryzyko wystąpienia katastrofy budowlanej będzie ograniczone.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Z uwagi na charakter i lokalizację przedsięwzięcia nie przewiduje się jego wpływu na zmiany klimatu, ani wpływu postępujących zmian klimatu na to przedsięwzięcie; </w:t>
      </w:r>
    </w:p>
    <w:p w14:paraId="228B321C"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t xml:space="preserve">rodzaj i charakterystyka przedsięwzięcia z uwzględnieniem </w:t>
      </w:r>
      <w:r w:rsidRPr="00590D66">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590D66">
        <w:rPr>
          <w:rFonts w:ascii="Calibri" w:eastAsia="Times New Roman" w:hAnsi="Calibri" w:cs="Calibri"/>
          <w:sz w:val="28"/>
          <w:szCs w:val="28"/>
          <w:lang w:eastAsia="zh-CN"/>
        </w:rPr>
        <w:t xml:space="preserve">: </w:t>
      </w:r>
    </w:p>
    <w:p w14:paraId="510E296C"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bookmarkStart w:id="14" w:name="_Hlk114648383"/>
      <w:r w:rsidRPr="00590D66">
        <w:rPr>
          <w:rFonts w:ascii="Calibri" w:eastAsia="Times New Roman" w:hAnsi="Calibri" w:cs="Calibri"/>
          <w:sz w:val="28"/>
          <w:szCs w:val="28"/>
          <w:lang w:eastAsia="zh-CN"/>
        </w:rPr>
        <w:t>na etapie prowadzenia robót wiertniczych będą wytwarzane odpady związane z tymi pracami. Będą one magazynowane okresowo w odpowiednio przystosowanych pojemnikach, a po zakończeniu prac wiertniczych zostaną przekazane podmiotom uprawnionym w zakresie gospodarowania odpadami celem odzysku lub unieszkodliwienia</w:t>
      </w:r>
      <w:bookmarkEnd w:id="14"/>
      <w:r w:rsidRPr="00590D66">
        <w:rPr>
          <w:rFonts w:ascii="Calibri" w:eastAsia="Times New Roman" w:hAnsi="Calibri" w:cs="Calibri"/>
          <w:sz w:val="28"/>
          <w:szCs w:val="28"/>
          <w:lang w:eastAsia="zh-CN"/>
        </w:rPr>
        <w:t>;</w:t>
      </w:r>
    </w:p>
    <w:p w14:paraId="2757F87E" w14:textId="77777777" w:rsidR="00590D66" w:rsidRPr="00590D66" w:rsidRDefault="00590D66" w:rsidP="00590D66">
      <w:pPr>
        <w:spacing w:after="0" w:line="240" w:lineRule="auto"/>
        <w:jc w:val="both"/>
        <w:rPr>
          <w:rFonts w:ascii="Calibri" w:eastAsia="SimSun" w:hAnsi="Calibri" w:cs="Calibri"/>
          <w:kern w:val="1"/>
          <w:sz w:val="28"/>
          <w:szCs w:val="28"/>
          <w:lang w:eastAsia="hi-IN" w:bidi="hi-IN"/>
        </w:rPr>
      </w:pPr>
      <w:r w:rsidRPr="00590D66">
        <w:rPr>
          <w:rFonts w:ascii="Calibri" w:eastAsia="SimSun" w:hAnsi="Calibri" w:cs="Calibri"/>
          <w:kern w:val="1"/>
          <w:sz w:val="28"/>
          <w:szCs w:val="28"/>
          <w:lang w:eastAsia="hi-IN" w:bidi="hi-IN"/>
        </w:rPr>
        <w:br w:type="page"/>
      </w:r>
    </w:p>
    <w:p w14:paraId="74E4AE98" w14:textId="77777777" w:rsidR="00590D66" w:rsidRPr="00590D66" w:rsidRDefault="00590D66" w:rsidP="00590D66">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590D66">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590D66">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590D66">
        <w:rPr>
          <w:rFonts w:ascii="Calibri" w:eastAsia="SimSun" w:hAnsi="Calibri" w:cs="Calibri"/>
          <w:kern w:val="1"/>
          <w:sz w:val="28"/>
          <w:szCs w:val="28"/>
          <w:lang w:eastAsia="hi-IN" w:bidi="hi-IN"/>
        </w:rPr>
        <w:t xml:space="preserve"> </w:t>
      </w:r>
      <w:r w:rsidRPr="00590D66">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590D66">
        <w:rPr>
          <w:rFonts w:ascii="Calibri" w:eastAsia="SimSun" w:hAnsi="Calibri" w:cs="Calibri"/>
          <w:kern w:val="1"/>
          <w:sz w:val="28"/>
          <w:szCs w:val="28"/>
          <w:lang w:eastAsia="hi-IN" w:bidi="hi-IN"/>
        </w:rPr>
        <w:t xml:space="preserve"> </w:t>
      </w:r>
    </w:p>
    <w:p w14:paraId="040AFF99" w14:textId="77777777" w:rsidR="00590D66" w:rsidRPr="00590D66" w:rsidRDefault="00590D66" w:rsidP="00590D66">
      <w:pPr>
        <w:spacing w:after="120" w:line="240" w:lineRule="auto"/>
        <w:ind w:left="284"/>
        <w:jc w:val="both"/>
        <w:rPr>
          <w:rFonts w:ascii="Calibri" w:eastAsia="SimSun" w:hAnsi="Calibri" w:cs="Calibri"/>
          <w:kern w:val="1"/>
          <w:sz w:val="28"/>
          <w:szCs w:val="28"/>
          <w:lang w:eastAsia="hi-IN" w:bidi="hi-IN"/>
        </w:rPr>
      </w:pPr>
      <w:r w:rsidRPr="00590D66">
        <w:rPr>
          <w:rFonts w:ascii="Calibri" w:eastAsia="SimSun" w:hAnsi="Calibri" w:cs="Calibri"/>
          <w:kern w:val="1"/>
          <w:sz w:val="28"/>
          <w:szCs w:val="28"/>
          <w:lang w:eastAsia="hi-IN" w:bidi="hi-IN"/>
        </w:rPr>
        <w:t>teren przedsięwzięcia nie jest zlokalizowany na obszarach wodno-błotnych, innych o płytkim zaleganiu wód podziemnych, wybrzeży i środowiska morskiego, górskich, leśnych oraz przylegających do jezior. Najbliższe ujęcie wody podziemnej znajduje się w odległości 330 m od przedsięwzięcia, na działce o numerze ewidencyjnym 20/21, obręb Góra i jest wykorzystywane do nawadniania gruntów rolnych wnioskodawcy. Przedsięwzięcie zlokalizowane będzie poza obszarami o krajobrazie mającym znaczenie historyczne, kulturowe oraz archeologiczne i nie będzie zlokalizowane na obszarach o dużej gęstości zaludnienia, obszarach uzdrowiskowych i ochrony uzdrowiskowej. Z k.i.p. nie wynika, aby przedsięwzięcie znajdowało się w rejonie obszarów, na których standardy środowiska zostały przekroczone, ani nie przewiduje się ich przekroczenia w związku z realizacją i eksploatacją planowanego przedsięwzięcia;</w:t>
      </w:r>
    </w:p>
    <w:p w14:paraId="34FC4628"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lang w:eastAsia="zh-CN"/>
        </w:rPr>
      </w:pPr>
      <w:r w:rsidRPr="00590D66">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90D66">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590D66">
        <w:rPr>
          <w:rFonts w:ascii="Calibri" w:eastAsia="SimSun" w:hAnsi="Calibri" w:cs="Calibri"/>
          <w:kern w:val="1"/>
          <w:sz w:val="28"/>
          <w:szCs w:val="28"/>
          <w:lang w:eastAsia="hi-IN" w:bidi="hi-IN"/>
        </w:rPr>
        <w:t xml:space="preserve"> </w:t>
      </w:r>
      <w:bookmarkStart w:id="15" w:name="_Hlk82517539"/>
    </w:p>
    <w:bookmarkEnd w:id="15"/>
    <w:p w14:paraId="4D1C4180"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t xml:space="preserve">przedsięwzięcie zostanie zlokalizowane poza obszarami chronionymi na podstawie ustawy z dnia 16 kwietnia 2004 r. o ochronie przyrody (Dz. U. z 2022 r. poz. 916 i 1726). </w:t>
      </w:r>
    </w:p>
    <w:p w14:paraId="5009A497"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lastRenderedPageBreak/>
        <w:t>Najbliżej położonymi obszarami chronionymi przyrodniczo są: Rogaliński Park Krajobrazowy oraz obszary Natura 2000: obszar specjalnej ochrony ptaków Ostoja Rogalińska PLB300017 i specjalny obszar ochrony siedlisk Rogalińska Dolina Warty PLH300012, oddalone o 5 m od granic terenu przedsięwzięcia. Mając na względzie lokalizację planowanego przedsięwzięcia poza obszarami chronionymi, na gruncie rolnym oraz brak konieczności wycinki drzew,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1CFC0D93" w14:textId="77777777" w:rsidR="00590D66" w:rsidRPr="00590D66" w:rsidRDefault="00590D66" w:rsidP="00590D66">
      <w:pPr>
        <w:numPr>
          <w:ilvl w:val="0"/>
          <w:numId w:val="6"/>
        </w:numPr>
        <w:spacing w:after="120" w:line="240" w:lineRule="auto"/>
        <w:ind w:left="284" w:hanging="284"/>
        <w:jc w:val="both"/>
        <w:rPr>
          <w:rFonts w:ascii="Calibri" w:eastAsia="Times New Roman" w:hAnsi="Calibri" w:cs="Calibri"/>
          <w:sz w:val="28"/>
          <w:szCs w:val="28"/>
          <w:lang w:eastAsia="zh-CN"/>
        </w:rPr>
      </w:pPr>
      <w:r w:rsidRPr="00590D66">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90D66">
        <w:rPr>
          <w:rFonts w:ascii="Calibri" w:eastAsia="Times New Roman" w:hAnsi="Calibri" w:cs="Calibri"/>
          <w:sz w:val="28"/>
          <w:szCs w:val="28"/>
          <w:lang w:eastAsia="pl-PL"/>
        </w:rPr>
        <w:t xml:space="preserve"> wody i obowiązujące dla nich cele środowiskowe:</w:t>
      </w:r>
      <w:r w:rsidRPr="00590D66">
        <w:rPr>
          <w:rFonts w:ascii="Calibri" w:eastAsia="SimSun" w:hAnsi="Calibri" w:cs="Calibri"/>
          <w:kern w:val="1"/>
          <w:sz w:val="28"/>
          <w:szCs w:val="28"/>
          <w:lang w:eastAsia="hi-IN" w:bidi="hi-IN"/>
        </w:rPr>
        <w:t xml:space="preserve"> </w:t>
      </w:r>
    </w:p>
    <w:p w14:paraId="0CA17647" w14:textId="77777777" w:rsidR="00590D66" w:rsidRPr="00590D66" w:rsidRDefault="00590D66" w:rsidP="00590D66">
      <w:pPr>
        <w:spacing w:after="120" w:line="240" w:lineRule="auto"/>
        <w:ind w:left="284"/>
        <w:jc w:val="both"/>
        <w:rPr>
          <w:rFonts w:ascii="Calibri" w:eastAsia="Times New Roman" w:hAnsi="Calibri" w:cs="Calibri"/>
          <w:sz w:val="28"/>
          <w:szCs w:val="28"/>
          <w:lang w:eastAsia="zh-CN"/>
        </w:rPr>
      </w:pPr>
      <w:r w:rsidRPr="00590D66">
        <w:rPr>
          <w:rFonts w:ascii="Calibri" w:eastAsia="Times New Roman" w:hAnsi="Calibri" w:cs="Calibri"/>
          <w:sz w:val="28"/>
          <w:szCs w:val="28"/>
          <w:lang w:eastAsia="zh-CN"/>
        </w:rPr>
        <w:t>według charakterystyki jednolitych części wód planowane przedsięwzięcie zlokalizowane jest w granicach jednolitej części wód podziemnych (jcwpd) o kodzie PLGW600060 oraz jednolitej części wód powierzchniowych (jcwp) o kodzie PLRW60002118573 – Warta od Pyszącej do Kopli. Zgodnie z obowiązującym „Planem gospodarowania wodami na obszarze dorzecza Odry” jcwpd o kodzie PLGW600060 charakteryzuje się dobrym stanem ilościowym oraz chemicznym, jest ona monitorowana, a w odniesieniu do ryzyka nieosiągnięcia celów środowiskowych została uznana za niezagrożoną. Jcwp o kodzie PLRW60002118573 jest silnie zmienioną częścią wód, monitorowaną, a jej stan aktualnie jest zły i zgodnie z oceną ryzyka nieosiągnięcia celów środowiskowych uznana została za zagrożoną;</w:t>
      </w:r>
      <w:r w:rsidRPr="00590D66">
        <w:rPr>
          <w:rFonts w:ascii="Calibri" w:eastAsia="Times New Roman" w:hAnsi="Calibri" w:cs="Calibri"/>
          <w:sz w:val="28"/>
          <w:szCs w:val="28"/>
          <w:lang w:eastAsia="pl-PL"/>
        </w:rPr>
        <w:t xml:space="preserve"> </w:t>
      </w:r>
    </w:p>
    <w:p w14:paraId="29434C46"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15D1E20A" w14:textId="77777777" w:rsidR="00590D66" w:rsidRPr="00590D66" w:rsidRDefault="00590D66" w:rsidP="00590D66">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590D66">
        <w:rPr>
          <w:rFonts w:ascii="Calibri" w:eastAsia="Times New Roman" w:hAnsi="Calibri" w:cs="Calibri"/>
          <w:sz w:val="28"/>
          <w:szCs w:val="28"/>
          <w:lang w:eastAsia="zh-CN"/>
        </w:rPr>
        <w:t xml:space="preserve"> </w:t>
      </w:r>
    </w:p>
    <w:p w14:paraId="2FD94D7C" w14:textId="77777777" w:rsidR="00590D66" w:rsidRPr="00590D66" w:rsidRDefault="00590D66" w:rsidP="00590D66">
      <w:pPr>
        <w:tabs>
          <w:tab w:val="left" w:pos="426"/>
        </w:tabs>
        <w:spacing w:after="120" w:line="240" w:lineRule="auto"/>
        <w:ind w:left="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zh-CN"/>
        </w:rPr>
        <w:t xml:space="preserve">przedmiotowe przedsięwzięcie nie będzie transgranicznie oddziaływać na środowisko. </w:t>
      </w:r>
    </w:p>
    <w:p w14:paraId="3E7E5C33" w14:textId="77777777" w:rsidR="00590D66" w:rsidRPr="00590D66" w:rsidRDefault="00590D66" w:rsidP="00590D66">
      <w:pPr>
        <w:widowControl w:val="0"/>
        <w:tabs>
          <w:tab w:val="left" w:pos="0"/>
        </w:tabs>
        <w:suppressAutoHyphens/>
        <w:spacing w:after="120" w:line="240" w:lineRule="auto"/>
        <w:jc w:val="both"/>
        <w:rPr>
          <w:rFonts w:ascii="Calibri" w:eastAsia="Times New Roman" w:hAnsi="Calibri" w:cs="Calibri"/>
          <w:color w:val="FF0000"/>
          <w:sz w:val="28"/>
          <w:szCs w:val="28"/>
          <w:lang w:eastAsia="pl-PL"/>
        </w:rPr>
      </w:pPr>
      <w:r w:rsidRPr="00590D66">
        <w:rPr>
          <w:rFonts w:ascii="Calibri" w:eastAsia="Times New Roman" w:hAnsi="Calibri" w:cs="Calibri"/>
          <w:sz w:val="28"/>
          <w:szCs w:val="28"/>
          <w:lang w:eastAsia="pl-PL"/>
        </w:rPr>
        <w:tab/>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bookmarkStart w:id="16" w:name="_Hlk100053634"/>
      <w:r w:rsidRPr="00590D66">
        <w:rPr>
          <w:rFonts w:ascii="Calibri" w:eastAsia="Times New Roman" w:hAnsi="Calibri" w:cs="Calibri"/>
          <w:sz w:val="28"/>
          <w:szCs w:val="28"/>
          <w:lang w:eastAsia="pl-PL"/>
        </w:rPr>
        <w:t xml:space="preserve">Przedsięwzięcie zlokalizowane jest na terenie obowiązującego miejscowego planu zagospodarowania przestrzennego, uchwalonego uchwałą </w:t>
      </w:r>
      <w:bookmarkStart w:id="17" w:name="_Hlk114648067"/>
      <w:r w:rsidRPr="00590D66">
        <w:rPr>
          <w:rFonts w:ascii="Calibri" w:eastAsia="Times New Roman" w:hAnsi="Calibri" w:cs="Calibri"/>
          <w:sz w:val="28"/>
          <w:szCs w:val="28"/>
          <w:lang w:eastAsia="pl-PL"/>
        </w:rPr>
        <w:t>Nr 360/LI/06 Rady Miejskiej w Śremie z dnia 2 czerwca 2006 r. (Dz. Urz. Woj. Wielk. Nr 126, poz. 3092)</w:t>
      </w:r>
      <w:bookmarkEnd w:id="17"/>
      <w:r w:rsidRPr="00590D66">
        <w:rPr>
          <w:rFonts w:ascii="Calibri" w:eastAsia="Times New Roman" w:hAnsi="Calibri" w:cs="Calibri"/>
          <w:sz w:val="28"/>
          <w:szCs w:val="28"/>
          <w:lang w:eastAsia="pl-PL"/>
        </w:rPr>
        <w:t xml:space="preserve"> i przeznaczonym pod teren zabudowy zagrodowej, oznaczony symbolem RM1 (w części) oraz pod teren rolny, oznaczony symbolem R (w pozostałej części). Z k.i.p. wynika, że wiercenie otworu hydrogeologicznego planowane jest do realizacji na części działki przeznaczonej pod teren zabudowy zagrodowej. </w:t>
      </w:r>
      <w:bookmarkStart w:id="18" w:name="_Hlk115244219"/>
      <w:r w:rsidRPr="00590D66">
        <w:rPr>
          <w:rFonts w:ascii="Calibri" w:eastAsia="Times New Roman" w:hAnsi="Calibri" w:cs="Calibri"/>
          <w:sz w:val="28"/>
          <w:szCs w:val="28"/>
          <w:lang w:eastAsia="pl-PL"/>
        </w:rPr>
        <w:t>Zgodnie z § 4 pkt 1 lit. a przywołanej uchwały na terenach zabudowy zagrodowej zakazuje się lokalizowania przedsięwzięć mogących znacząco oddziaływać na środowisko, dla których obowiązek sporządzenia raportu o oddziaływania na środowisko jest obligatoryjnie wymagany przepisami prawa. Z kolei zgodnie z §</w:t>
      </w:r>
      <w:bookmarkEnd w:id="18"/>
      <w:r w:rsidRPr="00590D66">
        <w:rPr>
          <w:rFonts w:ascii="Calibri" w:eastAsia="Times New Roman" w:hAnsi="Calibri" w:cs="Calibri"/>
          <w:sz w:val="28"/>
          <w:szCs w:val="28"/>
          <w:lang w:eastAsia="pl-PL"/>
        </w:rPr>
        <w:t xml:space="preserve"> 5 pkt 3 lit. a </w:t>
      </w:r>
      <w:bookmarkStart w:id="19" w:name="_Hlk115244270"/>
      <w:r w:rsidRPr="00590D66">
        <w:rPr>
          <w:rFonts w:ascii="Calibri" w:eastAsia="Times New Roman" w:hAnsi="Calibri" w:cs="Calibri"/>
          <w:sz w:val="28"/>
          <w:szCs w:val="28"/>
          <w:lang w:eastAsia="pl-PL"/>
        </w:rPr>
        <w:t xml:space="preserve">uchwały na terenach zabudowy zagrodowej </w:t>
      </w:r>
      <w:bookmarkEnd w:id="19"/>
      <w:r w:rsidRPr="00590D66">
        <w:rPr>
          <w:rFonts w:ascii="Calibri" w:eastAsia="Times New Roman" w:hAnsi="Calibri" w:cs="Calibri"/>
          <w:sz w:val="28"/>
          <w:szCs w:val="28"/>
          <w:lang w:eastAsia="pl-PL"/>
        </w:rPr>
        <w:t xml:space="preserve">dopuszczono lokalizowanie wszelkich obiektów budowlanych związanych z prowadzeniem produkcji rolnej. Ponadto, zgodnie z § 8 uchwały w zakresie zasad modernizacji, rozbudowy i budowy systemów infrastruktury technicznej dopuszczono lokalizowanie obiektów i urządzeń infrastruktury technicznej, a w szczególności stacji transformatorowych, urządzeń przepompowni ścieków i stacji redukcyjnych gazu. Mając powyższe na uwadze, </w:t>
      </w:r>
      <w:bookmarkEnd w:id="16"/>
      <w:r w:rsidRPr="00590D66">
        <w:rPr>
          <w:rFonts w:ascii="Calibri" w:eastAsia="Times New Roman" w:hAnsi="Calibri" w:cs="Calibri"/>
          <w:sz w:val="28"/>
          <w:szCs w:val="28"/>
          <w:lang w:eastAsia="pl-PL"/>
        </w:rPr>
        <w:t>Burmistrz Śremu stwierdził zgodność lokalizacji przedsięwzięcia z ustaleniami tego planu.</w:t>
      </w:r>
    </w:p>
    <w:p w14:paraId="10A3D551"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783B2E28"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1166BB68"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 xml:space="preserve">Biorąc pod uwagę powyższe, w szczególności informacje przedstawione w k.i.p., uwzględniając łącznie kryteria wymienione w art. 63 ust. 1 ustawy oraz stanowiska Organów opiniujących, </w:t>
      </w:r>
      <w:r w:rsidRPr="00590D66">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k.i.p. i w decyzji o środowiskowych uwarunkowaniach.</w:t>
      </w:r>
      <w:r w:rsidRPr="00590D66">
        <w:rPr>
          <w:rFonts w:ascii="Calibri" w:eastAsia="Times New Roman" w:hAnsi="Calibri" w:cs="Calibri"/>
          <w:sz w:val="28"/>
          <w:szCs w:val="28"/>
          <w:lang w:eastAsia="pl-PL"/>
        </w:rPr>
        <w:t xml:space="preserve"> </w:t>
      </w:r>
    </w:p>
    <w:p w14:paraId="2D303676"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2DA610C1" w14:textId="77777777" w:rsidR="00590D66" w:rsidRPr="00590D66" w:rsidRDefault="00590D66" w:rsidP="00590D66">
      <w:pPr>
        <w:spacing w:after="120" w:line="240" w:lineRule="auto"/>
        <w:ind w:firstLine="708"/>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Mając powyższe na uwadze orzeczono jak w sentencji decyzji.</w:t>
      </w:r>
    </w:p>
    <w:p w14:paraId="56DD8551" w14:textId="77777777" w:rsidR="00590D66" w:rsidRPr="00590D66" w:rsidRDefault="00590D66" w:rsidP="00590D66">
      <w:pPr>
        <w:spacing w:after="120" w:line="240" w:lineRule="auto"/>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Pouczenie</w:t>
      </w:r>
    </w:p>
    <w:p w14:paraId="0B506007" w14:textId="77777777" w:rsidR="00590D66" w:rsidRPr="00590D66" w:rsidRDefault="00590D66" w:rsidP="00590D66">
      <w:pPr>
        <w:numPr>
          <w:ilvl w:val="0"/>
          <w:numId w:val="4"/>
        </w:numPr>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258099BA" w14:textId="77777777" w:rsidR="00590D66" w:rsidRPr="00590D66" w:rsidRDefault="00590D66" w:rsidP="00590D66">
      <w:pPr>
        <w:spacing w:after="120" w:line="240" w:lineRule="auto"/>
        <w:ind w:left="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W trakcie biegu terminu do wniesienia odwołania strona może, na podstawie art. 127a § 1 ustawy z dnia 14 czerwca 1960 r. - Kodeks postępowania administracyjnego,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51963C5A" w14:textId="77777777" w:rsidR="00590D66" w:rsidRPr="00590D66" w:rsidRDefault="00590D66" w:rsidP="00590D66">
      <w:pPr>
        <w:numPr>
          <w:ilvl w:val="0"/>
          <w:numId w:val="4"/>
        </w:numPr>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0B9622FD"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br w:type="page"/>
      </w:r>
    </w:p>
    <w:p w14:paraId="19C8F2AB" w14:textId="77777777" w:rsidR="00590D66" w:rsidRPr="00590D66" w:rsidRDefault="00590D66" w:rsidP="00590D66">
      <w:pPr>
        <w:spacing w:after="120" w:line="240" w:lineRule="auto"/>
        <w:ind w:left="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D124AC9" w14:textId="77777777" w:rsidR="00590D66" w:rsidRPr="00590D66" w:rsidRDefault="00590D66" w:rsidP="00590D66">
      <w:pPr>
        <w:numPr>
          <w:ilvl w:val="0"/>
          <w:numId w:val="4"/>
        </w:numPr>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Decyzja o środowiskowych uwarunkowaniach wiąże organy: </w:t>
      </w:r>
    </w:p>
    <w:p w14:paraId="51CBD17E" w14:textId="77777777" w:rsidR="00590D66" w:rsidRPr="00590D66" w:rsidRDefault="00590D66" w:rsidP="00590D66">
      <w:pPr>
        <w:numPr>
          <w:ilvl w:val="0"/>
          <w:numId w:val="3"/>
        </w:numPr>
        <w:tabs>
          <w:tab w:val="left" w:pos="426"/>
        </w:tabs>
        <w:spacing w:after="120" w:line="240" w:lineRule="auto"/>
        <w:ind w:left="567" w:hanging="283"/>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330ABC3" w14:textId="77777777" w:rsidR="00590D66" w:rsidRPr="00590D66" w:rsidRDefault="00590D66" w:rsidP="00590D66">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wydające decyzje, o których mowa w art. 72 ust. 1 ustawy; </w:t>
      </w:r>
    </w:p>
    <w:p w14:paraId="4D3A1B46" w14:textId="77777777" w:rsidR="00590D66" w:rsidRPr="00590D66" w:rsidRDefault="00590D66" w:rsidP="00590D66">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przyjmujące zgłoszenia, o których mowa w art. 72 ust. 1a ustawy.</w:t>
      </w:r>
    </w:p>
    <w:p w14:paraId="4935388D" w14:textId="77777777" w:rsidR="00590D66" w:rsidRPr="00590D66" w:rsidRDefault="00590D66" w:rsidP="00590D66">
      <w:pPr>
        <w:tabs>
          <w:tab w:val="left" w:pos="567"/>
        </w:tabs>
        <w:spacing w:after="120" w:line="240" w:lineRule="auto"/>
        <w:ind w:left="426"/>
        <w:jc w:val="both"/>
        <w:rPr>
          <w:rFonts w:ascii="Calibri" w:eastAsia="Times New Roman" w:hAnsi="Calibri" w:cs="Calibri"/>
          <w:sz w:val="28"/>
          <w:szCs w:val="28"/>
          <w:lang w:eastAsia="pl-PL"/>
        </w:rPr>
      </w:pPr>
    </w:p>
    <w:p w14:paraId="19C7572F" w14:textId="0B845F96" w:rsidR="00590D66" w:rsidRPr="00590D66" w:rsidRDefault="00590D66" w:rsidP="00590D66">
      <w:pPr>
        <w:spacing w:after="0" w:line="240" w:lineRule="auto"/>
        <w:ind w:left="2832"/>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z up. BURMISTRZA</w:t>
      </w:r>
    </w:p>
    <w:p w14:paraId="0F687760" w14:textId="77777777" w:rsidR="00590D66" w:rsidRPr="00590D66" w:rsidRDefault="00590D66" w:rsidP="00590D66">
      <w:pPr>
        <w:spacing w:after="0" w:line="240" w:lineRule="auto"/>
        <w:ind w:left="2832"/>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Katarzyna Bednarowicz</w:t>
      </w:r>
    </w:p>
    <w:p w14:paraId="35B8546C" w14:textId="77777777" w:rsidR="00590D66" w:rsidRPr="00590D66" w:rsidRDefault="00590D66" w:rsidP="00590D66">
      <w:pPr>
        <w:spacing w:after="0" w:line="240" w:lineRule="auto"/>
        <w:ind w:left="2832"/>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naczelnik Pionu Gospodarowania</w:t>
      </w:r>
    </w:p>
    <w:p w14:paraId="7B8B9610" w14:textId="77777777" w:rsidR="00590D66" w:rsidRPr="00590D66" w:rsidRDefault="00590D66" w:rsidP="00590D66">
      <w:pPr>
        <w:spacing w:after="0" w:line="240" w:lineRule="auto"/>
        <w:ind w:left="2832"/>
        <w:jc w:val="center"/>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Przestrzenią i Środowiskiem</w:t>
      </w:r>
    </w:p>
    <w:p w14:paraId="2EBBFAD3" w14:textId="6F21076E" w:rsidR="00590D66" w:rsidRDefault="00590D66" w:rsidP="00590D66">
      <w:pPr>
        <w:spacing w:after="120" w:line="240" w:lineRule="auto"/>
        <w:jc w:val="both"/>
        <w:rPr>
          <w:rFonts w:ascii="Calibri" w:eastAsia="Times New Roman" w:hAnsi="Calibri" w:cs="Calibri"/>
          <w:sz w:val="28"/>
          <w:szCs w:val="28"/>
          <w:lang w:eastAsia="pl-PL"/>
        </w:rPr>
      </w:pPr>
    </w:p>
    <w:p w14:paraId="6126FF98" w14:textId="77777777" w:rsidR="00F778A3" w:rsidRPr="00590D66" w:rsidRDefault="00F778A3" w:rsidP="00590D66">
      <w:pPr>
        <w:spacing w:after="120" w:line="240" w:lineRule="auto"/>
        <w:jc w:val="both"/>
        <w:rPr>
          <w:rFonts w:ascii="Calibri" w:eastAsia="Times New Roman" w:hAnsi="Calibri" w:cs="Calibri"/>
          <w:sz w:val="28"/>
          <w:szCs w:val="28"/>
          <w:lang w:eastAsia="pl-PL"/>
        </w:rPr>
      </w:pPr>
    </w:p>
    <w:p w14:paraId="7C922D0B"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Załączniki:</w:t>
      </w:r>
    </w:p>
    <w:p w14:paraId="0ED6E846"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1. Charakterystyka przedsięwzięcia.</w:t>
      </w:r>
    </w:p>
    <w:p w14:paraId="659980D9" w14:textId="77777777" w:rsidR="00590D66" w:rsidRPr="00590D66" w:rsidRDefault="00590D66" w:rsidP="00590D66">
      <w:pPr>
        <w:spacing w:after="0" w:line="240" w:lineRule="auto"/>
        <w:jc w:val="both"/>
        <w:rPr>
          <w:rFonts w:ascii="Calibri" w:eastAsia="Times New Roman" w:hAnsi="Calibri" w:cs="Calibri"/>
          <w:sz w:val="28"/>
          <w:szCs w:val="28"/>
          <w:lang w:eastAsia="pl-PL"/>
        </w:rPr>
      </w:pPr>
    </w:p>
    <w:p w14:paraId="4CF0E03E"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Sprawę prowadzi:</w:t>
      </w:r>
    </w:p>
    <w:p w14:paraId="4FD79B71"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Małgorzata Borowska</w:t>
      </w:r>
    </w:p>
    <w:p w14:paraId="1D730DA1"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inspektor</w:t>
      </w:r>
    </w:p>
    <w:p w14:paraId="61DE8937"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tel. 61 28 47 140</w:t>
      </w:r>
    </w:p>
    <w:p w14:paraId="3142F7DF"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p>
    <w:p w14:paraId="712BE746"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Otrzymują:</w:t>
      </w:r>
    </w:p>
    <w:p w14:paraId="3C544A49"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I. Strony postępowania:</w:t>
      </w:r>
    </w:p>
    <w:p w14:paraId="08B2B50E" w14:textId="3DD16D29" w:rsidR="00590D66" w:rsidRPr="00590D66" w:rsidRDefault="00590D66" w:rsidP="00590D66">
      <w:pPr>
        <w:numPr>
          <w:ilvl w:val="0"/>
          <w:numId w:val="16"/>
        </w:num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Pan </w:t>
      </w:r>
    </w:p>
    <w:p w14:paraId="4AD88817" w14:textId="26558860" w:rsidR="00590D66" w:rsidRPr="00590D66" w:rsidRDefault="00590D66" w:rsidP="00590D66">
      <w:pPr>
        <w:numPr>
          <w:ilvl w:val="0"/>
          <w:numId w:val="16"/>
        </w:num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Pan </w:t>
      </w:r>
    </w:p>
    <w:p w14:paraId="6FE9C86C" w14:textId="3A5D937B" w:rsidR="00590D66" w:rsidRPr="00590D66" w:rsidRDefault="00590D66" w:rsidP="00590D66">
      <w:pPr>
        <w:numPr>
          <w:ilvl w:val="0"/>
          <w:numId w:val="16"/>
        </w:num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Pan </w:t>
      </w:r>
    </w:p>
    <w:p w14:paraId="76BAD0EA" w14:textId="77777777" w:rsidR="00590D66" w:rsidRPr="00590D66" w:rsidRDefault="00590D66" w:rsidP="00590D66">
      <w:pPr>
        <w:numPr>
          <w:ilvl w:val="0"/>
          <w:numId w:val="16"/>
        </w:num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Pozostałe strony postępowania przez obwieszczenie, zgodnie z art. 74 ust. 3 ustawy </w:t>
      </w:r>
    </w:p>
    <w:p w14:paraId="77EDA09C"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II. aa</w:t>
      </w:r>
    </w:p>
    <w:p w14:paraId="72376765" w14:textId="77777777" w:rsidR="00590D66" w:rsidRPr="00590D66" w:rsidRDefault="00590D66" w:rsidP="00590D66">
      <w:pPr>
        <w:spacing w:after="12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lastRenderedPageBreak/>
        <w:t>Do wiadomości:</w:t>
      </w:r>
    </w:p>
    <w:p w14:paraId="52868F17" w14:textId="77777777" w:rsidR="00590D66" w:rsidRPr="00590D66" w:rsidRDefault="00590D66" w:rsidP="00590D66">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Regionalny Dyrektor Ochrony Środowiska w Poznaniu (ePUAP)</w:t>
      </w:r>
    </w:p>
    <w:p w14:paraId="0F2C59DF" w14:textId="77777777" w:rsidR="00590D66" w:rsidRPr="00590D66" w:rsidRDefault="00590D66" w:rsidP="00590D66">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Dyrektor Zarządu Zlewni Państwowego Gospodarstwa Wodnego Wody Polskie w Poznaniu (ePUAP)</w:t>
      </w:r>
    </w:p>
    <w:p w14:paraId="338084CC" w14:textId="77777777" w:rsidR="00590D66" w:rsidRPr="00590D66" w:rsidRDefault="00590D66" w:rsidP="00590D66">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Państwowy Powiatowy Inspektor Sanitarny w Śremie (ePUAP)</w:t>
      </w:r>
    </w:p>
    <w:p w14:paraId="64735635" w14:textId="77777777" w:rsidR="00590D66" w:rsidRPr="00590D66" w:rsidRDefault="00590D66" w:rsidP="00590D66">
      <w:pPr>
        <w:spacing w:after="0" w:line="240" w:lineRule="auto"/>
        <w:jc w:val="both"/>
        <w:rPr>
          <w:rFonts w:ascii="Calibri" w:eastAsia="Times New Roman" w:hAnsi="Calibri" w:cs="Calibri"/>
          <w:sz w:val="28"/>
          <w:szCs w:val="28"/>
          <w:lang w:eastAsia="pl-PL"/>
        </w:rPr>
      </w:pPr>
    </w:p>
    <w:p w14:paraId="37BF0FC3"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 xml:space="preserve">Uiszczono opłatę skarbową w kwocie 205,00 zł </w:t>
      </w:r>
    </w:p>
    <w:p w14:paraId="37CC83E2"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data wpłaty: 20.04.2022 r.</w:t>
      </w:r>
    </w:p>
    <w:p w14:paraId="3BEC38FD" w14:textId="77777777" w:rsidR="00590D66" w:rsidRPr="00590D66" w:rsidRDefault="00590D66" w:rsidP="00590D66">
      <w:pPr>
        <w:spacing w:after="0" w:line="240" w:lineRule="auto"/>
        <w:jc w:val="both"/>
        <w:rPr>
          <w:rFonts w:ascii="Calibri" w:eastAsia="Times New Roman" w:hAnsi="Calibri" w:cs="Calibri"/>
          <w:sz w:val="28"/>
          <w:szCs w:val="28"/>
          <w:lang w:eastAsia="pl-PL"/>
        </w:rPr>
      </w:pPr>
      <w:r w:rsidRPr="00590D66">
        <w:rPr>
          <w:rFonts w:ascii="Calibri" w:eastAsia="Times New Roman" w:hAnsi="Calibri" w:cs="Calibri"/>
          <w:sz w:val="28"/>
          <w:szCs w:val="28"/>
          <w:lang w:eastAsia="pl-PL"/>
        </w:rPr>
        <w:t>nr rachunku bankowego Urzędu Miejskiego w Śremie:</w:t>
      </w:r>
    </w:p>
    <w:p w14:paraId="70530B1D" w14:textId="77777777" w:rsidR="00590D66" w:rsidRPr="00590D66" w:rsidRDefault="00590D66" w:rsidP="00590D66">
      <w:pPr>
        <w:spacing w:after="0" w:line="240" w:lineRule="auto"/>
        <w:jc w:val="both"/>
        <w:rPr>
          <w:rFonts w:ascii="Calibri" w:eastAsia="Calibri" w:hAnsi="Calibri" w:cs="Calibri"/>
          <w:sz w:val="28"/>
          <w:szCs w:val="28"/>
        </w:rPr>
      </w:pPr>
      <w:r w:rsidRPr="00590D66">
        <w:rPr>
          <w:rFonts w:ascii="Calibri" w:eastAsia="Times New Roman" w:hAnsi="Calibri" w:cs="Calibri"/>
          <w:sz w:val="28"/>
          <w:szCs w:val="28"/>
          <w:lang w:eastAsia="pl-PL"/>
        </w:rPr>
        <w:t>57 9084 0003 2102 0013 0521 0013</w:t>
      </w:r>
    </w:p>
    <w:p w14:paraId="2C625D5F" w14:textId="77777777" w:rsidR="00F778A3" w:rsidRDefault="00F778A3">
      <w:r>
        <w:br w:type="page"/>
      </w:r>
    </w:p>
    <w:tbl>
      <w:tblPr>
        <w:tblW w:w="0" w:type="auto"/>
        <w:tblLook w:val="04A0" w:firstRow="1" w:lastRow="0" w:firstColumn="1" w:lastColumn="0" w:noHBand="0" w:noVBand="1"/>
      </w:tblPr>
      <w:tblGrid>
        <w:gridCol w:w="4010"/>
        <w:gridCol w:w="4777"/>
      </w:tblGrid>
      <w:tr w:rsidR="00F778A3" w:rsidRPr="00F778A3" w14:paraId="178CF4B6" w14:textId="77777777" w:rsidTr="00FB40CD">
        <w:tc>
          <w:tcPr>
            <w:tcW w:w="4077" w:type="dxa"/>
            <w:shd w:val="clear" w:color="auto" w:fill="auto"/>
          </w:tcPr>
          <w:p w14:paraId="163010DC" w14:textId="77777777" w:rsidR="00F778A3" w:rsidRPr="00F778A3" w:rsidRDefault="00F778A3" w:rsidP="00F778A3">
            <w:pPr>
              <w:tabs>
                <w:tab w:val="left" w:pos="3156"/>
              </w:tabs>
              <w:spacing w:after="0" w:line="240" w:lineRule="auto"/>
              <w:ind w:right="639"/>
              <w:jc w:val="center"/>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lastRenderedPageBreak/>
              <w:t>Burmistrz Śremu</w:t>
            </w:r>
          </w:p>
          <w:p w14:paraId="4D0378C6" w14:textId="77777777" w:rsidR="00F778A3" w:rsidRPr="00F778A3" w:rsidRDefault="00F778A3" w:rsidP="00F778A3">
            <w:pPr>
              <w:tabs>
                <w:tab w:val="left" w:pos="3156"/>
              </w:tabs>
              <w:spacing w:after="0" w:line="240" w:lineRule="auto"/>
              <w:ind w:right="639"/>
              <w:jc w:val="center"/>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ul. Plac 20 Października 1</w:t>
            </w:r>
          </w:p>
          <w:p w14:paraId="193D2E41" w14:textId="77777777" w:rsidR="00F778A3" w:rsidRPr="00F778A3" w:rsidRDefault="00F778A3" w:rsidP="00F778A3">
            <w:pPr>
              <w:tabs>
                <w:tab w:val="left" w:pos="3156"/>
              </w:tabs>
              <w:spacing w:after="0" w:line="240" w:lineRule="auto"/>
              <w:ind w:right="639"/>
              <w:jc w:val="center"/>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63-100 Śrem</w:t>
            </w:r>
          </w:p>
        </w:tc>
        <w:tc>
          <w:tcPr>
            <w:tcW w:w="4850" w:type="dxa"/>
            <w:shd w:val="clear" w:color="auto" w:fill="auto"/>
          </w:tcPr>
          <w:p w14:paraId="5B2443C9" w14:textId="77777777" w:rsidR="00F778A3" w:rsidRPr="00F778A3" w:rsidRDefault="00F778A3" w:rsidP="00F778A3">
            <w:pPr>
              <w:spacing w:after="0" w:line="240" w:lineRule="auto"/>
              <w:jc w:val="both"/>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Załącznik nr 1</w:t>
            </w:r>
          </w:p>
          <w:p w14:paraId="19495D80" w14:textId="77777777" w:rsidR="00F778A3" w:rsidRPr="00F778A3" w:rsidRDefault="00F778A3" w:rsidP="00F778A3">
            <w:pPr>
              <w:spacing w:after="0" w:line="240" w:lineRule="auto"/>
              <w:jc w:val="both"/>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do decyzji znak PPSOŚ.6220.8.2022.BM</w:t>
            </w:r>
          </w:p>
          <w:p w14:paraId="2E94A50F" w14:textId="77777777" w:rsidR="00F778A3" w:rsidRPr="00F778A3" w:rsidRDefault="00F778A3" w:rsidP="00F778A3">
            <w:pPr>
              <w:spacing w:after="0" w:line="240" w:lineRule="auto"/>
              <w:jc w:val="both"/>
              <w:rPr>
                <w:rFonts w:ascii="Calibri" w:eastAsia="Times New Roman" w:hAnsi="Calibri" w:cs="Calibri"/>
                <w:bCs/>
                <w:sz w:val="28"/>
                <w:szCs w:val="28"/>
                <w:lang w:eastAsia="pl-PL"/>
              </w:rPr>
            </w:pPr>
            <w:r w:rsidRPr="00F778A3">
              <w:rPr>
                <w:rFonts w:ascii="Calibri" w:eastAsia="Times New Roman" w:hAnsi="Calibri" w:cs="Calibri"/>
                <w:bCs/>
                <w:sz w:val="28"/>
                <w:szCs w:val="28"/>
                <w:lang w:eastAsia="pl-PL"/>
              </w:rPr>
              <w:t>z 29 września 2022 r.</w:t>
            </w:r>
          </w:p>
        </w:tc>
      </w:tr>
    </w:tbl>
    <w:p w14:paraId="1594AFCE" w14:textId="77777777" w:rsidR="00F778A3" w:rsidRPr="00F778A3" w:rsidRDefault="00F778A3" w:rsidP="00F778A3">
      <w:pPr>
        <w:spacing w:before="120" w:after="120" w:line="240" w:lineRule="auto"/>
        <w:jc w:val="both"/>
        <w:rPr>
          <w:rFonts w:ascii="Calibri" w:eastAsia="Calibri" w:hAnsi="Calibri" w:cs="Calibri"/>
          <w:sz w:val="28"/>
          <w:szCs w:val="28"/>
        </w:rPr>
      </w:pPr>
      <w:r w:rsidRPr="00F778A3">
        <w:rPr>
          <w:rFonts w:ascii="Calibri" w:eastAsia="Times New Roman" w:hAnsi="Calibri" w:cs="Calibri"/>
          <w:sz w:val="28"/>
          <w:szCs w:val="28"/>
          <w:lang w:eastAsia="pl-PL"/>
        </w:rPr>
        <w:t>Charakterystyka przedsięwzięcia</w:t>
      </w:r>
      <w:r w:rsidRPr="00F778A3">
        <w:rPr>
          <w:rFonts w:ascii="Calibri" w:eastAsia="Times New Roman" w:hAnsi="Calibri" w:cs="Calibri"/>
          <w:bCs/>
          <w:sz w:val="28"/>
          <w:szCs w:val="28"/>
          <w:lang w:eastAsia="pl-PL"/>
        </w:rPr>
        <w:t xml:space="preserve">: </w:t>
      </w:r>
      <w:r w:rsidRPr="00F778A3">
        <w:rPr>
          <w:rFonts w:ascii="Calibri" w:eastAsia="Calibri" w:hAnsi="Calibri" w:cs="Calibri"/>
          <w:sz w:val="28"/>
          <w:szCs w:val="28"/>
        </w:rPr>
        <w:t>wykonanie wiercenia do głębokości 114 m p.p.t. w celu zaopatrzenia w wodę, na działce o numerze ewidencyjnym 20/19, obręb Góra.</w:t>
      </w:r>
    </w:p>
    <w:p w14:paraId="04292278" w14:textId="77777777" w:rsidR="00F778A3" w:rsidRPr="00F778A3" w:rsidRDefault="00F778A3" w:rsidP="00F778A3">
      <w:pPr>
        <w:spacing w:after="120" w:line="240" w:lineRule="auto"/>
        <w:ind w:firstLine="708"/>
        <w:jc w:val="both"/>
        <w:rPr>
          <w:rFonts w:ascii="Calibri" w:eastAsia="Times New Roman" w:hAnsi="Calibri" w:cs="Calibri"/>
          <w:sz w:val="28"/>
          <w:szCs w:val="28"/>
          <w:shd w:val="clear" w:color="auto" w:fill="FFFFFF"/>
          <w:lang w:eastAsia="pl-PL"/>
        </w:rPr>
      </w:pPr>
    </w:p>
    <w:p w14:paraId="391C04A6" w14:textId="77777777" w:rsidR="00F778A3" w:rsidRPr="00F778A3" w:rsidRDefault="00F778A3" w:rsidP="00F778A3">
      <w:pPr>
        <w:spacing w:after="120" w:line="240" w:lineRule="auto"/>
        <w:ind w:firstLine="708"/>
        <w:jc w:val="both"/>
        <w:rPr>
          <w:rFonts w:ascii="Calibri" w:eastAsia="SimSun" w:hAnsi="Calibri" w:cs="Calibri"/>
          <w:kern w:val="1"/>
          <w:sz w:val="28"/>
          <w:szCs w:val="28"/>
          <w:lang w:eastAsia="hi-IN" w:bidi="hi-IN"/>
        </w:rPr>
      </w:pPr>
      <w:r w:rsidRPr="00F778A3">
        <w:rPr>
          <w:rFonts w:ascii="Calibri" w:eastAsia="Times New Roman" w:hAnsi="Calibri" w:cs="Calibri"/>
          <w:sz w:val="28"/>
          <w:szCs w:val="28"/>
          <w:shd w:val="clear" w:color="auto" w:fill="FFFFFF"/>
          <w:lang w:eastAsia="pl-PL"/>
        </w:rPr>
        <w:t xml:space="preserve">Planowane przedsięwzięcie polega na wykonaniu wiercenia otworu hydrogeologicznego do głębokości 114 m p.p.t., w celu ustalenia zasobów eksploatacyjnych ujęcia wód podziemnych z utworów neogeńskich – mioceńskich, na działce o numerze ewidencyjnym 20/19, obręb Góra. Woda pobierana będzie do nawadniania gruntów rolnych. </w:t>
      </w:r>
      <w:r w:rsidRPr="00F778A3">
        <w:rPr>
          <w:rFonts w:ascii="Calibri" w:eastAsia="SimSun" w:hAnsi="Calibri" w:cs="Calibri"/>
          <w:kern w:val="1"/>
          <w:sz w:val="28"/>
          <w:szCs w:val="28"/>
          <w:lang w:eastAsia="hi-IN" w:bidi="hi-IN"/>
        </w:rPr>
        <w:t xml:space="preserve">Przedsięwzięcie zlokalizowane jest na terenie obowiązującego miejscowego planu zagospodarowania przestrzennego, uchwalonego uchwałą </w:t>
      </w:r>
      <w:r w:rsidRPr="00F778A3">
        <w:rPr>
          <w:rFonts w:ascii="Calibri" w:eastAsia="Times New Roman" w:hAnsi="Calibri" w:cs="Calibri"/>
          <w:sz w:val="28"/>
          <w:szCs w:val="28"/>
          <w:lang w:eastAsia="pl-PL"/>
        </w:rPr>
        <w:t>Nr 360/LI/06 Rady Miejskiej w Śremie z dnia 2 czerwca 2006 r. (Dz. Urz. Woj. Wielk. Nr 126, poz. 3092)</w:t>
      </w:r>
      <w:r w:rsidRPr="00F778A3">
        <w:rPr>
          <w:rFonts w:ascii="Calibri" w:eastAsia="SimSun" w:hAnsi="Calibri" w:cs="Calibri"/>
          <w:kern w:val="1"/>
          <w:sz w:val="28"/>
          <w:szCs w:val="28"/>
          <w:lang w:eastAsia="hi-IN" w:bidi="hi-IN"/>
        </w:rPr>
        <w:t xml:space="preserve"> i jego realizacja nie jest sprzeczna z ustaleniami tego planu.</w:t>
      </w:r>
    </w:p>
    <w:p w14:paraId="02EB30D8" w14:textId="77777777" w:rsidR="00F778A3" w:rsidRPr="00F778A3" w:rsidRDefault="00F778A3" w:rsidP="00F778A3">
      <w:pPr>
        <w:spacing w:after="120" w:line="240" w:lineRule="auto"/>
        <w:ind w:firstLine="708"/>
        <w:jc w:val="both"/>
        <w:rPr>
          <w:rFonts w:ascii="Calibri" w:eastAsia="Times New Roman" w:hAnsi="Calibri" w:cs="Calibri"/>
          <w:sz w:val="28"/>
          <w:szCs w:val="28"/>
          <w:shd w:val="clear" w:color="auto" w:fill="FFFFFF"/>
          <w:lang w:eastAsia="pl-PL"/>
        </w:rPr>
      </w:pPr>
      <w:r w:rsidRPr="00F778A3">
        <w:rPr>
          <w:rFonts w:ascii="Calibri" w:eastAsia="Times New Roman" w:hAnsi="Calibri" w:cs="Calibri"/>
          <w:sz w:val="28"/>
          <w:szCs w:val="28"/>
          <w:shd w:val="clear" w:color="auto" w:fill="FFFFFF"/>
          <w:lang w:eastAsia="pl-PL"/>
        </w:rPr>
        <w:t>Na wnioskowanym terenie znajduje się sad. W związku z realizacją przedsięwzięcia z powierzchni biologicznie czynnej zostanie wyłączony obszar o powierzchni około 8,04 m</w:t>
      </w:r>
      <w:r w:rsidRPr="00F778A3">
        <w:rPr>
          <w:rFonts w:ascii="Calibri" w:eastAsia="Times New Roman" w:hAnsi="Calibri" w:cs="Calibri"/>
          <w:sz w:val="28"/>
          <w:szCs w:val="28"/>
          <w:shd w:val="clear" w:color="auto" w:fill="FFFFFF"/>
          <w:vertAlign w:val="superscript"/>
          <w:lang w:eastAsia="pl-PL"/>
        </w:rPr>
        <w:t>2</w:t>
      </w:r>
      <w:r w:rsidRPr="00F778A3">
        <w:rPr>
          <w:rFonts w:ascii="Calibri" w:eastAsia="Times New Roman" w:hAnsi="Calibri" w:cs="Calibri"/>
          <w:sz w:val="28"/>
          <w:szCs w:val="28"/>
          <w:shd w:val="clear" w:color="auto" w:fill="FFFFFF"/>
          <w:lang w:eastAsia="pl-PL"/>
        </w:rPr>
        <w:t>. Nie przewiduje się wycinki drzew i krzewów.</w:t>
      </w:r>
    </w:p>
    <w:p w14:paraId="13BD8E76" w14:textId="77777777" w:rsidR="00F778A3" w:rsidRPr="00F778A3" w:rsidRDefault="00F778A3" w:rsidP="00F778A3">
      <w:pPr>
        <w:spacing w:after="120" w:line="240" w:lineRule="auto"/>
        <w:ind w:firstLine="708"/>
        <w:jc w:val="both"/>
        <w:rPr>
          <w:rFonts w:ascii="Calibri" w:eastAsia="Times New Roman" w:hAnsi="Calibri" w:cs="Calibri"/>
          <w:sz w:val="28"/>
          <w:szCs w:val="28"/>
          <w:shd w:val="clear" w:color="auto" w:fill="FFFFFF"/>
          <w:lang w:eastAsia="pl-PL"/>
        </w:rPr>
      </w:pPr>
      <w:r w:rsidRPr="00F778A3">
        <w:rPr>
          <w:rFonts w:ascii="Calibri" w:eastAsia="Times New Roman" w:hAnsi="Calibri" w:cs="Calibri"/>
          <w:sz w:val="28"/>
          <w:szCs w:val="28"/>
          <w:shd w:val="clear" w:color="auto" w:fill="FFFFFF"/>
          <w:lang w:eastAsia="pl-PL"/>
        </w:rPr>
        <w:t>Przed rozpoczęciem wiercenia otworu hydrogeologicznego, w miejscu dołu urobkowego zostanie zdjęta warstwa gleby, która będzie składowana w pryzmie poza placem prac wiertniczych. Dół urobkowy wyłożony zostanie szczelną folią PCV. Nadmiar urobku będzie na bieżąco usuwany z wnioskowanego terenu (przekazany uprawnionemu podmiotowi do dalszego zagospodarowania), a dół urobkowy zostanie zlikwidowany po zakończeniu prac wiertniczych. Teren przedsięwzięcia zostanie przywrócony do stanu pierwotnego.</w:t>
      </w:r>
    </w:p>
    <w:p w14:paraId="6A0EFCFD" w14:textId="77777777" w:rsidR="00F778A3" w:rsidRPr="00F778A3" w:rsidRDefault="00F778A3" w:rsidP="00F778A3">
      <w:pPr>
        <w:spacing w:after="120" w:line="240" w:lineRule="auto"/>
        <w:ind w:firstLine="708"/>
        <w:jc w:val="both"/>
        <w:rPr>
          <w:rFonts w:ascii="Calibri" w:eastAsia="Times New Roman" w:hAnsi="Calibri" w:cs="Calibri"/>
          <w:sz w:val="28"/>
          <w:szCs w:val="28"/>
          <w:shd w:val="clear" w:color="auto" w:fill="FFFFFF"/>
          <w:lang w:eastAsia="pl-PL"/>
        </w:rPr>
      </w:pPr>
      <w:r w:rsidRPr="00F778A3">
        <w:rPr>
          <w:rFonts w:ascii="Calibri" w:eastAsia="Times New Roman" w:hAnsi="Calibri" w:cs="Calibri"/>
          <w:sz w:val="28"/>
          <w:szCs w:val="28"/>
          <w:shd w:val="clear" w:color="auto" w:fill="FFFFFF"/>
          <w:lang w:eastAsia="pl-PL"/>
        </w:rPr>
        <w:t xml:space="preserve">Planowane wiercenie zostanie zrealizowane z wykorzystaniem urządzenia wiertniczego, metodą obrotową z prawym i lewym obiegiem płuczki. W celu zapewnienia maksymalnego bezpieczeństwa dla jakości ujmowanych w przyszłości wód podziemnych podczas wiercenia zostanie wykonana izolacja. Po zafiltrowaniu otworu hydrogeologicznego przestrzeń wokół części roboczej filtra zostanie wypełniona obsypką piaskową o przewidywanej granulacji od 0,8 mm do 1,4 mm. Przestrzeń między rurą cembrową, a ścianami otworu hydrogeologicznego zostanie uszczelniona compactonitem (korek iłowy) na głębokości od 0,0 m do 35 m p.p.t. i od 55 m do 88 m p.p.t. W pozostałym zakresie przestrzeń zostanie wypełniona urobkiem. </w:t>
      </w:r>
    </w:p>
    <w:p w14:paraId="5C0C68A0" w14:textId="77777777" w:rsidR="00F778A3" w:rsidRPr="00F778A3" w:rsidRDefault="00F778A3" w:rsidP="00F778A3">
      <w:pPr>
        <w:spacing w:after="120" w:line="240" w:lineRule="auto"/>
        <w:ind w:firstLine="708"/>
        <w:jc w:val="both"/>
        <w:rPr>
          <w:rFonts w:ascii="Calibri" w:eastAsia="Times New Roman" w:hAnsi="Calibri" w:cs="Calibri"/>
          <w:sz w:val="28"/>
          <w:szCs w:val="28"/>
          <w:shd w:val="clear" w:color="auto" w:fill="FFFFFF"/>
          <w:lang w:eastAsia="pl-PL"/>
        </w:rPr>
      </w:pPr>
      <w:r w:rsidRPr="00F778A3">
        <w:rPr>
          <w:rFonts w:ascii="Calibri" w:eastAsia="Times New Roman" w:hAnsi="Calibri" w:cs="Calibri"/>
          <w:sz w:val="28"/>
          <w:szCs w:val="28"/>
          <w:shd w:val="clear" w:color="auto" w:fill="FFFFFF"/>
          <w:lang w:eastAsia="pl-PL"/>
        </w:rPr>
        <w:lastRenderedPageBreak/>
        <w:t xml:space="preserve">Po wykonaniu otworu hydrogeologicznego, zostanie on zabezpieczony przed dostępem osób postronnych za pomocą stalowego kołpaka zamykającego o średnicy dostosowanej do rury nadfiltrowej. </w:t>
      </w:r>
    </w:p>
    <w:p w14:paraId="63169F7C" w14:textId="77777777" w:rsidR="00F778A3" w:rsidRPr="00F778A3" w:rsidRDefault="00F778A3" w:rsidP="00F778A3">
      <w:pPr>
        <w:spacing w:after="120" w:line="240" w:lineRule="auto"/>
        <w:ind w:firstLine="708"/>
        <w:jc w:val="both"/>
        <w:rPr>
          <w:rFonts w:ascii="Calibri" w:eastAsia="Times New Roman" w:hAnsi="Calibri" w:cs="Calibri"/>
          <w:sz w:val="28"/>
          <w:szCs w:val="28"/>
          <w:lang w:eastAsia="pl-PL"/>
        </w:rPr>
      </w:pPr>
      <w:r w:rsidRPr="00F778A3">
        <w:rPr>
          <w:rFonts w:ascii="Calibri" w:eastAsia="Times New Roman" w:hAnsi="Calibri" w:cs="Calibri"/>
          <w:sz w:val="28"/>
          <w:szCs w:val="28"/>
          <w:shd w:val="clear" w:color="auto" w:fill="FFFFFF"/>
          <w:lang w:eastAsia="pl-PL"/>
        </w:rPr>
        <w:t xml:space="preserve">Prace wiertnicze prowadzone będą w porze dnia. </w:t>
      </w:r>
    </w:p>
    <w:p w14:paraId="75F13E52" w14:textId="77777777" w:rsidR="00F778A3" w:rsidRPr="00F778A3" w:rsidRDefault="00F778A3" w:rsidP="00F778A3">
      <w:pPr>
        <w:spacing w:before="120" w:after="120" w:line="240" w:lineRule="auto"/>
        <w:ind w:firstLine="709"/>
        <w:jc w:val="both"/>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 xml:space="preserve">Zestaw wiertniczy zasilany będzie energią mechaniczną z pojazdu wiertniczego. </w:t>
      </w:r>
      <w:r w:rsidRPr="00F778A3">
        <w:rPr>
          <w:rFonts w:ascii="Calibri" w:eastAsia="Andale Sans UI" w:hAnsi="Calibri" w:cs="Calibri"/>
          <w:kern w:val="1"/>
          <w:sz w:val="28"/>
          <w:szCs w:val="28"/>
          <w:lang w:eastAsia="hi-IN" w:bidi="hi-IN"/>
        </w:rPr>
        <w:t>W wyniku realizacji przedsięwzięcia nie zwiększy się poziom hałasu w środowisku i nie zostaną przekroczone akustyczne standardy jakości środowiska. Nie przewiduje się również wpływu przedsięwzięcia na stan jakości powietrza w rejonie zainwestowania. Woda z próbnego pompowania odprowadzana będzie na grunty rolne wnioskodawcy.</w:t>
      </w:r>
    </w:p>
    <w:p w14:paraId="42F0CDAB" w14:textId="77777777" w:rsidR="00F778A3" w:rsidRPr="00F778A3" w:rsidRDefault="00F778A3" w:rsidP="00F778A3">
      <w:pPr>
        <w:spacing w:after="120" w:line="240" w:lineRule="auto"/>
        <w:ind w:firstLine="708"/>
        <w:jc w:val="both"/>
        <w:rPr>
          <w:rFonts w:ascii="Calibri" w:eastAsia="Times New Roman" w:hAnsi="Calibri" w:cs="Calibri"/>
          <w:bCs/>
          <w:sz w:val="28"/>
          <w:szCs w:val="28"/>
          <w:lang w:eastAsia="zh-CN"/>
        </w:rPr>
      </w:pPr>
      <w:r w:rsidRPr="00F778A3">
        <w:rPr>
          <w:rFonts w:ascii="Calibri" w:eastAsia="Times New Roman" w:hAnsi="Calibri" w:cs="Calibri"/>
          <w:bCs/>
          <w:sz w:val="28"/>
          <w:szCs w:val="28"/>
          <w:lang w:eastAsia="zh-CN"/>
        </w:rPr>
        <w:t>Na etapie prowadzenia robót wiertniczych będą wytwarzane odpady związane z tymi pracami. Będą one magazynowane okresowo w odpowiednio przystosowanych pojemnikach, a po zakończeniu prac wiertniczych zostaną przekazane podmiotom uprawnionym w zakresie gospodarowania odpadami celem odzysku lub (w dalszej kolejności) unieszkodliwienia.</w:t>
      </w:r>
    </w:p>
    <w:p w14:paraId="2B0EF8F5" w14:textId="77777777" w:rsidR="00F778A3" w:rsidRPr="00F778A3" w:rsidRDefault="00F778A3" w:rsidP="00F778A3">
      <w:pPr>
        <w:spacing w:after="120" w:line="240" w:lineRule="auto"/>
        <w:ind w:firstLine="708"/>
        <w:jc w:val="both"/>
        <w:rPr>
          <w:rFonts w:ascii="Calibri" w:eastAsia="Times New Roman" w:hAnsi="Calibri" w:cs="Calibri"/>
          <w:sz w:val="28"/>
          <w:szCs w:val="28"/>
          <w:lang w:eastAsia="zh-CN"/>
        </w:rPr>
      </w:pPr>
      <w:r w:rsidRPr="00F778A3">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w:t>
      </w:r>
      <w:r w:rsidRPr="00F778A3">
        <w:rPr>
          <w:rFonts w:ascii="Calibri" w:eastAsia="Calibri" w:hAnsi="Calibri" w:cs="Calibri"/>
          <w:sz w:val="28"/>
          <w:szCs w:val="28"/>
        </w:rPr>
        <w:t xml:space="preserve">(Dz. U. </w:t>
      </w:r>
      <w:r w:rsidRPr="00F778A3">
        <w:rPr>
          <w:rFonts w:ascii="Calibri" w:eastAsia="Times New Roman" w:hAnsi="Calibri" w:cs="Calibri"/>
          <w:sz w:val="28"/>
          <w:szCs w:val="28"/>
          <w:lang w:eastAsia="zh-CN"/>
        </w:rPr>
        <w:t>z 2022 r. poz. 916 i 1726</w:t>
      </w:r>
      <w:r w:rsidRPr="00F778A3">
        <w:rPr>
          <w:rFonts w:ascii="Calibri" w:eastAsia="Calibri" w:hAnsi="Calibri" w:cs="Calibri"/>
          <w:sz w:val="28"/>
          <w:szCs w:val="28"/>
        </w:rPr>
        <w:t>)</w:t>
      </w:r>
      <w:r w:rsidRPr="00F778A3">
        <w:rPr>
          <w:rFonts w:ascii="Calibri" w:eastAsia="Times New Roman" w:hAnsi="Calibri" w:cs="Calibri"/>
          <w:sz w:val="28"/>
          <w:szCs w:val="28"/>
          <w:lang w:eastAsia="zh-CN"/>
        </w:rPr>
        <w:t xml:space="preserve">. Najbliżej położonymi obszarami chronionymi przyrodniczo są: Rogaliński Park Krajobrazowy oraz obszary Natura 2000: obszar specjalnej ochrony ptaków Ostoja Rogalińska PLB300017 i specjalny obszar ochrony siedlisk Rogalińska Dolina Warty PLH300012, oddalone o 5 m od granic terenu przedsięwzięcia. </w:t>
      </w:r>
    </w:p>
    <w:p w14:paraId="78718EB1" w14:textId="77777777" w:rsidR="00F778A3" w:rsidRPr="00F778A3" w:rsidRDefault="00F778A3" w:rsidP="00F778A3">
      <w:pPr>
        <w:spacing w:after="120" w:line="240" w:lineRule="auto"/>
        <w:ind w:firstLine="708"/>
        <w:jc w:val="both"/>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Wnioskodawca nie przewiduje alternatywnych wariantów przedsięwzięcia.</w:t>
      </w:r>
    </w:p>
    <w:p w14:paraId="377C0547" w14:textId="77777777" w:rsidR="00F778A3" w:rsidRPr="00F778A3" w:rsidRDefault="00F778A3" w:rsidP="00F778A3">
      <w:pPr>
        <w:spacing w:after="0" w:line="240" w:lineRule="auto"/>
        <w:ind w:firstLine="709"/>
        <w:jc w:val="both"/>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Planowane przedsięwzięcie nie spowoduje naruszenia wymagań ochrony środowiska, jeśli zostaną spełnione warunki przedstawione w karcie informacyjnej przedsięwzięcia, przedłożonej z wnioskiem o wydanie decyzji o środowiskowych uwarunkowaniach.</w:t>
      </w:r>
    </w:p>
    <w:p w14:paraId="2BE33AB4" w14:textId="77777777" w:rsidR="00F778A3" w:rsidRPr="00F778A3" w:rsidRDefault="00F778A3" w:rsidP="00F778A3">
      <w:pPr>
        <w:spacing w:after="120" w:line="240" w:lineRule="auto"/>
        <w:ind w:firstLine="708"/>
        <w:jc w:val="both"/>
        <w:rPr>
          <w:rFonts w:ascii="Calibri" w:eastAsia="Times New Roman" w:hAnsi="Calibri" w:cs="Calibri"/>
          <w:sz w:val="28"/>
          <w:szCs w:val="28"/>
          <w:lang w:eastAsia="pl-PL"/>
        </w:rPr>
      </w:pPr>
    </w:p>
    <w:p w14:paraId="474FD0ED" w14:textId="17C1EEBD"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z up. BURMISTRZA</w:t>
      </w:r>
    </w:p>
    <w:p w14:paraId="5C0EDD27" w14:textId="77777777"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Katarzyna Bednarowicz</w:t>
      </w:r>
    </w:p>
    <w:p w14:paraId="4146FED4" w14:textId="77777777"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naczelnik Pionu Gospodarowania</w:t>
      </w:r>
    </w:p>
    <w:p w14:paraId="5BAAE6CD" w14:textId="77777777" w:rsidR="00F778A3" w:rsidRPr="00F778A3" w:rsidRDefault="00F778A3" w:rsidP="00F778A3">
      <w:pPr>
        <w:spacing w:after="0" w:line="240" w:lineRule="auto"/>
        <w:ind w:left="2832"/>
        <w:jc w:val="center"/>
        <w:rPr>
          <w:rFonts w:ascii="Calibri" w:eastAsia="Times New Roman" w:hAnsi="Calibri" w:cs="Calibri"/>
          <w:sz w:val="28"/>
          <w:szCs w:val="28"/>
          <w:lang w:eastAsia="pl-PL"/>
        </w:rPr>
      </w:pPr>
      <w:r w:rsidRPr="00F778A3">
        <w:rPr>
          <w:rFonts w:ascii="Calibri" w:eastAsia="Times New Roman" w:hAnsi="Calibri" w:cs="Calibri"/>
          <w:sz w:val="28"/>
          <w:szCs w:val="28"/>
          <w:lang w:eastAsia="pl-PL"/>
        </w:rPr>
        <w:t>Przestrzenią i Środowiskiem</w:t>
      </w:r>
    </w:p>
    <w:p w14:paraId="3383ACFB" w14:textId="77777777" w:rsidR="00F778A3" w:rsidRPr="00F778A3" w:rsidRDefault="00F778A3" w:rsidP="00F778A3">
      <w:pPr>
        <w:spacing w:after="0" w:line="240" w:lineRule="auto"/>
        <w:ind w:left="2832"/>
        <w:rPr>
          <w:rFonts w:ascii="Calibri" w:eastAsia="Times New Roman" w:hAnsi="Calibri" w:cs="Calibri"/>
          <w:sz w:val="28"/>
          <w:szCs w:val="28"/>
          <w:lang w:eastAsia="pl-PL"/>
        </w:rPr>
      </w:pP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4D2CF" w14:textId="77777777" w:rsidR="00C83E04" w:rsidRDefault="00C83E04" w:rsidP="00053E5A">
      <w:pPr>
        <w:spacing w:after="0" w:line="240" w:lineRule="auto"/>
      </w:pPr>
      <w:r>
        <w:separator/>
      </w:r>
    </w:p>
  </w:endnote>
  <w:endnote w:type="continuationSeparator" w:id="0">
    <w:p w14:paraId="6BD1A856" w14:textId="77777777" w:rsidR="00C83E04" w:rsidRDefault="00C83E0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AFDDC" w14:textId="77777777" w:rsidR="00C83E04" w:rsidRDefault="00C83E04" w:rsidP="00053E5A">
      <w:pPr>
        <w:spacing w:after="0" w:line="240" w:lineRule="auto"/>
      </w:pPr>
      <w:r>
        <w:separator/>
      </w:r>
    </w:p>
  </w:footnote>
  <w:footnote w:type="continuationSeparator" w:id="0">
    <w:p w14:paraId="2085B670" w14:textId="77777777" w:rsidR="00C83E04" w:rsidRDefault="00C83E04"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567B94"/>
    <w:multiLevelType w:val="hybridMultilevel"/>
    <w:tmpl w:val="592E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6797971">
    <w:abstractNumId w:val="9"/>
  </w:num>
  <w:num w:numId="2" w16cid:durableId="388774509">
    <w:abstractNumId w:val="13"/>
  </w:num>
  <w:num w:numId="3" w16cid:durableId="1915314768">
    <w:abstractNumId w:val="4"/>
  </w:num>
  <w:num w:numId="4" w16cid:durableId="1732924008">
    <w:abstractNumId w:val="6"/>
  </w:num>
  <w:num w:numId="5" w16cid:durableId="114646206">
    <w:abstractNumId w:val="5"/>
  </w:num>
  <w:num w:numId="6" w16cid:durableId="1440682328">
    <w:abstractNumId w:val="7"/>
  </w:num>
  <w:num w:numId="7" w16cid:durableId="792478214">
    <w:abstractNumId w:val="0"/>
  </w:num>
  <w:num w:numId="8" w16cid:durableId="1679427087">
    <w:abstractNumId w:val="8"/>
  </w:num>
  <w:num w:numId="9" w16cid:durableId="833715599">
    <w:abstractNumId w:val="2"/>
  </w:num>
  <w:num w:numId="10" w16cid:durableId="1599408382">
    <w:abstractNumId w:val="11"/>
  </w:num>
  <w:num w:numId="11" w16cid:durableId="1491826482">
    <w:abstractNumId w:val="14"/>
  </w:num>
  <w:num w:numId="12" w16cid:durableId="721253765">
    <w:abstractNumId w:val="15"/>
  </w:num>
  <w:num w:numId="13" w16cid:durableId="1743210591">
    <w:abstractNumId w:val="3"/>
  </w:num>
  <w:num w:numId="14" w16cid:durableId="1234194380">
    <w:abstractNumId w:val="12"/>
  </w:num>
  <w:num w:numId="15" w16cid:durableId="973678337">
    <w:abstractNumId w:val="10"/>
  </w:num>
  <w:num w:numId="16" w16cid:durableId="55399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0EF4"/>
    <w:rsid w:val="00053E5A"/>
    <w:rsid w:val="000C0935"/>
    <w:rsid w:val="0010000E"/>
    <w:rsid w:val="001753AD"/>
    <w:rsid w:val="001E45F7"/>
    <w:rsid w:val="00246E57"/>
    <w:rsid w:val="00250690"/>
    <w:rsid w:val="00296D46"/>
    <w:rsid w:val="002E64CC"/>
    <w:rsid w:val="0031777D"/>
    <w:rsid w:val="003625F3"/>
    <w:rsid w:val="003650B3"/>
    <w:rsid w:val="003B5D23"/>
    <w:rsid w:val="004266A8"/>
    <w:rsid w:val="004519AC"/>
    <w:rsid w:val="0048459B"/>
    <w:rsid w:val="004922DB"/>
    <w:rsid w:val="00525346"/>
    <w:rsid w:val="00547B25"/>
    <w:rsid w:val="00575C7A"/>
    <w:rsid w:val="00582CAF"/>
    <w:rsid w:val="00590D66"/>
    <w:rsid w:val="005A07CF"/>
    <w:rsid w:val="005B4C37"/>
    <w:rsid w:val="005E5887"/>
    <w:rsid w:val="00677A8F"/>
    <w:rsid w:val="006A6F3E"/>
    <w:rsid w:val="00722E64"/>
    <w:rsid w:val="00775A53"/>
    <w:rsid w:val="00801B47"/>
    <w:rsid w:val="0081559F"/>
    <w:rsid w:val="00825443"/>
    <w:rsid w:val="00883567"/>
    <w:rsid w:val="008A4EA9"/>
    <w:rsid w:val="009134E8"/>
    <w:rsid w:val="00917C21"/>
    <w:rsid w:val="009614DC"/>
    <w:rsid w:val="00962002"/>
    <w:rsid w:val="009746B3"/>
    <w:rsid w:val="00977946"/>
    <w:rsid w:val="009937A8"/>
    <w:rsid w:val="00A80570"/>
    <w:rsid w:val="00AA3AD3"/>
    <w:rsid w:val="00B664A9"/>
    <w:rsid w:val="00C636CE"/>
    <w:rsid w:val="00C74A10"/>
    <w:rsid w:val="00C83E04"/>
    <w:rsid w:val="00C9190F"/>
    <w:rsid w:val="00D0445C"/>
    <w:rsid w:val="00D066E1"/>
    <w:rsid w:val="00D67012"/>
    <w:rsid w:val="00D91D83"/>
    <w:rsid w:val="00D96D0F"/>
    <w:rsid w:val="00DE0591"/>
    <w:rsid w:val="00E43A7B"/>
    <w:rsid w:val="00E560F8"/>
    <w:rsid w:val="00E81680"/>
    <w:rsid w:val="00E94009"/>
    <w:rsid w:val="00F11BA4"/>
    <w:rsid w:val="00F778A3"/>
    <w:rsid w:val="00F8027A"/>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5825</Words>
  <Characters>34952</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17</cp:revision>
  <cp:lastPrinted>2020-02-11T13:09:00Z</cp:lastPrinted>
  <dcterms:created xsi:type="dcterms:W3CDTF">2022-01-20T09:45:00Z</dcterms:created>
  <dcterms:modified xsi:type="dcterms:W3CDTF">2022-09-29T10:40:00Z</dcterms:modified>
</cp:coreProperties>
</file>