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bookmarkStart w:id="0" w:name="_Hlk111802099"/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  <w:bookmarkEnd w:id="0"/>
    </w:p>
    <w:p w14:paraId="28508B46" w14:textId="790BEECE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F75251">
        <w:rPr>
          <w:rFonts w:eastAsia="Calibri" w:cstheme="minorHAnsi"/>
          <w:sz w:val="28"/>
          <w:szCs w:val="28"/>
        </w:rPr>
        <w:t>06</w:t>
      </w:r>
      <w:r w:rsidR="004E34C3">
        <w:rPr>
          <w:rFonts w:eastAsia="Calibri" w:cstheme="minorHAnsi"/>
          <w:sz w:val="28"/>
          <w:szCs w:val="28"/>
        </w:rPr>
        <w:t xml:space="preserve"> </w:t>
      </w:r>
      <w:r w:rsidR="00196279">
        <w:rPr>
          <w:rFonts w:eastAsia="Calibri" w:cstheme="minorHAnsi"/>
          <w:sz w:val="28"/>
          <w:szCs w:val="28"/>
        </w:rPr>
        <w:t>października</w:t>
      </w:r>
      <w:r w:rsidRPr="005A07CF">
        <w:rPr>
          <w:rFonts w:eastAsia="Calibri" w:cstheme="minorHAnsi"/>
          <w:sz w:val="28"/>
          <w:szCs w:val="28"/>
        </w:rPr>
        <w:t xml:space="preserve"> 2022 roku</w:t>
      </w:r>
    </w:p>
    <w:p w14:paraId="34FBB9F2" w14:textId="46802B64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B135C0">
        <w:rPr>
          <w:rFonts w:eastAsia="Calibri" w:cstheme="minorHAnsi"/>
          <w:sz w:val="28"/>
          <w:szCs w:val="28"/>
        </w:rPr>
        <w:t>1</w:t>
      </w:r>
      <w:r w:rsidR="00196279">
        <w:rPr>
          <w:rFonts w:eastAsia="Calibri" w:cstheme="minorHAnsi"/>
          <w:sz w:val="28"/>
          <w:szCs w:val="28"/>
        </w:rPr>
        <w:t>7</w:t>
      </w:r>
      <w:r w:rsidRPr="005A07CF">
        <w:rPr>
          <w:rFonts w:eastAsia="Calibri" w:cstheme="minorHAnsi"/>
          <w:sz w:val="28"/>
          <w:szCs w:val="28"/>
        </w:rPr>
        <w:t>.202</w:t>
      </w:r>
      <w:r w:rsidR="004348F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286EE4">
        <w:rPr>
          <w:rFonts w:eastAsia="Calibri" w:cstheme="minorHAnsi"/>
          <w:sz w:val="28"/>
          <w:szCs w:val="28"/>
        </w:rPr>
        <w:t>SSY</w:t>
      </w:r>
    </w:p>
    <w:p w14:paraId="3F435F61" w14:textId="353990B5" w:rsidR="005A07CF" w:rsidRDefault="005A07CF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F1F86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7C7141CC" w14:textId="77777777" w:rsidR="00665EE3" w:rsidRPr="00AF1F86" w:rsidRDefault="00665EE3" w:rsidP="00377C2A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</w:p>
    <w:p w14:paraId="4E19DA3A" w14:textId="0CEBD1FB" w:rsidR="006B3990" w:rsidRPr="00B135C0" w:rsidRDefault="00AF1F86" w:rsidP="005163FD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B135C0">
        <w:rPr>
          <w:sz w:val="28"/>
          <w:szCs w:val="28"/>
        </w:rPr>
        <w:t>Na podstawie art. 53 ust. 1 ustawy z dnia 27 marca 2003 r. o planowaniu i zagospodarowaniu przestrzennym (Dz. U. z 202</w:t>
      </w:r>
      <w:r w:rsidR="008A3FFD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 xml:space="preserve"> r. poz. </w:t>
      </w:r>
      <w:r w:rsidR="008A3FFD" w:rsidRPr="00B135C0">
        <w:rPr>
          <w:sz w:val="28"/>
          <w:szCs w:val="28"/>
        </w:rPr>
        <w:t>503</w:t>
      </w:r>
      <w:r w:rsidR="005163FD">
        <w:rPr>
          <w:sz w:val="28"/>
          <w:szCs w:val="28"/>
        </w:rPr>
        <w:t xml:space="preserve"> i 1846</w:t>
      </w:r>
      <w:r w:rsidRPr="00B135C0">
        <w:rPr>
          <w:sz w:val="28"/>
          <w:szCs w:val="28"/>
        </w:rPr>
        <w:t xml:space="preserve">) zawiadamiam o wydaniu </w:t>
      </w:r>
      <w:r w:rsidR="005163FD">
        <w:rPr>
          <w:sz w:val="28"/>
          <w:szCs w:val="28"/>
        </w:rPr>
        <w:t>05</w:t>
      </w:r>
      <w:r w:rsidR="007C54C3" w:rsidRPr="00B135C0">
        <w:rPr>
          <w:sz w:val="28"/>
          <w:szCs w:val="28"/>
        </w:rPr>
        <w:t>.</w:t>
      </w:r>
      <w:r w:rsidR="005163FD">
        <w:rPr>
          <w:sz w:val="28"/>
          <w:szCs w:val="28"/>
        </w:rPr>
        <w:t>10</w:t>
      </w:r>
      <w:r w:rsidRPr="00B135C0">
        <w:rPr>
          <w:sz w:val="28"/>
          <w:szCs w:val="28"/>
        </w:rPr>
        <w:t>.2022 r., przez Burmistrza Śremu, decyzji nr</w:t>
      </w:r>
      <w:r w:rsidR="00615D44" w:rsidRPr="00B135C0">
        <w:rPr>
          <w:sz w:val="28"/>
          <w:szCs w:val="28"/>
        </w:rPr>
        <w:t> </w:t>
      </w:r>
      <w:r w:rsidR="007C54C3" w:rsidRPr="00B135C0">
        <w:rPr>
          <w:sz w:val="28"/>
          <w:szCs w:val="28"/>
        </w:rPr>
        <w:t>1</w:t>
      </w:r>
      <w:r w:rsidR="005163FD">
        <w:rPr>
          <w:sz w:val="28"/>
          <w:szCs w:val="28"/>
        </w:rPr>
        <w:t>5</w:t>
      </w:r>
      <w:r w:rsidRPr="00B135C0">
        <w:rPr>
          <w:sz w:val="28"/>
          <w:szCs w:val="28"/>
        </w:rPr>
        <w:t>/202</w:t>
      </w:r>
      <w:r w:rsidR="006B3990" w:rsidRPr="00B135C0">
        <w:rPr>
          <w:sz w:val="28"/>
          <w:szCs w:val="28"/>
        </w:rPr>
        <w:t>2</w:t>
      </w:r>
      <w:r w:rsidRPr="00B135C0">
        <w:rPr>
          <w:sz w:val="28"/>
          <w:szCs w:val="28"/>
        </w:rPr>
        <w:t xml:space="preserve"> o lokalizacji inwestycji celu publicznego:</w:t>
      </w:r>
      <w:r w:rsidRPr="00B135C0">
        <w:rPr>
          <w:b/>
          <w:sz w:val="28"/>
          <w:szCs w:val="28"/>
        </w:rPr>
        <w:t xml:space="preserve"> </w:t>
      </w:r>
      <w:r w:rsidR="005163FD" w:rsidRPr="00196279">
        <w:rPr>
          <w:rFonts w:cstheme="minorHAnsi"/>
          <w:sz w:val="28"/>
          <w:szCs w:val="28"/>
        </w:rPr>
        <w:t xml:space="preserve">budowa hali sportowej przy </w:t>
      </w:r>
      <w:r w:rsidR="00B21524">
        <w:rPr>
          <w:rFonts w:cstheme="minorHAnsi"/>
          <w:sz w:val="28"/>
          <w:szCs w:val="28"/>
        </w:rPr>
        <w:t>S</w:t>
      </w:r>
      <w:r w:rsidR="005163FD" w:rsidRPr="00196279">
        <w:rPr>
          <w:rFonts w:cstheme="minorHAnsi"/>
          <w:sz w:val="28"/>
          <w:szCs w:val="28"/>
        </w:rPr>
        <w:t xml:space="preserve">zkole </w:t>
      </w:r>
      <w:r w:rsidR="00B21524">
        <w:rPr>
          <w:rFonts w:cstheme="minorHAnsi"/>
          <w:sz w:val="28"/>
          <w:szCs w:val="28"/>
        </w:rPr>
        <w:t>P</w:t>
      </w:r>
      <w:r w:rsidR="005163FD" w:rsidRPr="00196279">
        <w:rPr>
          <w:rFonts w:cstheme="minorHAnsi"/>
          <w:sz w:val="28"/>
          <w:szCs w:val="28"/>
        </w:rPr>
        <w:t>odstawowej im. Powstańców Wielkopolskich w</w:t>
      </w:r>
      <w:r w:rsidR="005163FD">
        <w:rPr>
          <w:rFonts w:cstheme="minorHAnsi"/>
          <w:sz w:val="28"/>
          <w:szCs w:val="28"/>
        </w:rPr>
        <w:t> </w:t>
      </w:r>
      <w:r w:rsidR="005163FD" w:rsidRPr="00196279">
        <w:rPr>
          <w:rFonts w:cstheme="minorHAnsi"/>
          <w:sz w:val="28"/>
          <w:szCs w:val="28"/>
        </w:rPr>
        <w:t>Pyszącej, na terenie działek o nr ewid. 173/2 i 174/2, obręb Pysząca</w:t>
      </w:r>
      <w:r w:rsidR="00AF75A2">
        <w:rPr>
          <w:rFonts w:cstheme="minorHAnsi"/>
          <w:bCs/>
          <w:sz w:val="28"/>
          <w:szCs w:val="28"/>
        </w:rPr>
        <w:t xml:space="preserve">, </w:t>
      </w:r>
      <w:r w:rsidR="00AF75A2" w:rsidRPr="00420388">
        <w:rPr>
          <w:rFonts w:cstheme="minorHAnsi"/>
          <w:bCs/>
          <w:sz w:val="28"/>
          <w:szCs w:val="28"/>
        </w:rPr>
        <w:t xml:space="preserve">na wniosek </w:t>
      </w:r>
      <w:r w:rsidR="005163FD">
        <w:rPr>
          <w:rFonts w:cstheme="minorHAnsi"/>
          <w:bCs/>
          <w:sz w:val="28"/>
          <w:szCs w:val="28"/>
        </w:rPr>
        <w:t>gminy Śrem</w:t>
      </w:r>
      <w:r w:rsidR="00AF75A2" w:rsidRPr="00353A5C">
        <w:rPr>
          <w:rFonts w:cstheme="minorHAnsi"/>
          <w:bCs/>
          <w:sz w:val="28"/>
          <w:szCs w:val="28"/>
        </w:rPr>
        <w:t>,</w:t>
      </w:r>
      <w:r w:rsidR="005163FD">
        <w:rPr>
          <w:rFonts w:cstheme="minorHAnsi"/>
          <w:bCs/>
          <w:sz w:val="28"/>
          <w:szCs w:val="28"/>
        </w:rPr>
        <w:t xml:space="preserve"> </w:t>
      </w:r>
      <w:r w:rsidR="005163FD" w:rsidRPr="00196279">
        <w:rPr>
          <w:rFonts w:cstheme="minorHAnsi"/>
          <w:sz w:val="28"/>
          <w:szCs w:val="28"/>
        </w:rPr>
        <w:t>ul. Plac 20 Października 1; 63 – 100 Śrem</w:t>
      </w:r>
      <w:r w:rsidR="00B21524">
        <w:rPr>
          <w:rFonts w:cstheme="minorHAnsi"/>
          <w:sz w:val="28"/>
          <w:szCs w:val="28"/>
        </w:rPr>
        <w:t>,</w:t>
      </w:r>
      <w:r w:rsidR="00AF75A2" w:rsidRPr="00353A5C">
        <w:rPr>
          <w:rFonts w:cstheme="minorHAnsi"/>
          <w:bCs/>
          <w:sz w:val="28"/>
          <w:szCs w:val="28"/>
        </w:rPr>
        <w:t xml:space="preserve"> z </w:t>
      </w:r>
      <w:r w:rsidR="005163FD">
        <w:rPr>
          <w:rFonts w:cstheme="minorHAnsi"/>
          <w:bCs/>
          <w:sz w:val="28"/>
          <w:szCs w:val="28"/>
        </w:rPr>
        <w:t>04</w:t>
      </w:r>
      <w:r w:rsidR="00AF75A2" w:rsidRPr="00353A5C">
        <w:rPr>
          <w:rFonts w:cstheme="minorHAnsi"/>
          <w:bCs/>
          <w:sz w:val="28"/>
          <w:szCs w:val="28"/>
        </w:rPr>
        <w:t>.0</w:t>
      </w:r>
      <w:r w:rsidR="005163FD">
        <w:rPr>
          <w:rFonts w:cstheme="minorHAnsi"/>
          <w:bCs/>
          <w:sz w:val="28"/>
          <w:szCs w:val="28"/>
        </w:rPr>
        <w:t>8</w:t>
      </w:r>
      <w:r w:rsidR="00AF75A2" w:rsidRPr="00353A5C">
        <w:rPr>
          <w:rFonts w:cstheme="minorHAnsi"/>
          <w:bCs/>
          <w:sz w:val="28"/>
          <w:szCs w:val="28"/>
        </w:rPr>
        <w:t>.2022 </w:t>
      </w:r>
      <w:r w:rsidR="006B3990" w:rsidRPr="00B135C0">
        <w:rPr>
          <w:rFonts w:cstheme="minorHAnsi"/>
          <w:sz w:val="28"/>
          <w:szCs w:val="28"/>
        </w:rPr>
        <w:t>r.</w:t>
      </w:r>
    </w:p>
    <w:p w14:paraId="1281F9FE" w14:textId="591A9FD9" w:rsidR="00AF1F86" w:rsidRPr="00AF1F86" w:rsidRDefault="00AF1F86" w:rsidP="00377C2A">
      <w:pPr>
        <w:spacing w:after="120" w:line="240" w:lineRule="auto"/>
        <w:ind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</w:t>
      </w:r>
      <w:r w:rsidR="008A3FFD">
        <w:rPr>
          <w:sz w:val="28"/>
          <w:szCs w:val="28"/>
        </w:rPr>
        <w:t xml:space="preserve"> </w:t>
      </w:r>
      <w:r w:rsidR="008A3FFD" w:rsidRPr="00001FCD">
        <w:rPr>
          <w:rFonts w:cstheme="minorHAnsi"/>
          <w:sz w:val="28"/>
          <w:szCs w:val="28"/>
        </w:rPr>
        <w:t>lub elektronicznie (ePUAP</w:t>
      </w:r>
      <w:r w:rsidR="008A3FFD">
        <w:rPr>
          <w:rFonts w:cstheme="minorHAnsi"/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1F604FC1" w14:textId="4941CC5D" w:rsidR="00AF1F86" w:rsidRPr="00AF1F86" w:rsidRDefault="00AF1F86" w:rsidP="00377C2A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</w:t>
      </w:r>
      <w:r w:rsidR="005163FD">
        <w:rPr>
          <w:sz w:val="28"/>
          <w:szCs w:val="28"/>
        </w:rPr>
        <w:t>2</w:t>
      </w:r>
      <w:r w:rsidR="00377C2A">
        <w:rPr>
          <w:sz w:val="28"/>
          <w:szCs w:val="28"/>
        </w:rPr>
        <w:t xml:space="preserve"> r. poz. </w:t>
      </w:r>
      <w:r w:rsidR="005163FD">
        <w:rPr>
          <w:sz w:val="28"/>
          <w:szCs w:val="28"/>
        </w:rPr>
        <w:t>2000</w:t>
      </w:r>
      <w:r w:rsidR="00377C2A">
        <w:rPr>
          <w:sz w:val="28"/>
          <w:szCs w:val="28"/>
        </w:rPr>
        <w:t>)</w:t>
      </w:r>
      <w:r w:rsidRPr="00AF1F86">
        <w:rPr>
          <w:sz w:val="28"/>
          <w:szCs w:val="28"/>
        </w:rPr>
        <w:t>.</w:t>
      </w:r>
    </w:p>
    <w:p w14:paraId="7B729C09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C66050" w14:textId="77777777" w:rsidR="001C157A" w:rsidRPr="001C157A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1C157A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7A69D339" w14:textId="77777777" w:rsidR="001C157A" w:rsidRPr="001C157A" w:rsidRDefault="001C157A" w:rsidP="001C157A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1C157A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510DD15" w14:textId="306748D6" w:rsidR="007F211B" w:rsidRDefault="007F211B" w:rsidP="007F211B">
      <w:pPr>
        <w:spacing w:after="0" w:line="240" w:lineRule="auto"/>
        <w:ind w:left="4247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7C4F8052" w14:textId="77777777" w:rsidR="00AF1F86" w:rsidRDefault="00AF1F86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C95E076" w14:textId="77777777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0FC9E4BE" w:rsidR="005A07CF" w:rsidRPr="005A07CF" w:rsidRDefault="005A07CF" w:rsidP="00D8621A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D8621A">
        <w:rPr>
          <w:rFonts w:eastAsia="Times New Roman" w:cstheme="minorHAnsi"/>
          <w:sz w:val="28"/>
          <w:szCs w:val="28"/>
          <w:lang w:eastAsia="pl-PL"/>
        </w:rPr>
        <w:t>………………………………………</w:t>
      </w:r>
    </w:p>
    <w:p w14:paraId="4829B85E" w14:textId="328CB77F" w:rsidR="001C157A" w:rsidRDefault="005A07CF" w:rsidP="00D8621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C54C3">
        <w:rPr>
          <w:rFonts w:eastAsia="Calibri" w:cstheme="minorHAnsi"/>
          <w:sz w:val="28"/>
          <w:szCs w:val="28"/>
        </w:rPr>
        <w:t xml:space="preserve"> </w:t>
      </w:r>
      <w:r w:rsidR="00D8621A">
        <w:rPr>
          <w:rFonts w:eastAsia="Calibri" w:cstheme="minorHAnsi"/>
          <w:sz w:val="28"/>
          <w:szCs w:val="28"/>
        </w:rPr>
        <w:t>………………………………………………..</w:t>
      </w:r>
    </w:p>
    <w:p w14:paraId="52EF1B8F" w14:textId="68E824E6" w:rsidR="00F62CD2" w:rsidRPr="00DC7914" w:rsidRDefault="001C157A" w:rsidP="00196279">
      <w:pPr>
        <w:spacing w:after="0"/>
        <w:ind w:right="5810"/>
        <w:jc w:val="center"/>
        <w:rPr>
          <w:rFonts w:cstheme="minorHAnsi"/>
          <w:szCs w:val="28"/>
        </w:rPr>
      </w:pPr>
      <w:r>
        <w:rPr>
          <w:rFonts w:eastAsia="Calibri" w:cstheme="minorHAnsi"/>
          <w:sz w:val="28"/>
          <w:szCs w:val="28"/>
        </w:rPr>
        <w:br w:type="page"/>
      </w:r>
    </w:p>
    <w:p w14:paraId="5EC267A1" w14:textId="77777777" w:rsidR="00196279" w:rsidRPr="00615D44" w:rsidRDefault="00196279" w:rsidP="00196279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lastRenderedPageBreak/>
        <w:t>Burmistrz Śremu</w:t>
      </w:r>
    </w:p>
    <w:p w14:paraId="630E73C9" w14:textId="77777777" w:rsidR="00196279" w:rsidRPr="00615D44" w:rsidRDefault="00196279" w:rsidP="00196279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3C7CE03A" w14:textId="77777777" w:rsidR="00196279" w:rsidRPr="00615D44" w:rsidRDefault="00196279" w:rsidP="00196279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5C7D9465" w14:textId="77777777" w:rsidR="00196279" w:rsidRPr="00196279" w:rsidRDefault="00196279" w:rsidP="00196279">
      <w:pPr>
        <w:spacing w:after="120"/>
        <w:jc w:val="right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Śrem, 5 października 2022 r.</w:t>
      </w:r>
    </w:p>
    <w:p w14:paraId="58B2BD4F" w14:textId="77777777" w:rsidR="00196279" w:rsidRPr="00196279" w:rsidRDefault="00196279" w:rsidP="00196279">
      <w:pPr>
        <w:spacing w:after="120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PPSPP.6733.17.2022.SSY</w:t>
      </w:r>
    </w:p>
    <w:p w14:paraId="5C1558A3" w14:textId="77777777" w:rsidR="00196279" w:rsidRPr="00196279" w:rsidRDefault="00196279" w:rsidP="00196279">
      <w:pPr>
        <w:spacing w:after="120"/>
        <w:jc w:val="center"/>
        <w:rPr>
          <w:rFonts w:cstheme="minorHAnsi"/>
          <w:bCs/>
          <w:sz w:val="28"/>
          <w:szCs w:val="28"/>
        </w:rPr>
      </w:pPr>
      <w:r w:rsidRPr="00196279">
        <w:rPr>
          <w:rFonts w:cstheme="minorHAnsi"/>
          <w:bCs/>
          <w:sz w:val="28"/>
          <w:szCs w:val="28"/>
        </w:rPr>
        <w:t>Decyzja nr 15/2022</w:t>
      </w:r>
      <w:r w:rsidRPr="00196279">
        <w:rPr>
          <w:rFonts w:cstheme="minorHAnsi"/>
          <w:bCs/>
          <w:sz w:val="28"/>
          <w:szCs w:val="28"/>
        </w:rPr>
        <w:br/>
        <w:t xml:space="preserve"> o lokalizacji inwestycji celu publicznego</w:t>
      </w:r>
    </w:p>
    <w:p w14:paraId="39F6565B" w14:textId="77777777" w:rsidR="00196279" w:rsidRPr="00196279" w:rsidRDefault="00196279" w:rsidP="00196279">
      <w:pPr>
        <w:spacing w:after="120"/>
        <w:jc w:val="both"/>
        <w:rPr>
          <w:rFonts w:cstheme="minorHAnsi"/>
          <w:sz w:val="28"/>
          <w:szCs w:val="28"/>
        </w:rPr>
      </w:pPr>
    </w:p>
    <w:p w14:paraId="3A5BC58A" w14:textId="77777777" w:rsidR="00196279" w:rsidRPr="00196279" w:rsidRDefault="00196279" w:rsidP="00196279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Na podstawie art. 4 ust. 2 pkt 1 w związku z art. 50 ust. 1 art. 51 ust. 1 pkt 2 ustawy z dnia 27 marca 2003 r. o planowaniu i zagospodarowaniu przestrzennym (Dz. U. z 2022 r. poz. 503 i 1846), zwanej dalej u.p.z.p., oraz art. 104 ustawy z dnia 14 czerwca 1960 r. – Kodeks postępowania administracyjnego (Dz. U. z 2022 r. poz. 2000), po rozpatrzeniu wniosku złożonego 04.08.2022 r., uzupełnionego 05.09.2022 r., przez:</w:t>
      </w:r>
    </w:p>
    <w:p w14:paraId="6DB608DC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240" w:line="240" w:lineRule="auto"/>
        <w:ind w:right="-1"/>
        <w:jc w:val="center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gminę Śrem</w:t>
      </w:r>
      <w:r w:rsidRPr="00196279">
        <w:rPr>
          <w:rFonts w:cstheme="minorHAnsi"/>
          <w:sz w:val="28"/>
          <w:szCs w:val="28"/>
        </w:rPr>
        <w:br/>
        <w:t xml:space="preserve"> ul. Plac 20 Października 1; 63 – 100 Śrem</w:t>
      </w:r>
    </w:p>
    <w:p w14:paraId="7B7ED5EE" w14:textId="77777777" w:rsidR="00196279" w:rsidRPr="00196279" w:rsidRDefault="00196279" w:rsidP="00196279">
      <w:pPr>
        <w:spacing w:after="120" w:line="240" w:lineRule="auto"/>
        <w:jc w:val="both"/>
        <w:rPr>
          <w:rFonts w:cstheme="minorHAnsi"/>
          <w:i/>
          <w:color w:val="FF0000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w sprawie ustalenia lokalizacji inwestycji celu publicznego dla przedsięwzięcia: budowa hali sportowej z łącznikiem przy szkole podstawowej im. Powstańców Wielkopolskich w Pyszącej, na terenie działek o nr ewid. 173/2 i 174/2, obręb Pysząca</w:t>
      </w:r>
    </w:p>
    <w:p w14:paraId="4BE20EF6" w14:textId="77777777" w:rsidR="00196279" w:rsidRPr="00196279" w:rsidRDefault="00196279" w:rsidP="00196279">
      <w:pPr>
        <w:spacing w:after="120"/>
        <w:jc w:val="center"/>
        <w:rPr>
          <w:rFonts w:cstheme="minorHAnsi"/>
          <w:bCs/>
          <w:sz w:val="28"/>
          <w:szCs w:val="28"/>
        </w:rPr>
      </w:pPr>
      <w:r w:rsidRPr="00196279">
        <w:rPr>
          <w:rFonts w:cstheme="minorHAnsi"/>
          <w:bCs/>
          <w:sz w:val="28"/>
          <w:szCs w:val="28"/>
        </w:rPr>
        <w:t>ustalam</w:t>
      </w:r>
      <w:r w:rsidRPr="00196279">
        <w:rPr>
          <w:rFonts w:cstheme="minorHAnsi"/>
          <w:bCs/>
          <w:sz w:val="28"/>
          <w:szCs w:val="28"/>
        </w:rPr>
        <w:br/>
        <w:t xml:space="preserve"> na rzecz Wnioskodawcy</w:t>
      </w:r>
      <w:r w:rsidRPr="00196279">
        <w:rPr>
          <w:rFonts w:cstheme="minorHAnsi"/>
          <w:bCs/>
          <w:sz w:val="28"/>
          <w:szCs w:val="28"/>
        </w:rPr>
        <w:br/>
        <w:t xml:space="preserve"> następujące warunki lokalizacji inwestycji celu publicznego:</w:t>
      </w:r>
    </w:p>
    <w:p w14:paraId="3A64C4D1" w14:textId="77777777" w:rsidR="00196279" w:rsidRPr="00196279" w:rsidRDefault="00196279" w:rsidP="00196279">
      <w:pPr>
        <w:spacing w:after="120"/>
        <w:jc w:val="both"/>
        <w:rPr>
          <w:rFonts w:cstheme="minorHAnsi"/>
          <w:bCs/>
          <w:sz w:val="28"/>
          <w:szCs w:val="28"/>
        </w:rPr>
      </w:pPr>
    </w:p>
    <w:p w14:paraId="46DF4A69" w14:textId="77777777" w:rsidR="00196279" w:rsidRPr="00196279" w:rsidRDefault="00196279" w:rsidP="00196279">
      <w:pPr>
        <w:tabs>
          <w:tab w:val="left" w:pos="426"/>
        </w:tabs>
        <w:spacing w:after="120"/>
        <w:jc w:val="both"/>
        <w:rPr>
          <w:rFonts w:cstheme="minorHAnsi"/>
          <w:bCs/>
          <w:sz w:val="28"/>
          <w:szCs w:val="28"/>
        </w:rPr>
      </w:pPr>
      <w:r w:rsidRPr="00196279">
        <w:rPr>
          <w:rFonts w:cstheme="minorHAnsi"/>
          <w:bCs/>
          <w:sz w:val="28"/>
          <w:szCs w:val="28"/>
        </w:rPr>
        <w:t>1.</w:t>
      </w:r>
      <w:r w:rsidRPr="00196279">
        <w:rPr>
          <w:rFonts w:cstheme="minorHAnsi"/>
          <w:bCs/>
          <w:sz w:val="28"/>
          <w:szCs w:val="28"/>
        </w:rPr>
        <w:tab/>
        <w:t>Opis inwestycji:</w:t>
      </w:r>
    </w:p>
    <w:p w14:paraId="7F3678BB" w14:textId="77777777" w:rsidR="00196279" w:rsidRPr="00196279" w:rsidRDefault="00196279" w:rsidP="00196279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bCs/>
          <w:szCs w:val="28"/>
        </w:rPr>
        <w:t>rodzaj</w:t>
      </w:r>
      <w:r w:rsidRPr="00196279">
        <w:rPr>
          <w:rFonts w:asciiTheme="minorHAnsi" w:hAnsiTheme="minorHAnsi" w:cstheme="minorHAnsi"/>
          <w:szCs w:val="28"/>
        </w:rPr>
        <w:t>: budynek kultury fizycznej (hala sportowa);</w:t>
      </w:r>
    </w:p>
    <w:p w14:paraId="67C28EEC" w14:textId="77777777" w:rsidR="00196279" w:rsidRPr="00196279" w:rsidRDefault="00196279" w:rsidP="00196279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lokalizacja: teren inwestycji stanowiący działki o nr ewid. 173/2 i 174/2, obręb Pysząca, wyznaczony liniami rozgraniczającymi na mapie, zgodnie z załącznikiem nr 1 do decyzji;</w:t>
      </w:r>
    </w:p>
    <w:p w14:paraId="2DF1F0A4" w14:textId="77777777" w:rsidR="00196279" w:rsidRPr="00196279" w:rsidRDefault="00196279" w:rsidP="00196279">
      <w:pPr>
        <w:pStyle w:val="Akapitzlist"/>
        <w:numPr>
          <w:ilvl w:val="0"/>
          <w:numId w:val="1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funkcja zabudowy i zagospodarowania terenu: usługowa.</w:t>
      </w:r>
    </w:p>
    <w:p w14:paraId="35A9958D" w14:textId="77777777" w:rsidR="00196279" w:rsidRPr="00196279" w:rsidRDefault="00196279" w:rsidP="00196279">
      <w:pPr>
        <w:tabs>
          <w:tab w:val="left" w:pos="426"/>
        </w:tabs>
        <w:spacing w:after="120"/>
        <w:jc w:val="both"/>
        <w:rPr>
          <w:rFonts w:cstheme="minorHAnsi"/>
          <w:bCs/>
          <w:sz w:val="28"/>
          <w:szCs w:val="28"/>
        </w:rPr>
      </w:pPr>
      <w:r w:rsidRPr="00196279">
        <w:rPr>
          <w:rFonts w:cstheme="minorHAnsi"/>
          <w:bCs/>
          <w:sz w:val="28"/>
          <w:szCs w:val="28"/>
        </w:rPr>
        <w:t>2.</w:t>
      </w:r>
      <w:r w:rsidRPr="00196279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45DB111F" w14:textId="77777777" w:rsidR="00196279" w:rsidRPr="00196279" w:rsidRDefault="00196279" w:rsidP="00196279">
      <w:pPr>
        <w:pStyle w:val="Akapitzlist"/>
        <w:numPr>
          <w:ilvl w:val="0"/>
          <w:numId w:val="2"/>
        </w:numPr>
        <w:tabs>
          <w:tab w:val="left" w:pos="567"/>
        </w:tabs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warunków i wymagań ochrony i kształtowania ładu przestrzennego:</w:t>
      </w:r>
    </w:p>
    <w:p w14:paraId="4E5D0166" w14:textId="74BFE14F" w:rsidR="00196279" w:rsidRPr="00196279" w:rsidRDefault="00196279" w:rsidP="00196279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lastRenderedPageBreak/>
        <w:t>linia zabudowy wyznaczona jako nieprzekraczalna i oznaczająca linię wyznaczającą najmniejszą odległość, w której może zostać zlokalizowany budynek ustalona w odległości 6 m od drogi gminnej – ul. Ceglanej (działka o nr ewid. 175),</w:t>
      </w:r>
    </w:p>
    <w:p w14:paraId="610B8A4F" w14:textId="77777777" w:rsidR="00196279" w:rsidRPr="00196279" w:rsidRDefault="00196279" w:rsidP="00196279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wskaźnik powierzchni zabudowy (istniejącej i projektowanej):</w:t>
      </w:r>
    </w:p>
    <w:p w14:paraId="12C5E247" w14:textId="77777777" w:rsidR="00196279" w:rsidRPr="00196279" w:rsidRDefault="00196279" w:rsidP="00196279">
      <w:pPr>
        <w:pStyle w:val="Akapitzlist"/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od 10,0 % do 12,1 % powierzchni terenu,</w:t>
      </w:r>
    </w:p>
    <w:p w14:paraId="4C866EA5" w14:textId="77777777" w:rsidR="00196279" w:rsidRPr="00196279" w:rsidRDefault="00196279" w:rsidP="00196279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powierzchnia biologicznie czynna: nie mniej niż 40 % powierzchni terenu,</w:t>
      </w:r>
    </w:p>
    <w:p w14:paraId="5C4F9A43" w14:textId="77777777" w:rsidR="00196279" w:rsidRPr="00196279" w:rsidRDefault="00196279" w:rsidP="00196279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szerokość elewacji frontowej</w:t>
      </w:r>
      <w:r w:rsidRPr="00196279">
        <w:rPr>
          <w:rFonts w:asciiTheme="minorHAnsi" w:hAnsiTheme="minorHAnsi" w:cstheme="minorHAnsi"/>
          <w:szCs w:val="28"/>
          <w:vertAlign w:val="superscript"/>
        </w:rPr>
        <w:footnoteReference w:id="1"/>
      </w:r>
      <w:r w:rsidRPr="00196279">
        <w:rPr>
          <w:rFonts w:asciiTheme="minorHAnsi" w:hAnsiTheme="minorHAnsi" w:cstheme="minorHAnsi"/>
          <w:szCs w:val="28"/>
        </w:rPr>
        <w:t xml:space="preserve"> budynku: od 26 m do 28 m,</w:t>
      </w:r>
    </w:p>
    <w:p w14:paraId="74DDF2E0" w14:textId="77777777" w:rsidR="00196279" w:rsidRPr="00196279" w:rsidRDefault="00196279" w:rsidP="00196279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wysokość górnej krawędzi elewacji frontowej budynku: od 4,0 m do 7,0 m lub od 3,5 m do 4,5 m,</w:t>
      </w:r>
    </w:p>
    <w:p w14:paraId="01BB62DB" w14:textId="77777777" w:rsidR="00196279" w:rsidRPr="00196279" w:rsidRDefault="00196279" w:rsidP="00196279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liczba kondygnacji nadziemnych: 1,</w:t>
      </w:r>
    </w:p>
    <w:p w14:paraId="0CCC1932" w14:textId="77777777" w:rsidR="00196279" w:rsidRPr="00196279" w:rsidRDefault="00196279" w:rsidP="00196279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geometria dachu:</w:t>
      </w:r>
    </w:p>
    <w:p w14:paraId="0CEF3809" w14:textId="77777777" w:rsidR="00196279" w:rsidRPr="00196279" w:rsidRDefault="00196279" w:rsidP="00196279">
      <w:pPr>
        <w:pStyle w:val="Akapitzlist"/>
        <w:numPr>
          <w:ilvl w:val="0"/>
          <w:numId w:val="4"/>
        </w:numPr>
        <w:spacing w:after="120"/>
        <w:ind w:left="993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kąt nachylenia głównych połaci dachu: od 20° do 30° z dopuszczeniem stosowania dachu o kącie nie większym niż 12° nad częścią budynku o wysokości nie większej niż 4,5 m,</w:t>
      </w:r>
    </w:p>
    <w:p w14:paraId="50456376" w14:textId="77777777" w:rsidR="00196279" w:rsidRPr="00196279" w:rsidRDefault="00196279" w:rsidP="00196279">
      <w:pPr>
        <w:pStyle w:val="Akapitzlist"/>
        <w:numPr>
          <w:ilvl w:val="0"/>
          <w:numId w:val="4"/>
        </w:numPr>
        <w:spacing w:after="120"/>
        <w:ind w:left="993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wysokość głównej kalenicy budynku od 6,5 m do 10 m, a wysokość ze stropodachem od 3,5 m do 4,5 m,</w:t>
      </w:r>
    </w:p>
    <w:p w14:paraId="11058B47" w14:textId="77777777" w:rsidR="00196279" w:rsidRPr="00196279" w:rsidRDefault="00196279" w:rsidP="00196279">
      <w:pPr>
        <w:pStyle w:val="Akapitzlist"/>
        <w:numPr>
          <w:ilvl w:val="0"/>
          <w:numId w:val="4"/>
        </w:numPr>
        <w:spacing w:after="120"/>
        <w:ind w:left="993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układ głównych połaci dachowych: dwuspadowy lub jednospadowy,</w:t>
      </w:r>
    </w:p>
    <w:p w14:paraId="1CBCD479" w14:textId="77777777" w:rsidR="00196279" w:rsidRPr="00196279" w:rsidRDefault="00196279" w:rsidP="00196279">
      <w:pPr>
        <w:pStyle w:val="Akapitzlist"/>
        <w:numPr>
          <w:ilvl w:val="0"/>
          <w:numId w:val="4"/>
        </w:numPr>
        <w:spacing w:after="120"/>
        <w:ind w:left="993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kierunek głównej kalenicy dachu w stosunku do frontu działki: szczytowy lub kalenicowy;</w:t>
      </w:r>
    </w:p>
    <w:p w14:paraId="132FE9D8" w14:textId="77777777" w:rsidR="00196279" w:rsidRPr="00196279" w:rsidRDefault="00196279" w:rsidP="00196279">
      <w:pPr>
        <w:pStyle w:val="Akapitzlist"/>
        <w:numPr>
          <w:ilvl w:val="0"/>
          <w:numId w:val="3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należy zapewnić dostępność architektoniczną, co najmniej w zakresie określonym przez minimalne wymagania, o których mowa w art. 6</w:t>
      </w:r>
      <w:r w:rsidRPr="00196279">
        <w:rPr>
          <w:rFonts w:asciiTheme="minorHAnsi" w:hAnsiTheme="minorHAnsi" w:cstheme="minorHAnsi"/>
          <w:szCs w:val="28"/>
        </w:rPr>
        <w:br/>
        <w:t>pkt 1 ustawy z dnia 19 lipca 2019 r. o zapewnianiu dostępności osobom ze szczególnymi potrzebami (Dz. U. z 2020 r. poz. 1062, z późn. zm.), będącą wynikiem uwzględnienia uniwersalnego projektowania albo zastosowania racjonalnego usprawnienia;</w:t>
      </w:r>
    </w:p>
    <w:p w14:paraId="302ACCAD" w14:textId="77777777" w:rsidR="00196279" w:rsidRPr="00196279" w:rsidRDefault="00196279" w:rsidP="00196279">
      <w:pPr>
        <w:pStyle w:val="Akapitzlist"/>
        <w:numPr>
          <w:ilvl w:val="0"/>
          <w:numId w:val="2"/>
        </w:numPr>
        <w:spacing w:after="120"/>
        <w:ind w:left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obsługi w zakresie infrastruktury technicznej i komunikacji:</w:t>
      </w:r>
    </w:p>
    <w:p w14:paraId="74FACE14" w14:textId="77777777" w:rsidR="00196279" w:rsidRPr="00196279" w:rsidRDefault="00196279" w:rsidP="00196279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sposób zaopatrzenia w wodę: istniejąca sieć wodociągowa (opinia Śremskich Wodociągów Sp. z o.o. z 01.09.2022 r.),</w:t>
      </w:r>
    </w:p>
    <w:p w14:paraId="54C0CF2C" w14:textId="77777777" w:rsidR="00196279" w:rsidRPr="00196279" w:rsidRDefault="00196279" w:rsidP="00196279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sposób zaopatrzenia w energię elektryczną: istniejąca sieć elektroenergetyczna (oświadczenie ENEA Operator Sp. z o.o. z 26.08.2022 r.),</w:t>
      </w:r>
    </w:p>
    <w:p w14:paraId="03D8B935" w14:textId="77777777" w:rsidR="00196279" w:rsidRPr="00196279" w:rsidRDefault="00196279" w:rsidP="00196279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sposób zaopatrzenia w energię cieplną: zgodnie z przepisami odrębnymi,</w:t>
      </w:r>
    </w:p>
    <w:p w14:paraId="2C45E126" w14:textId="77777777" w:rsidR="00196279" w:rsidRPr="00196279" w:rsidRDefault="00196279" w:rsidP="00196279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lastRenderedPageBreak/>
        <w:t>odprowadzanie ścieków bytowych: istniejąca sieć kanalizacji sanitarnej (opinia Śremskich Wodociągów Sp. z o.o. z 01.09.2022 r.),</w:t>
      </w:r>
    </w:p>
    <w:p w14:paraId="0FDB3FCE" w14:textId="77777777" w:rsidR="00196279" w:rsidRPr="00196279" w:rsidRDefault="00196279" w:rsidP="00196279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gospodarowanie odpadami: zgodnie z przepisami odrębnymi,</w:t>
      </w:r>
    </w:p>
    <w:p w14:paraId="692B82DF" w14:textId="77777777" w:rsidR="00196279" w:rsidRPr="00196279" w:rsidRDefault="00196279" w:rsidP="00196279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dostęp do drogi publicznej: bezpośredni do drogi wojewódzkiej – ul. Śremskiej w Pyszącej,</w:t>
      </w:r>
    </w:p>
    <w:p w14:paraId="45489854" w14:textId="77777777" w:rsidR="00196279" w:rsidRPr="00196279" w:rsidRDefault="00196279" w:rsidP="00196279">
      <w:pPr>
        <w:pStyle w:val="Akapitzlist"/>
        <w:numPr>
          <w:ilvl w:val="0"/>
          <w:numId w:val="5"/>
        </w:numPr>
        <w:tabs>
          <w:tab w:val="left" w:pos="709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 xml:space="preserve">liczba miejsc parkingowych: bez zmian; </w:t>
      </w:r>
    </w:p>
    <w:p w14:paraId="0D0896E6" w14:textId="77777777" w:rsidR="00196279" w:rsidRPr="00196279" w:rsidRDefault="00196279" w:rsidP="00196279">
      <w:pPr>
        <w:pStyle w:val="Akapitzlist"/>
        <w:numPr>
          <w:ilvl w:val="0"/>
          <w:numId w:val="2"/>
        </w:numPr>
        <w:spacing w:after="120"/>
        <w:ind w:left="567" w:hanging="425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wymagań dotyczących ochrony interesów osób trzecich:</w:t>
      </w:r>
    </w:p>
    <w:p w14:paraId="1D91BADE" w14:textId="77777777" w:rsidR="00196279" w:rsidRPr="00196279" w:rsidRDefault="00196279" w:rsidP="00196279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 xml:space="preserve">warunki ochrony przed pozbawieniem: </w:t>
      </w:r>
    </w:p>
    <w:p w14:paraId="7ABA8ACC" w14:textId="77777777" w:rsidR="00196279" w:rsidRPr="00196279" w:rsidRDefault="00196279" w:rsidP="00196279">
      <w:pPr>
        <w:pStyle w:val="Akapitzlist"/>
        <w:numPr>
          <w:ilvl w:val="0"/>
          <w:numId w:val="7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616B9E22" w14:textId="77777777" w:rsidR="00196279" w:rsidRPr="00196279" w:rsidRDefault="00196279" w:rsidP="00196279">
      <w:pPr>
        <w:pStyle w:val="Akapitzlist"/>
        <w:numPr>
          <w:ilvl w:val="0"/>
          <w:numId w:val="7"/>
        </w:numPr>
        <w:spacing w:after="120"/>
        <w:ind w:left="993" w:hanging="426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dostępu światła dziennego do pomieszczeń przeznaczonych na pobyt ludzi – inwestycja i sposób zagospodarowania działki powinny spełniać wymogi zawarte w przepisach techniczno – budowlanych, a jednocześnie na etapie opracowania projektu budowlanego należy uwzględnić wymagania w zakresie ochrony uzasadnionych interesów osób trzecich,</w:t>
      </w:r>
    </w:p>
    <w:p w14:paraId="789E5916" w14:textId="77777777" w:rsidR="00196279" w:rsidRPr="00196279" w:rsidRDefault="00196279" w:rsidP="00196279">
      <w:pPr>
        <w:pStyle w:val="Akapitzlist"/>
        <w:numPr>
          <w:ilvl w:val="0"/>
          <w:numId w:val="6"/>
        </w:numPr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6DCC9FEB" w14:textId="77777777" w:rsidR="00196279" w:rsidRPr="00196279" w:rsidRDefault="00196279" w:rsidP="00196279">
      <w:pPr>
        <w:tabs>
          <w:tab w:val="left" w:pos="426"/>
        </w:tabs>
        <w:spacing w:after="120"/>
        <w:jc w:val="both"/>
        <w:rPr>
          <w:rFonts w:cstheme="minorHAnsi"/>
          <w:bCs/>
          <w:sz w:val="28"/>
          <w:szCs w:val="28"/>
        </w:rPr>
      </w:pPr>
      <w:r w:rsidRPr="00196279">
        <w:rPr>
          <w:rFonts w:cstheme="minorHAnsi"/>
          <w:bCs/>
          <w:sz w:val="28"/>
          <w:szCs w:val="28"/>
        </w:rPr>
        <w:t>3.</w:t>
      </w:r>
      <w:r w:rsidRPr="00196279">
        <w:rPr>
          <w:rFonts w:cstheme="minorHAnsi"/>
          <w:bCs/>
          <w:sz w:val="28"/>
          <w:szCs w:val="28"/>
        </w:rPr>
        <w:tab/>
        <w:t>Linie rozgraniczające teren inwestycji wyznaczone na mapie zasadniczej w skali 1:1000.</w:t>
      </w:r>
    </w:p>
    <w:p w14:paraId="5E1FEF2F" w14:textId="77777777" w:rsidR="00196279" w:rsidRPr="00196279" w:rsidRDefault="00196279" w:rsidP="00196279">
      <w:pPr>
        <w:spacing w:after="120"/>
        <w:jc w:val="center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Uzasadnienie</w:t>
      </w:r>
    </w:p>
    <w:p w14:paraId="0A27BECF" w14:textId="77777777" w:rsidR="00196279" w:rsidRPr="00196279" w:rsidRDefault="00196279" w:rsidP="00196279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Stosownie do art. 4 ust. 2 pkt 1 u.p.z.p. w przypadku braku miejscowego planu zagospodarowania przestrzennego określenie sposobów zagospodarowania i warunków zabudowy terenu dla lokalizacji inwestycji celu publicznego ustala się w drodze decyzji o lokalizacji inwestycji celu publicznego.</w:t>
      </w:r>
    </w:p>
    <w:p w14:paraId="31CFD1C8" w14:textId="77777777" w:rsidR="00196279" w:rsidRPr="00196279" w:rsidRDefault="00196279" w:rsidP="00196279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 xml:space="preserve">Zgodnie z art. 50 ust. 1 u.p.z.p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</w:t>
      </w:r>
      <w:r w:rsidRPr="00196279">
        <w:rPr>
          <w:rFonts w:cstheme="minorHAnsi"/>
          <w:sz w:val="28"/>
          <w:szCs w:val="28"/>
        </w:rPr>
        <w:lastRenderedPageBreak/>
        <w:t>decyzje wydają w odniesieniu do inwestycji celu publicznego o znaczeniu powiatowym i gminnym - wójt, burmistrz albo prezydent miasta.</w:t>
      </w:r>
    </w:p>
    <w:p w14:paraId="0CAFC38B" w14:textId="77777777" w:rsidR="00196279" w:rsidRPr="00196279" w:rsidRDefault="00196279" w:rsidP="00196279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 a decyzje rozstrzygają sprawę co do jej istoty w całości lub w części albo w inny sposób kończą sprawę w danej instancji.</w:t>
      </w:r>
    </w:p>
    <w:p w14:paraId="4DED75D3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W rozumieniu art. 2 pkt 5 u.p.z.p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29CE00B0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i/>
          <w:color w:val="FF0000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Planowana inwestycja polega na budowie głównego i łącznika do budynku szkoły podstawowej im. Powstańców Wielkopolskich w Pyszącej, na terenie działek o nr ewid. 173/2 i 174/2, obręb Pysząca.</w:t>
      </w:r>
    </w:p>
    <w:p w14:paraId="5EFD1C07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24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Planowana inwestycja będzie służyć</w:t>
      </w:r>
      <w:r w:rsidRPr="00196279">
        <w:rPr>
          <w:rFonts w:cstheme="minorHAnsi"/>
          <w:color w:val="1F497D" w:themeColor="text2"/>
          <w:sz w:val="28"/>
          <w:szCs w:val="28"/>
        </w:rPr>
        <w:t xml:space="preserve"> </w:t>
      </w:r>
      <w:r w:rsidRPr="00196279">
        <w:rPr>
          <w:rFonts w:cstheme="minorHAnsi"/>
          <w:sz w:val="28"/>
          <w:szCs w:val="28"/>
        </w:rPr>
        <w:t>ogółowi społeczności, jest zatem celem publicznym w rozumieniu art. 6 pkt 6 ustawy z dnia 21 sierpnia 1997 r. o gospodarce nieruchomościami (Dz. U. z 2021 r. poz. 1899, z późn. zm.), gdyż należy ją zaliczyć do budowy i utrzymywania (…) szkół publicznych (…).</w:t>
      </w:r>
    </w:p>
    <w:p w14:paraId="2F292C4F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59959E87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 xml:space="preserve">Powyższe przesłanki w przypadku realizacji przedmiotowej inwestycji są spełnione. </w:t>
      </w:r>
    </w:p>
    <w:p w14:paraId="5BEF73FD" w14:textId="77777777" w:rsidR="00196279" w:rsidRPr="00196279" w:rsidRDefault="00196279" w:rsidP="00196279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0C418DAD" w14:textId="77777777" w:rsidR="00196279" w:rsidRPr="00196279" w:rsidRDefault="00196279" w:rsidP="00196279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lastRenderedPageBreak/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49E4D461" w14:textId="77777777" w:rsidR="00196279" w:rsidRPr="00196279" w:rsidRDefault="00196279" w:rsidP="00196279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Teren planowanej inwestycji obejmuje działki o nr ewid. 173/2 i 174/2 i zgodnie z ewidencją gruntów i budynków prowadzoną przez Starostę Śremskiego stanowi inne tereny zabudowane (Bi) oraz tereny rekreacyjno – wypoczynkowe (Bz).</w:t>
      </w:r>
    </w:p>
    <w:p w14:paraId="6AB45F5B" w14:textId="77777777" w:rsidR="00196279" w:rsidRPr="00196279" w:rsidRDefault="00196279" w:rsidP="00196279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24BB2943" w14:textId="77777777" w:rsidR="00196279" w:rsidRPr="00196279" w:rsidRDefault="00196279" w:rsidP="00196279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W związku z tym, że teren planowanej inwestycji stanowi inne tereny zabudowane (Bi) oraz tereny rekreacyjno – wypoczynkowe (Bz), które nie podlegają ochronie, zgodnie z ustawą z dnia 3 lutego 1995 r. o ochronie gruntów rolnych i leśnych (Dz. U. z 2021 r. poz. 1326 i 2163), teren planowanej inwestycji nie wymagał uzyskania zgody na zmianę przeznaczenia na cele nierolnicze i nieleśne.</w:t>
      </w:r>
    </w:p>
    <w:p w14:paraId="3B2AA4D7" w14:textId="77777777" w:rsidR="00196279" w:rsidRPr="00196279" w:rsidRDefault="00196279" w:rsidP="00196279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  <w:szCs w:val="28"/>
        </w:rPr>
      </w:pPr>
      <w:r w:rsidRPr="00196279">
        <w:rPr>
          <w:rFonts w:cstheme="minorHAnsi"/>
          <w:spacing w:val="-2"/>
          <w:sz w:val="28"/>
          <w:szCs w:val="28"/>
        </w:rPr>
        <w:t xml:space="preserve">Stosownie do art. 53 ust. 3 </w:t>
      </w:r>
      <w:r w:rsidRPr="00196279">
        <w:rPr>
          <w:rFonts w:cstheme="minorHAnsi"/>
          <w:sz w:val="28"/>
          <w:szCs w:val="28"/>
        </w:rPr>
        <w:t>u.p.z.p.</w:t>
      </w:r>
      <w:r w:rsidRPr="00196279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6E029A1A" w14:textId="77777777" w:rsidR="00196279" w:rsidRPr="00196279" w:rsidRDefault="00196279" w:rsidP="00196279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Zgodnie z art. 60 ust. 4 u.p.z.p. sporządzenie projektu decyzji o lokalizacji inwestycji celu publicznego powierzono osobie, o której mowa w art. 5 pkt 4. Projekt decyzji znajduje się w aktach sprawy.</w:t>
      </w:r>
    </w:p>
    <w:p w14:paraId="74DEDB04" w14:textId="77777777" w:rsidR="00196279" w:rsidRPr="00196279" w:rsidRDefault="00196279" w:rsidP="00196279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24852729" w14:textId="77777777" w:rsidR="00196279" w:rsidRPr="00196279" w:rsidRDefault="00196279" w:rsidP="00196279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występowaniem złóż kopalin oraz obecnych i przyszłych potrzeb eksploatacji tych złóż;</w:t>
      </w:r>
    </w:p>
    <w:p w14:paraId="233C095E" w14:textId="77777777" w:rsidR="00196279" w:rsidRPr="00196279" w:rsidRDefault="00196279" w:rsidP="00196279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ochroną wód, gleby i ziemi przed zanieczyszczeniem w związku z prowadzeniem gospodarki rolnej;</w:t>
      </w:r>
    </w:p>
    <w:p w14:paraId="51401AD6" w14:textId="77777777" w:rsidR="00196279" w:rsidRPr="00196279" w:rsidRDefault="00196279" w:rsidP="00196279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lastRenderedPageBreak/>
        <w:t>potrzebami w zakresie zapobiegania ruchom masowym ziemi i ich skutkom;</w:t>
      </w:r>
    </w:p>
    <w:p w14:paraId="23526CB8" w14:textId="77777777" w:rsidR="00196279" w:rsidRPr="00196279" w:rsidRDefault="00196279" w:rsidP="00196279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innymi potrzebami w zakresie ochrony powietrza, wód, gleby, ziemi, ochrony przed hałasem, wibracjami i polami elektromagnetycznymi;</w:t>
      </w:r>
    </w:p>
    <w:p w14:paraId="2C2194AE" w14:textId="77777777" w:rsidR="00196279" w:rsidRPr="00196279" w:rsidRDefault="00196279" w:rsidP="00196279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ograniczeniami wynikającymi z ustanowienia w trybie ustawy z dnia 16 kwietnia 2004 r. o ochronie przyrody (Dz. U. z 2022 r. poz. 916, z późn. zm.) form ochrony przyrody oraz ustaleń obowiązujących planów ochrony;</w:t>
      </w:r>
    </w:p>
    <w:p w14:paraId="1F5195C7" w14:textId="77777777" w:rsidR="00196279" w:rsidRPr="00196279" w:rsidRDefault="00196279" w:rsidP="00196279">
      <w:pPr>
        <w:pStyle w:val="Akapitzlist"/>
        <w:numPr>
          <w:ilvl w:val="0"/>
          <w:numId w:val="10"/>
        </w:numPr>
        <w:tabs>
          <w:tab w:val="left" w:pos="993"/>
        </w:tabs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ograniczeniami wynikającymi z ustalenia w trybie przepisów ustawy z dnia 20 lipca 2017 r. – Prawo wodne (Dz. U. z 2021 r. poz. 2233, z późn. zm.) warunków korzystania z wód regionu wodnego i zlewni oraz ustanowienia stref ochronnych ujęć wód, a także obszarów ochronnych zbiorników wód śródlądowych;</w:t>
      </w:r>
    </w:p>
    <w:p w14:paraId="17EBC079" w14:textId="77777777" w:rsidR="00196279" w:rsidRPr="00196279" w:rsidRDefault="00196279" w:rsidP="00196279">
      <w:pPr>
        <w:pStyle w:val="Akapitzlist"/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4A4398E1" w14:textId="77777777" w:rsidR="00196279" w:rsidRPr="00196279" w:rsidRDefault="00196279" w:rsidP="00196279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1E4CCF0D" w14:textId="77777777" w:rsidR="00196279" w:rsidRPr="00196279" w:rsidRDefault="00196279" w:rsidP="00196279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03AFDB00" w14:textId="77777777" w:rsidR="00196279" w:rsidRPr="00196279" w:rsidRDefault="00196279" w:rsidP="00196279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1071). W związku z tym nie zachodził obowiązek uzyskania decyzji o środowiskowych uwarunkowaniach określającej środowiskowe uwarunkowania realizacji przedsięwzięcia.</w:t>
      </w:r>
    </w:p>
    <w:p w14:paraId="0C714819" w14:textId="77777777" w:rsidR="00196279" w:rsidRPr="00196279" w:rsidRDefault="00196279" w:rsidP="00196279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2022 r. poz. 1029, z późn. zm.) tutejszy organ rozważył, przed wydaniem niniejszej decyzji, czy analizowane przedsięwzięcie, </w:t>
      </w:r>
      <w:r w:rsidRPr="00196279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196279">
        <w:rPr>
          <w:rFonts w:cstheme="minorHAnsi"/>
          <w:sz w:val="28"/>
          <w:szCs w:val="28"/>
        </w:rPr>
        <w:t xml:space="preserve">, które nie jest bezpośrednio związane z ochroną obszaru Natura 2000 lub nie wynika z tej ochrony, może potencjalnie znacząco oddziaływać </w:t>
      </w:r>
      <w:r w:rsidRPr="00196279">
        <w:rPr>
          <w:rFonts w:cstheme="minorHAnsi"/>
          <w:sz w:val="28"/>
          <w:szCs w:val="28"/>
        </w:rPr>
        <w:lastRenderedPageBreak/>
        <w:t>na obszar Natura 2000. Otóż, planowana inwestycja:</w:t>
      </w:r>
    </w:p>
    <w:p w14:paraId="70E7AA4A" w14:textId="77777777" w:rsidR="00196279" w:rsidRPr="00196279" w:rsidRDefault="00196279" w:rsidP="00196279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zostanie zlokalizowana w zurbanizowanej (przekształconej antropogenicznie) części wsi;</w:t>
      </w:r>
    </w:p>
    <w:p w14:paraId="027CD677" w14:textId="77777777" w:rsidR="00196279" w:rsidRPr="00196279" w:rsidRDefault="00196279" w:rsidP="00196279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zajmuje niewielki, zainwestowany już obszar (ca 1,2807 ha);</w:t>
      </w:r>
    </w:p>
    <w:p w14:paraId="0A3C5732" w14:textId="77777777" w:rsidR="00196279" w:rsidRPr="00196279" w:rsidRDefault="00196279" w:rsidP="00196279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odległa jest od najbliższego obszaru Natura 2000 (pomiar w linii prostej) o 2,5 km;</w:t>
      </w:r>
    </w:p>
    <w:p w14:paraId="47E9C2FA" w14:textId="77777777" w:rsidR="00196279" w:rsidRPr="00196279" w:rsidRDefault="00196279" w:rsidP="00196279">
      <w:pPr>
        <w:pStyle w:val="Akapitzlist"/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/>
        <w:ind w:left="0" w:firstLine="567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nie wiąże się z generowaniem jakichkolwiek emisji do środowiska (hałas, pola elektromagnetyczne, substancje), poza krótkotrwałym etapem realizacji inwestycji.</w:t>
      </w:r>
    </w:p>
    <w:p w14:paraId="6DE9C8ED" w14:textId="77777777" w:rsidR="00196279" w:rsidRPr="00196279" w:rsidRDefault="00196279" w:rsidP="00196279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1" w:name="mip57658053"/>
      <w:bookmarkEnd w:id="1"/>
    </w:p>
    <w:p w14:paraId="3CCE0E08" w14:textId="77777777" w:rsidR="00196279" w:rsidRPr="00196279" w:rsidRDefault="00196279" w:rsidP="00196279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Decyzja nie wymagała uzgodnienia z organami, o których mowa w art. 53 ust. 4 u.p.z.p.</w:t>
      </w:r>
    </w:p>
    <w:p w14:paraId="47FD0BF8" w14:textId="77777777" w:rsidR="00196279" w:rsidRPr="00196279" w:rsidRDefault="00196279" w:rsidP="00196279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Decyzja nie wymagał zaopiniowania przez operatorów, o których mowa art. 53 ust. 5e u.p.z.p.</w:t>
      </w:r>
    </w:p>
    <w:p w14:paraId="51C0F25F" w14:textId="77777777" w:rsidR="00196279" w:rsidRPr="00196279" w:rsidRDefault="00196279" w:rsidP="00196279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Projekt decyzji uzyskał stanowisko zarządcy drogi gminnej będącą własnością i w zarządzie gminy Śrem (ul. Ceglanej), którym jest Burmistrz Śremu, w ramach wewnętrznej procedury.</w:t>
      </w:r>
    </w:p>
    <w:p w14:paraId="721F1913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2E11E3B1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Wnioskodawcę i zarazem właściciela terenu inwestycji – gminę Śrem.</w:t>
      </w:r>
    </w:p>
    <w:p w14:paraId="7F58C574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0B9BF046" w14:textId="20635CA1" w:rsidR="00196279" w:rsidRDefault="00196279" w:rsidP="00196279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W związku z powyższym orzeczono jak w sentencji.</w:t>
      </w:r>
    </w:p>
    <w:p w14:paraId="1EE55DA3" w14:textId="77777777" w:rsidR="00196279" w:rsidRPr="00196279" w:rsidRDefault="00196279" w:rsidP="00196279">
      <w:pPr>
        <w:spacing w:after="120" w:line="240" w:lineRule="auto"/>
        <w:jc w:val="center"/>
        <w:rPr>
          <w:rFonts w:cstheme="minorHAnsi"/>
          <w:sz w:val="28"/>
          <w:szCs w:val="28"/>
        </w:rPr>
      </w:pPr>
    </w:p>
    <w:p w14:paraId="785D6E17" w14:textId="77777777" w:rsidR="00196279" w:rsidRPr="00196279" w:rsidRDefault="00196279" w:rsidP="00196279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196279">
        <w:rPr>
          <w:rFonts w:cstheme="minorHAnsi"/>
          <w:bCs/>
          <w:sz w:val="28"/>
          <w:szCs w:val="28"/>
        </w:rPr>
        <w:lastRenderedPageBreak/>
        <w:t>Pouczenie</w:t>
      </w:r>
    </w:p>
    <w:p w14:paraId="6D31B7EF" w14:textId="7941ED82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276A4390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32AEA8FB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 xml:space="preserve">W trakcie biegu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71956B77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0C489C9C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  <w:shd w:val="clear" w:color="auto" w:fill="FFFFFF"/>
        </w:rPr>
      </w:pPr>
      <w:r w:rsidRPr="00196279">
        <w:rPr>
          <w:rFonts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196279">
        <w:rPr>
          <w:rFonts w:cstheme="minorHAnsi"/>
          <w:sz w:val="28"/>
          <w:szCs w:val="28"/>
          <w:shd w:val="clear" w:color="auto" w:fill="FFFFFF"/>
        </w:rPr>
        <w:t>wnosi się za pośrednictwem Burmistrza Śremu.</w:t>
      </w:r>
    </w:p>
    <w:p w14:paraId="58ACC132" w14:textId="77777777" w:rsidR="00196279" w:rsidRPr="00196279" w:rsidRDefault="00196279" w:rsidP="00196279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Informacja</w:t>
      </w:r>
    </w:p>
    <w:p w14:paraId="767C81AA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2187432E" w14:textId="77777777" w:rsidR="00196279" w:rsidRPr="00196279" w:rsidRDefault="00196279" w:rsidP="00196279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inny wnioskodawca uzyskał pozwolenie na budowę;</w:t>
      </w:r>
    </w:p>
    <w:p w14:paraId="5D290F41" w14:textId="77777777" w:rsidR="00196279" w:rsidRPr="00196279" w:rsidRDefault="00196279" w:rsidP="00196279">
      <w:pPr>
        <w:widowControl w:val="0"/>
        <w:numPr>
          <w:ilvl w:val="1"/>
          <w:numId w:val="8"/>
        </w:numPr>
        <w:tabs>
          <w:tab w:val="clear" w:pos="720"/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dla tego terenu uchwalono plan miejscowy, którego ustalenia są inne niż w wydanej decyzji.</w:t>
      </w:r>
    </w:p>
    <w:p w14:paraId="7617D2C3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AFD7E53" w14:textId="77777777" w:rsidR="00196279" w:rsidRPr="00196279" w:rsidRDefault="00196279" w:rsidP="00196279">
      <w:pPr>
        <w:widowControl w:val="0"/>
        <w:autoSpaceDE w:val="0"/>
        <w:autoSpaceDN w:val="0"/>
        <w:adjustRightInd w:val="0"/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Załączniki:</w:t>
      </w:r>
    </w:p>
    <w:p w14:paraId="79808065" w14:textId="1AA1DB2D" w:rsidR="00196279" w:rsidRPr="00196279" w:rsidRDefault="00196279" w:rsidP="00196279">
      <w:pPr>
        <w:numPr>
          <w:ilvl w:val="0"/>
          <w:numId w:val="9"/>
        </w:num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załącznik nr 1 – część graficzna decyzji.</w:t>
      </w:r>
    </w:p>
    <w:p w14:paraId="05C122A2" w14:textId="77777777" w:rsidR="00F707BA" w:rsidRDefault="00F707BA" w:rsidP="00196279">
      <w:pPr>
        <w:spacing w:after="0" w:line="240" w:lineRule="auto"/>
        <w:jc w:val="both"/>
        <w:rPr>
          <w:rFonts w:cstheme="minorHAnsi"/>
          <w:sz w:val="28"/>
          <w:szCs w:val="28"/>
        </w:rPr>
      </w:pPr>
    </w:p>
    <w:p w14:paraId="51CAA60A" w14:textId="67320A47" w:rsidR="00196279" w:rsidRPr="00196279" w:rsidRDefault="00196279" w:rsidP="00196279">
      <w:pPr>
        <w:spacing w:after="0" w:line="240" w:lineRule="auto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Sprawę prowadzi:</w:t>
      </w:r>
    </w:p>
    <w:p w14:paraId="6650B781" w14:textId="77777777" w:rsidR="00196279" w:rsidRPr="00196279" w:rsidRDefault="00196279" w:rsidP="00196279">
      <w:pPr>
        <w:spacing w:after="0" w:line="240" w:lineRule="auto"/>
        <w:rPr>
          <w:rFonts w:cstheme="minorHAnsi"/>
          <w:bCs/>
          <w:sz w:val="28"/>
          <w:szCs w:val="28"/>
        </w:rPr>
      </w:pPr>
      <w:r w:rsidRPr="00196279">
        <w:rPr>
          <w:rFonts w:cstheme="minorHAnsi"/>
          <w:bCs/>
          <w:sz w:val="28"/>
          <w:szCs w:val="28"/>
        </w:rPr>
        <w:t>Sylwia Sobiech</w:t>
      </w:r>
    </w:p>
    <w:p w14:paraId="419CC2F4" w14:textId="77777777" w:rsidR="00196279" w:rsidRPr="00196279" w:rsidRDefault="00196279" w:rsidP="00196279">
      <w:pPr>
        <w:spacing w:after="0" w:line="240" w:lineRule="auto"/>
        <w:rPr>
          <w:rFonts w:cstheme="minorHAnsi"/>
          <w:bCs/>
          <w:sz w:val="28"/>
          <w:szCs w:val="28"/>
        </w:rPr>
      </w:pPr>
      <w:r w:rsidRPr="00196279">
        <w:rPr>
          <w:rFonts w:cstheme="minorHAnsi"/>
          <w:bCs/>
          <w:sz w:val="28"/>
          <w:szCs w:val="28"/>
        </w:rPr>
        <w:t>podinspektor</w:t>
      </w:r>
    </w:p>
    <w:p w14:paraId="35EFE47B" w14:textId="77777777" w:rsidR="00196279" w:rsidRPr="00196279" w:rsidRDefault="00196279" w:rsidP="00196279">
      <w:pPr>
        <w:spacing w:after="0" w:line="240" w:lineRule="auto"/>
        <w:jc w:val="both"/>
        <w:rPr>
          <w:rFonts w:cstheme="minorHAnsi"/>
          <w:bCs/>
          <w:sz w:val="28"/>
          <w:szCs w:val="28"/>
        </w:rPr>
      </w:pPr>
      <w:r w:rsidRPr="00196279">
        <w:rPr>
          <w:rFonts w:cstheme="minorHAnsi"/>
          <w:bCs/>
          <w:sz w:val="28"/>
          <w:szCs w:val="28"/>
        </w:rPr>
        <w:t>tel. 61 28 47 159</w:t>
      </w:r>
    </w:p>
    <w:p w14:paraId="4F1D145B" w14:textId="77777777" w:rsidR="00196279" w:rsidRPr="00196279" w:rsidRDefault="00196279" w:rsidP="00196279">
      <w:pPr>
        <w:spacing w:line="240" w:lineRule="auto"/>
        <w:rPr>
          <w:rFonts w:cstheme="minorHAnsi"/>
          <w:bCs/>
          <w:sz w:val="28"/>
          <w:szCs w:val="28"/>
        </w:rPr>
      </w:pPr>
      <w:r w:rsidRPr="00196279">
        <w:rPr>
          <w:rFonts w:cstheme="minorHAnsi"/>
          <w:bCs/>
          <w:sz w:val="28"/>
          <w:szCs w:val="28"/>
        </w:rPr>
        <w:br w:type="page"/>
      </w:r>
    </w:p>
    <w:p w14:paraId="29A2C073" w14:textId="77777777" w:rsidR="00196279" w:rsidRPr="00196279" w:rsidRDefault="00196279" w:rsidP="00196279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lastRenderedPageBreak/>
        <w:t>Otrzymują:</w:t>
      </w:r>
    </w:p>
    <w:p w14:paraId="63BDCA00" w14:textId="77777777" w:rsidR="00196279" w:rsidRPr="00196279" w:rsidRDefault="00196279" w:rsidP="00196279">
      <w:pPr>
        <w:pStyle w:val="Akapitzlist"/>
        <w:numPr>
          <w:ilvl w:val="0"/>
          <w:numId w:val="15"/>
        </w:numPr>
        <w:tabs>
          <w:tab w:val="left" w:pos="567"/>
        </w:tabs>
        <w:spacing w:after="120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Strona postępowania:</w:t>
      </w:r>
    </w:p>
    <w:p w14:paraId="02FB541F" w14:textId="77777777" w:rsidR="00196279" w:rsidRPr="00196279" w:rsidRDefault="00196279" w:rsidP="00196279">
      <w:pPr>
        <w:pStyle w:val="Akapitzlist"/>
        <w:tabs>
          <w:tab w:val="left" w:pos="567"/>
        </w:tabs>
        <w:spacing w:after="120"/>
        <w:ind w:left="644"/>
        <w:jc w:val="both"/>
        <w:rPr>
          <w:rFonts w:asciiTheme="minorHAnsi" w:hAnsiTheme="minorHAnsi" w:cstheme="minorHAnsi"/>
          <w:szCs w:val="28"/>
        </w:rPr>
      </w:pPr>
      <w:r w:rsidRPr="00196279">
        <w:rPr>
          <w:rFonts w:asciiTheme="minorHAnsi" w:hAnsiTheme="minorHAnsi" w:cstheme="minorHAnsi"/>
          <w:szCs w:val="28"/>
        </w:rPr>
        <w:t>Gmina Śrem, ul. Plac 20 Października 1; 63-100 Śrem (Pion Rozwoju i Infrastruktury)</w:t>
      </w:r>
    </w:p>
    <w:p w14:paraId="7ED6CEDF" w14:textId="77777777" w:rsidR="00196279" w:rsidRPr="00196279" w:rsidRDefault="00196279" w:rsidP="00196279">
      <w:pPr>
        <w:tabs>
          <w:tab w:val="left" w:pos="567"/>
        </w:tabs>
        <w:spacing w:after="120" w:line="240" w:lineRule="auto"/>
        <w:ind w:firstLine="284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2.</w:t>
      </w:r>
      <w:r w:rsidRPr="00196279">
        <w:rPr>
          <w:rFonts w:cstheme="minorHAnsi"/>
          <w:sz w:val="28"/>
          <w:szCs w:val="28"/>
        </w:rPr>
        <w:tab/>
        <w:t>aa.</w:t>
      </w:r>
    </w:p>
    <w:p w14:paraId="11CB4843" w14:textId="77777777" w:rsidR="00196279" w:rsidRPr="00196279" w:rsidRDefault="00196279" w:rsidP="00196279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3E9FF780" w14:textId="77777777" w:rsidR="00196279" w:rsidRPr="00196279" w:rsidRDefault="00196279" w:rsidP="00196279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196279">
        <w:rPr>
          <w:rFonts w:cstheme="minorHAnsi"/>
          <w:sz w:val="28"/>
          <w:szCs w:val="28"/>
        </w:rPr>
        <w:t>Decyzja zwolniona od opłaty skarbowej zgodnie z art. 7 pkt 3 ustawy z dnia 16 listopada 2006 r. o opłacie skarbowej (Dz. U. z 2021 r. poz. 1923, z późn. zm.).</w:t>
      </w:r>
    </w:p>
    <w:p w14:paraId="19E6B614" w14:textId="77777777" w:rsidR="00196279" w:rsidRPr="00DC7914" w:rsidRDefault="00196279" w:rsidP="00196279">
      <w:pPr>
        <w:spacing w:after="120" w:line="240" w:lineRule="auto"/>
        <w:ind w:right="-1"/>
        <w:jc w:val="both"/>
        <w:rPr>
          <w:rFonts w:cstheme="minorHAnsi"/>
          <w:szCs w:val="28"/>
        </w:rPr>
      </w:pPr>
    </w:p>
    <w:p w14:paraId="50DB372A" w14:textId="240CB1F2" w:rsidR="00196279" w:rsidRDefault="00196279">
      <w:pPr>
        <w:rPr>
          <w:rFonts w:eastAsia="Calibri" w:cstheme="minorHAnsi"/>
          <w:bCs/>
          <w:sz w:val="28"/>
          <w:szCs w:val="28"/>
        </w:rPr>
      </w:pPr>
      <w:r>
        <w:rPr>
          <w:rFonts w:eastAsia="Calibri" w:cstheme="minorHAnsi"/>
          <w:bCs/>
          <w:sz w:val="28"/>
          <w:szCs w:val="28"/>
        </w:rPr>
        <w:br w:type="page"/>
      </w:r>
    </w:p>
    <w:p w14:paraId="161345E4" w14:textId="7C8F5933" w:rsidR="001C157A" w:rsidRPr="001C157A" w:rsidRDefault="00196279" w:rsidP="00196279">
      <w:pPr>
        <w:spacing w:line="240" w:lineRule="auto"/>
        <w:ind w:right="5810"/>
        <w:rPr>
          <w:rFonts w:eastAsia="Calibri" w:cstheme="minorHAnsi"/>
          <w:bCs/>
          <w:sz w:val="28"/>
          <w:szCs w:val="28"/>
        </w:rPr>
      </w:pPr>
      <w:r>
        <w:rPr>
          <w:rFonts w:eastAsia="Calibri" w:cstheme="minorHAnsi"/>
          <w:bCs/>
          <w:noProof/>
          <w:sz w:val="28"/>
          <w:szCs w:val="28"/>
        </w:rPr>
        <w:lastRenderedPageBreak/>
        <w:drawing>
          <wp:inline distT="0" distB="0" distL="0" distR="0" wp14:anchorId="225DF5B0" wp14:editId="38C64FA5">
            <wp:extent cx="5579745" cy="7891780"/>
            <wp:effectExtent l="0" t="0" r="190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C157A" w:rsidRPr="001C157A" w:rsidSect="009F091A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701CD" w14:textId="77777777" w:rsidR="002D0725" w:rsidRDefault="002D0725" w:rsidP="00053E5A">
      <w:pPr>
        <w:spacing w:after="0" w:line="240" w:lineRule="auto"/>
      </w:pPr>
      <w:r>
        <w:separator/>
      </w:r>
    </w:p>
  </w:endnote>
  <w:endnote w:type="continuationSeparator" w:id="0">
    <w:p w14:paraId="2AA06EED" w14:textId="77777777" w:rsidR="002D0725" w:rsidRDefault="002D072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2986E41C" w14:textId="3587C5FB" w:rsidR="00575C7A" w:rsidRDefault="00575C7A">
            <w:pPr>
              <w:pStyle w:val="Stopka"/>
              <w:jc w:val="center"/>
            </w:pP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PAGE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  <w:r w:rsidRPr="003625F3">
              <w:rPr>
                <w:sz w:val="28"/>
                <w:szCs w:val="28"/>
              </w:rPr>
              <w:t xml:space="preserve"> z </w:t>
            </w:r>
            <w:r w:rsidRPr="003625F3">
              <w:rPr>
                <w:sz w:val="28"/>
                <w:szCs w:val="28"/>
              </w:rPr>
              <w:fldChar w:fldCharType="begin"/>
            </w:r>
            <w:r w:rsidRPr="003625F3">
              <w:rPr>
                <w:sz w:val="28"/>
                <w:szCs w:val="28"/>
              </w:rPr>
              <w:instrText>NUMPAGES</w:instrText>
            </w:r>
            <w:r w:rsidRPr="003625F3">
              <w:rPr>
                <w:sz w:val="28"/>
                <w:szCs w:val="28"/>
              </w:rPr>
              <w:fldChar w:fldCharType="separate"/>
            </w:r>
            <w:r w:rsidRPr="003625F3">
              <w:rPr>
                <w:sz w:val="28"/>
                <w:szCs w:val="28"/>
              </w:rPr>
              <w:t>2</w:t>
            </w:r>
            <w:r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000000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78BA3" w14:textId="77777777" w:rsidR="002D0725" w:rsidRDefault="002D0725" w:rsidP="00053E5A">
      <w:pPr>
        <w:spacing w:after="0" w:line="240" w:lineRule="auto"/>
      </w:pPr>
      <w:r>
        <w:separator/>
      </w:r>
    </w:p>
  </w:footnote>
  <w:footnote w:type="continuationSeparator" w:id="0">
    <w:p w14:paraId="34420980" w14:textId="77777777" w:rsidR="002D0725" w:rsidRDefault="002D0725" w:rsidP="00053E5A">
      <w:pPr>
        <w:spacing w:after="0" w:line="240" w:lineRule="auto"/>
      </w:pPr>
      <w:r>
        <w:continuationSeparator/>
      </w:r>
    </w:p>
  </w:footnote>
  <w:footnote w:id="1">
    <w:p w14:paraId="42E3E92B" w14:textId="77777777" w:rsidR="00196279" w:rsidRPr="00EE5F25" w:rsidRDefault="00196279" w:rsidP="00196279">
      <w:pPr>
        <w:pStyle w:val="Tekstprzypisudolnego"/>
        <w:jc w:val="both"/>
        <w:rPr>
          <w:sz w:val="28"/>
          <w:szCs w:val="28"/>
        </w:rPr>
      </w:pPr>
      <w:r w:rsidRPr="00F814B0">
        <w:rPr>
          <w:rStyle w:val="Odwoanieprzypisudolnego"/>
          <w:sz w:val="28"/>
          <w:szCs w:val="28"/>
        </w:rPr>
        <w:footnoteRef/>
      </w:r>
      <w:r w:rsidRPr="00F814B0">
        <w:rPr>
          <w:sz w:val="28"/>
          <w:szCs w:val="28"/>
        </w:rPr>
        <w:t xml:space="preserve"> </w:t>
      </w:r>
      <w:r w:rsidRPr="00F814B0">
        <w:rPr>
          <w:rFonts w:asciiTheme="minorHAnsi" w:hAnsiTheme="minorHAnsi" w:cstheme="minorHAnsi"/>
          <w:sz w:val="28"/>
          <w:szCs w:val="28"/>
        </w:rPr>
        <w:t xml:space="preserve">Stosownie do art. 61 ust. 5a </w:t>
      </w:r>
      <w:r w:rsidRPr="00CB11A8">
        <w:rPr>
          <w:rFonts w:asciiTheme="minorHAnsi" w:hAnsiTheme="minorHAnsi" w:cstheme="minorHAnsi"/>
          <w:sz w:val="28"/>
          <w:szCs w:val="28"/>
        </w:rPr>
        <w:t>zdanie drugie u.p.z.p</w:t>
      </w:r>
      <w:r>
        <w:rPr>
          <w:rFonts w:asciiTheme="minorHAnsi" w:hAnsiTheme="minorHAnsi" w:cstheme="minorHAnsi"/>
          <w:sz w:val="28"/>
          <w:szCs w:val="28"/>
        </w:rPr>
        <w:t>.</w:t>
      </w:r>
      <w:r w:rsidRPr="00F814B0">
        <w:rPr>
          <w:rFonts w:asciiTheme="minorHAnsi" w:hAnsiTheme="minorHAnsi" w:cstheme="minorHAnsi"/>
          <w:sz w:val="28"/>
          <w:szCs w:val="28"/>
        </w:rPr>
        <w:t xml:space="preserve"> przez front terenu należy rozumieć tę część granicy działki budowlanej, która przylega do drogi publicznej lub wewnętrznej, z której odbywa się główny wjazd na działkę. Front </w:t>
      </w:r>
      <w:r>
        <w:rPr>
          <w:rFonts w:asciiTheme="minorHAnsi" w:hAnsiTheme="minorHAnsi" w:cstheme="minorHAnsi"/>
          <w:sz w:val="28"/>
          <w:szCs w:val="28"/>
        </w:rPr>
        <w:t>terenu</w:t>
      </w:r>
      <w:r w:rsidRPr="00F814B0">
        <w:rPr>
          <w:rFonts w:asciiTheme="minorHAnsi" w:hAnsiTheme="minorHAnsi" w:cstheme="minorHAnsi"/>
          <w:sz w:val="28"/>
          <w:szCs w:val="28"/>
        </w:rPr>
        <w:t xml:space="preserve"> został oznaczony w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7B01C5"/>
    <w:multiLevelType w:val="hybridMultilevel"/>
    <w:tmpl w:val="ADBEC160"/>
    <w:lvl w:ilvl="0" w:tplc="166EF13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C5145A"/>
    <w:multiLevelType w:val="hybridMultilevel"/>
    <w:tmpl w:val="06BA7CEC"/>
    <w:lvl w:ilvl="0" w:tplc="039E0F9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087E28"/>
    <w:multiLevelType w:val="hybridMultilevel"/>
    <w:tmpl w:val="07DE1664"/>
    <w:lvl w:ilvl="0" w:tplc="34F63CF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52058E2"/>
    <w:multiLevelType w:val="hybridMultilevel"/>
    <w:tmpl w:val="1EBC6FF0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A97F7E"/>
    <w:multiLevelType w:val="hybridMultilevel"/>
    <w:tmpl w:val="A71668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64A06"/>
    <w:multiLevelType w:val="hybridMultilevel"/>
    <w:tmpl w:val="19B6A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16DF7"/>
    <w:multiLevelType w:val="hybridMultilevel"/>
    <w:tmpl w:val="E8988CB4"/>
    <w:lvl w:ilvl="0" w:tplc="6136C572">
      <w:start w:val="1"/>
      <w:numFmt w:val="lowerLetter"/>
      <w:lvlText w:val="%1)"/>
      <w:lvlJc w:val="left"/>
      <w:pPr>
        <w:ind w:left="720" w:hanging="360"/>
      </w:pPr>
      <w:rPr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6606859">
    <w:abstractNumId w:val="1"/>
  </w:num>
  <w:num w:numId="2" w16cid:durableId="2107075885">
    <w:abstractNumId w:val="12"/>
  </w:num>
  <w:num w:numId="3" w16cid:durableId="577246943">
    <w:abstractNumId w:val="3"/>
  </w:num>
  <w:num w:numId="4" w16cid:durableId="447238215">
    <w:abstractNumId w:val="6"/>
  </w:num>
  <w:num w:numId="5" w16cid:durableId="193546549">
    <w:abstractNumId w:val="10"/>
  </w:num>
  <w:num w:numId="6" w16cid:durableId="886602834">
    <w:abstractNumId w:val="13"/>
  </w:num>
  <w:num w:numId="7" w16cid:durableId="869684576">
    <w:abstractNumId w:val="0"/>
  </w:num>
  <w:num w:numId="8" w16cid:durableId="94581714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88507800">
    <w:abstractNumId w:val="14"/>
  </w:num>
  <w:num w:numId="10" w16cid:durableId="2122066697">
    <w:abstractNumId w:val="8"/>
  </w:num>
  <w:num w:numId="11" w16cid:durableId="1002397040">
    <w:abstractNumId w:val="4"/>
  </w:num>
  <w:num w:numId="12" w16cid:durableId="1843086158">
    <w:abstractNumId w:val="7"/>
  </w:num>
  <w:num w:numId="13" w16cid:durableId="1217350136">
    <w:abstractNumId w:val="9"/>
  </w:num>
  <w:num w:numId="14" w16cid:durableId="1162964083">
    <w:abstractNumId w:val="2"/>
  </w:num>
  <w:num w:numId="15" w16cid:durableId="1158730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1639"/>
    <w:rsid w:val="00053E5A"/>
    <w:rsid w:val="000C0935"/>
    <w:rsid w:val="000E482F"/>
    <w:rsid w:val="00126CA3"/>
    <w:rsid w:val="00136D9C"/>
    <w:rsid w:val="00196279"/>
    <w:rsid w:val="00196CF8"/>
    <w:rsid w:val="001C157A"/>
    <w:rsid w:val="001E45F7"/>
    <w:rsid w:val="002339DC"/>
    <w:rsid w:val="00250690"/>
    <w:rsid w:val="00254C8A"/>
    <w:rsid w:val="00262082"/>
    <w:rsid w:val="00286EE4"/>
    <w:rsid w:val="002C78CB"/>
    <w:rsid w:val="002D0725"/>
    <w:rsid w:val="002D0BA0"/>
    <w:rsid w:val="002E1491"/>
    <w:rsid w:val="002F146B"/>
    <w:rsid w:val="003625F3"/>
    <w:rsid w:val="00377C2A"/>
    <w:rsid w:val="003C6240"/>
    <w:rsid w:val="0040322B"/>
    <w:rsid w:val="00422580"/>
    <w:rsid w:val="00432786"/>
    <w:rsid w:val="004348F9"/>
    <w:rsid w:val="00445843"/>
    <w:rsid w:val="004519AC"/>
    <w:rsid w:val="0048459B"/>
    <w:rsid w:val="004E34C3"/>
    <w:rsid w:val="004E6AAC"/>
    <w:rsid w:val="005163FD"/>
    <w:rsid w:val="00525346"/>
    <w:rsid w:val="00575C7A"/>
    <w:rsid w:val="00582CAF"/>
    <w:rsid w:val="005A07CF"/>
    <w:rsid w:val="005B004B"/>
    <w:rsid w:val="005E5887"/>
    <w:rsid w:val="00615D44"/>
    <w:rsid w:val="00665EE3"/>
    <w:rsid w:val="006A4DEE"/>
    <w:rsid w:val="006A6F3E"/>
    <w:rsid w:val="006B1E32"/>
    <w:rsid w:val="006B3990"/>
    <w:rsid w:val="006C4458"/>
    <w:rsid w:val="0070061C"/>
    <w:rsid w:val="00722E64"/>
    <w:rsid w:val="00743C54"/>
    <w:rsid w:val="00775A53"/>
    <w:rsid w:val="007A3D60"/>
    <w:rsid w:val="007C54C3"/>
    <w:rsid w:val="007F211B"/>
    <w:rsid w:val="00801B47"/>
    <w:rsid w:val="00804836"/>
    <w:rsid w:val="0081559F"/>
    <w:rsid w:val="00825443"/>
    <w:rsid w:val="00850AD6"/>
    <w:rsid w:val="008A3FFD"/>
    <w:rsid w:val="00917C21"/>
    <w:rsid w:val="00943717"/>
    <w:rsid w:val="009614DC"/>
    <w:rsid w:val="009937A8"/>
    <w:rsid w:val="009A3AA8"/>
    <w:rsid w:val="009F091A"/>
    <w:rsid w:val="009F54AF"/>
    <w:rsid w:val="00A17FD1"/>
    <w:rsid w:val="00A54779"/>
    <w:rsid w:val="00AF1F86"/>
    <w:rsid w:val="00AF75A2"/>
    <w:rsid w:val="00B135C0"/>
    <w:rsid w:val="00B21524"/>
    <w:rsid w:val="00B913B3"/>
    <w:rsid w:val="00B91A9F"/>
    <w:rsid w:val="00C74A10"/>
    <w:rsid w:val="00C8223A"/>
    <w:rsid w:val="00CB2195"/>
    <w:rsid w:val="00CD153A"/>
    <w:rsid w:val="00D34515"/>
    <w:rsid w:val="00D4395E"/>
    <w:rsid w:val="00D44B5D"/>
    <w:rsid w:val="00D8621A"/>
    <w:rsid w:val="00D91D83"/>
    <w:rsid w:val="00DA6D14"/>
    <w:rsid w:val="00DA77D0"/>
    <w:rsid w:val="00DD0109"/>
    <w:rsid w:val="00DE0A88"/>
    <w:rsid w:val="00DE631D"/>
    <w:rsid w:val="00E46AE3"/>
    <w:rsid w:val="00ED2BC7"/>
    <w:rsid w:val="00F11BA4"/>
    <w:rsid w:val="00F62CD2"/>
    <w:rsid w:val="00F707BA"/>
    <w:rsid w:val="00F75251"/>
    <w:rsid w:val="00F910AA"/>
    <w:rsid w:val="00FB2212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3C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C157A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C157A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C157A"/>
    <w:rPr>
      <w:vertAlign w:val="superscript"/>
    </w:rPr>
  </w:style>
  <w:style w:type="paragraph" w:styleId="Akapitzlist">
    <w:name w:val="List Paragraph"/>
    <w:basedOn w:val="Normalny"/>
    <w:uiPriority w:val="34"/>
    <w:qFormat/>
    <w:rsid w:val="00F62CD2"/>
    <w:pPr>
      <w:spacing w:after="0" w:line="240" w:lineRule="auto"/>
      <w:ind w:left="720"/>
      <w:contextualSpacing/>
    </w:pPr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2515</Words>
  <Characters>15095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5</cp:revision>
  <cp:lastPrinted>2020-02-11T13:09:00Z</cp:lastPrinted>
  <dcterms:created xsi:type="dcterms:W3CDTF">2022-10-05T11:02:00Z</dcterms:created>
  <dcterms:modified xsi:type="dcterms:W3CDTF">2022-10-06T10:24:00Z</dcterms:modified>
</cp:coreProperties>
</file>