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B152B" w14:textId="77777777" w:rsidR="00EF21FC" w:rsidRDefault="00EF21FC" w:rsidP="004922DB">
      <w:pPr>
        <w:spacing w:after="0" w:line="240" w:lineRule="auto"/>
        <w:ind w:right="5668"/>
        <w:jc w:val="center"/>
        <w:rPr>
          <w:rFonts w:cstheme="minorHAnsi"/>
          <w:bCs/>
          <w:sz w:val="28"/>
          <w:szCs w:val="28"/>
        </w:rPr>
      </w:pPr>
    </w:p>
    <w:p w14:paraId="0EA700A0" w14:textId="287B0351"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507F4FD8"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63</w:t>
      </w:r>
      <w:r w:rsidR="002B73BE">
        <w:rPr>
          <w:rFonts w:cstheme="minorHAnsi"/>
          <w:bCs/>
          <w:sz w:val="28"/>
          <w:szCs w:val="28"/>
        </w:rPr>
        <w:t xml:space="preserve"> – </w:t>
      </w:r>
      <w:r w:rsidRPr="003A76C5">
        <w:rPr>
          <w:rFonts w:cstheme="minorHAnsi"/>
          <w:bCs/>
          <w:sz w:val="28"/>
          <w:szCs w:val="28"/>
        </w:rPr>
        <w:t>100 Śrem</w:t>
      </w:r>
    </w:p>
    <w:p w14:paraId="69612C35" w14:textId="0EE1C6FF" w:rsidR="004922DB" w:rsidRPr="003A76C5" w:rsidRDefault="004922DB" w:rsidP="004922DB">
      <w:pPr>
        <w:spacing w:after="120" w:line="240" w:lineRule="auto"/>
        <w:jc w:val="right"/>
        <w:rPr>
          <w:rFonts w:cstheme="minorHAnsi"/>
          <w:sz w:val="28"/>
          <w:szCs w:val="28"/>
        </w:rPr>
      </w:pPr>
      <w:r w:rsidRPr="003A76C5">
        <w:rPr>
          <w:rFonts w:cstheme="minorHAnsi"/>
          <w:sz w:val="28"/>
          <w:szCs w:val="28"/>
        </w:rPr>
        <w:t xml:space="preserve">Śrem, </w:t>
      </w:r>
      <w:r w:rsidR="00A85478">
        <w:rPr>
          <w:rFonts w:cstheme="minorHAnsi"/>
          <w:sz w:val="28"/>
          <w:szCs w:val="28"/>
        </w:rPr>
        <w:t>16</w:t>
      </w:r>
      <w:r w:rsidR="00C725C5">
        <w:rPr>
          <w:rFonts w:cstheme="minorHAnsi"/>
          <w:sz w:val="28"/>
          <w:szCs w:val="28"/>
        </w:rPr>
        <w:t xml:space="preserve"> grudnia</w:t>
      </w:r>
      <w:r w:rsidR="00BD0979">
        <w:rPr>
          <w:rFonts w:cstheme="minorHAnsi"/>
          <w:sz w:val="28"/>
          <w:szCs w:val="28"/>
        </w:rPr>
        <w:t xml:space="preserve"> 2022</w:t>
      </w:r>
      <w:r w:rsidRPr="003A76C5">
        <w:rPr>
          <w:rFonts w:cstheme="minorHAnsi"/>
          <w:sz w:val="28"/>
          <w:szCs w:val="28"/>
        </w:rPr>
        <w:t xml:space="preserve"> r</w:t>
      </w:r>
      <w:r w:rsidR="008015EF">
        <w:rPr>
          <w:rFonts w:cstheme="minorHAnsi"/>
          <w:sz w:val="28"/>
          <w:szCs w:val="28"/>
        </w:rPr>
        <w:t>.</w:t>
      </w:r>
    </w:p>
    <w:p w14:paraId="4FE9DCF9" w14:textId="37633881" w:rsidR="004922DB" w:rsidRPr="003A76C5" w:rsidRDefault="004922DB" w:rsidP="004922DB">
      <w:pPr>
        <w:spacing w:after="120" w:line="240" w:lineRule="auto"/>
        <w:rPr>
          <w:rFonts w:cstheme="minorHAnsi"/>
          <w:sz w:val="28"/>
          <w:szCs w:val="28"/>
        </w:rPr>
      </w:pPr>
      <w:r w:rsidRPr="003A76C5">
        <w:rPr>
          <w:rFonts w:cstheme="minorHAnsi"/>
          <w:sz w:val="28"/>
          <w:szCs w:val="28"/>
        </w:rPr>
        <w:t>PPS</w:t>
      </w:r>
      <w:r w:rsidR="008015EF">
        <w:rPr>
          <w:rFonts w:cstheme="minorHAnsi"/>
          <w:sz w:val="28"/>
          <w:szCs w:val="28"/>
        </w:rPr>
        <w:t>PP</w:t>
      </w:r>
      <w:r w:rsidRPr="003A76C5">
        <w:rPr>
          <w:rFonts w:cstheme="minorHAnsi"/>
          <w:sz w:val="28"/>
          <w:szCs w:val="28"/>
        </w:rPr>
        <w:t>.</w:t>
      </w:r>
      <w:r w:rsidR="008015EF">
        <w:rPr>
          <w:rFonts w:cstheme="minorHAnsi"/>
          <w:sz w:val="28"/>
          <w:szCs w:val="28"/>
        </w:rPr>
        <w:t>6730</w:t>
      </w:r>
      <w:r w:rsidR="00BD0979">
        <w:rPr>
          <w:rFonts w:cstheme="minorHAnsi"/>
          <w:sz w:val="28"/>
          <w:szCs w:val="28"/>
        </w:rPr>
        <w:t>.</w:t>
      </w:r>
      <w:r w:rsidR="00C725C5">
        <w:rPr>
          <w:rFonts w:cstheme="minorHAnsi"/>
          <w:sz w:val="28"/>
          <w:szCs w:val="28"/>
        </w:rPr>
        <w:t>5</w:t>
      </w:r>
      <w:r w:rsidR="00BD0979">
        <w:rPr>
          <w:rFonts w:cstheme="minorHAnsi"/>
          <w:sz w:val="28"/>
          <w:szCs w:val="28"/>
        </w:rPr>
        <w:t>.2022.GMON</w:t>
      </w:r>
    </w:p>
    <w:p w14:paraId="77975ECA" w14:textId="17241901" w:rsidR="004922DB" w:rsidRPr="003A76C5" w:rsidRDefault="004922DB" w:rsidP="008015EF">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Obwieszczenie</w:t>
      </w:r>
      <w:r w:rsidR="008015EF">
        <w:rPr>
          <w:rFonts w:eastAsia="Times New Roman" w:cstheme="minorHAnsi"/>
          <w:sz w:val="28"/>
          <w:szCs w:val="28"/>
        </w:rPr>
        <w:br/>
        <w:t xml:space="preserve"> </w:t>
      </w:r>
      <w:r w:rsidRPr="003A76C5">
        <w:rPr>
          <w:rFonts w:eastAsia="Times New Roman" w:cstheme="minorHAnsi"/>
          <w:sz w:val="28"/>
          <w:szCs w:val="28"/>
        </w:rPr>
        <w:t xml:space="preserve">o wydaniu decyzji </w:t>
      </w:r>
      <w:r w:rsidR="008015EF">
        <w:rPr>
          <w:rFonts w:eastAsia="Times New Roman" w:cstheme="minorHAnsi"/>
          <w:sz w:val="28"/>
          <w:szCs w:val="28"/>
        </w:rPr>
        <w:t xml:space="preserve">o warunkach zabudowy </w:t>
      </w:r>
    </w:p>
    <w:p w14:paraId="051C5A48" w14:textId="1D01ACF1" w:rsidR="004922DB" w:rsidRPr="00883567" w:rsidRDefault="004922DB" w:rsidP="00A108DE">
      <w:pPr>
        <w:spacing w:after="120" w:line="240" w:lineRule="auto"/>
        <w:ind w:firstLine="567"/>
        <w:jc w:val="both"/>
        <w:rPr>
          <w:rFonts w:eastAsia="Times New Roman" w:cstheme="minorHAnsi"/>
          <w:sz w:val="28"/>
          <w:szCs w:val="28"/>
          <w:lang w:eastAsia="pl-PL"/>
        </w:rPr>
      </w:pPr>
      <w:r w:rsidRPr="003A76C5">
        <w:rPr>
          <w:rFonts w:eastAsia="Times New Roman" w:cstheme="minorHAnsi"/>
          <w:sz w:val="28"/>
          <w:szCs w:val="28"/>
          <w:lang w:eastAsia="pl-PL"/>
        </w:rPr>
        <w:t xml:space="preserve">Na podstawie art. </w:t>
      </w:r>
      <w:r w:rsidR="008015EF">
        <w:rPr>
          <w:rFonts w:eastAsia="Times New Roman" w:cstheme="minorHAnsi"/>
          <w:sz w:val="28"/>
          <w:szCs w:val="28"/>
          <w:lang w:eastAsia="pl-PL"/>
        </w:rPr>
        <w:t>66a</w:t>
      </w:r>
      <w:r w:rsidRPr="003A76C5">
        <w:rPr>
          <w:rFonts w:eastAsia="Times New Roman" w:cstheme="minorHAnsi"/>
          <w:sz w:val="28"/>
          <w:szCs w:val="28"/>
          <w:lang w:eastAsia="pl-PL"/>
        </w:rPr>
        <w:t xml:space="preserve"> </w:t>
      </w:r>
      <w:r w:rsidR="008015EF">
        <w:rPr>
          <w:rFonts w:eastAsia="Times New Roman" w:cstheme="minorHAnsi"/>
          <w:sz w:val="28"/>
          <w:szCs w:val="28"/>
          <w:lang w:eastAsia="pl-PL"/>
        </w:rPr>
        <w:t>ustawy z dnia 27 marca 2003 r. o planowaniu i zagospodarowaniu przestrzennym (Dz. U. z 2022 r. poz. 503</w:t>
      </w:r>
      <w:r w:rsidR="00C725C5">
        <w:rPr>
          <w:rFonts w:eastAsia="Times New Roman" w:cstheme="minorHAnsi"/>
          <w:sz w:val="28"/>
          <w:szCs w:val="28"/>
          <w:lang w:eastAsia="pl-PL"/>
        </w:rPr>
        <w:t>, 1846 i 2185</w:t>
      </w:r>
      <w:r w:rsidRPr="003A76C5">
        <w:rPr>
          <w:rFonts w:eastAsia="Times New Roman" w:cstheme="minorHAnsi"/>
          <w:sz w:val="28"/>
          <w:szCs w:val="28"/>
          <w:lang w:eastAsia="pl-PL"/>
        </w:rPr>
        <w:t xml:space="preserve">) podaję do publicznej wiadomości informację, że </w:t>
      </w:r>
      <w:r w:rsidR="00C725C5">
        <w:rPr>
          <w:rFonts w:eastAsia="Times New Roman" w:cstheme="minorHAnsi"/>
          <w:sz w:val="28"/>
          <w:szCs w:val="28"/>
          <w:lang w:eastAsia="pl-PL"/>
        </w:rPr>
        <w:t>15.12</w:t>
      </w:r>
      <w:r w:rsidR="00BD0979">
        <w:rPr>
          <w:rFonts w:eastAsia="Times New Roman" w:cstheme="minorHAnsi"/>
          <w:sz w:val="28"/>
          <w:szCs w:val="28"/>
          <w:lang w:eastAsia="pl-PL"/>
        </w:rPr>
        <w:t>.</w:t>
      </w:r>
      <w:r w:rsidR="00E560F8">
        <w:rPr>
          <w:rFonts w:eastAsia="Times New Roman" w:cstheme="minorHAnsi"/>
          <w:sz w:val="28"/>
          <w:szCs w:val="28"/>
          <w:lang w:eastAsia="pl-PL"/>
        </w:rPr>
        <w:t>2022</w:t>
      </w:r>
      <w:r w:rsidRPr="003A76C5">
        <w:rPr>
          <w:rFonts w:eastAsia="Times New Roman" w:cstheme="minorHAnsi"/>
          <w:sz w:val="28"/>
          <w:szCs w:val="28"/>
          <w:lang w:eastAsia="pl-PL"/>
        </w:rPr>
        <w:t xml:space="preserve"> r. </w:t>
      </w:r>
      <w:r w:rsidR="00076915">
        <w:rPr>
          <w:rFonts w:eastAsia="Times New Roman" w:cstheme="minorHAnsi"/>
          <w:sz w:val="28"/>
          <w:szCs w:val="28"/>
          <w:lang w:eastAsia="pl-PL"/>
        </w:rPr>
        <w:t>wydałem</w:t>
      </w:r>
      <w:r w:rsidRPr="003A76C5">
        <w:rPr>
          <w:rFonts w:eastAsia="Times New Roman" w:cstheme="minorHAnsi"/>
          <w:sz w:val="28"/>
          <w:szCs w:val="28"/>
          <w:lang w:eastAsia="pl-PL"/>
        </w:rPr>
        <w:t xml:space="preserve"> decyzję </w:t>
      </w:r>
      <w:r w:rsidR="00B46641">
        <w:rPr>
          <w:rFonts w:eastAsia="Times New Roman" w:cstheme="minorHAnsi"/>
          <w:sz w:val="28"/>
          <w:szCs w:val="28"/>
          <w:lang w:eastAsia="pl-PL"/>
        </w:rPr>
        <w:t xml:space="preserve">nr </w:t>
      </w:r>
      <w:r w:rsidR="00C725C5">
        <w:rPr>
          <w:rFonts w:eastAsia="Times New Roman" w:cstheme="minorHAnsi"/>
          <w:sz w:val="28"/>
          <w:szCs w:val="28"/>
          <w:lang w:eastAsia="pl-PL"/>
        </w:rPr>
        <w:t>107</w:t>
      </w:r>
      <w:r w:rsidR="00BD0979">
        <w:rPr>
          <w:rFonts w:eastAsia="Times New Roman" w:cstheme="minorHAnsi"/>
          <w:sz w:val="28"/>
          <w:szCs w:val="28"/>
          <w:lang w:eastAsia="pl-PL"/>
        </w:rPr>
        <w:t>/2022</w:t>
      </w:r>
      <w:r w:rsidRPr="003A76C5">
        <w:rPr>
          <w:rFonts w:eastAsia="Times New Roman" w:cstheme="minorHAnsi"/>
          <w:sz w:val="28"/>
          <w:szCs w:val="28"/>
          <w:lang w:eastAsia="pl-PL"/>
        </w:rPr>
        <w:t xml:space="preserve"> </w:t>
      </w:r>
      <w:r w:rsidR="00B46641" w:rsidRPr="00C725C5">
        <w:rPr>
          <w:rFonts w:eastAsia="Times New Roman" w:cstheme="minorHAnsi"/>
          <w:sz w:val="28"/>
          <w:szCs w:val="28"/>
          <w:lang w:eastAsia="pl-PL"/>
        </w:rPr>
        <w:t xml:space="preserve">o warunkach zabudowy </w:t>
      </w:r>
      <w:r w:rsidRPr="00C725C5">
        <w:rPr>
          <w:rFonts w:eastAsia="Times New Roman" w:cstheme="minorHAnsi"/>
          <w:sz w:val="28"/>
          <w:szCs w:val="28"/>
          <w:lang w:eastAsia="pl-PL"/>
        </w:rPr>
        <w:t>na rzecz</w:t>
      </w:r>
      <w:r w:rsidR="00FF5074">
        <w:rPr>
          <w:rFonts w:eastAsia="Times New Roman" w:cstheme="minorHAnsi"/>
          <w:sz w:val="28"/>
          <w:szCs w:val="28"/>
          <w:lang w:eastAsia="pl-PL"/>
        </w:rPr>
        <w:t xml:space="preserve"> Osoby fizycznej</w:t>
      </w:r>
      <w:r w:rsidRPr="00C725C5">
        <w:rPr>
          <w:rFonts w:eastAsia="Times New Roman" w:cstheme="minorHAnsi"/>
          <w:sz w:val="28"/>
          <w:szCs w:val="28"/>
          <w:lang w:eastAsia="pl-PL"/>
        </w:rPr>
        <w:t xml:space="preserve">, dla </w:t>
      </w:r>
      <w:r w:rsidR="00B46641" w:rsidRPr="00C725C5">
        <w:rPr>
          <w:rFonts w:eastAsia="Times New Roman" w:cstheme="minorHAnsi"/>
          <w:sz w:val="28"/>
          <w:szCs w:val="28"/>
          <w:lang w:eastAsia="pl-PL"/>
        </w:rPr>
        <w:t>inwestycji:</w:t>
      </w:r>
      <w:r w:rsidR="00BD0979" w:rsidRPr="00C725C5">
        <w:rPr>
          <w:rFonts w:eastAsia="Times New Roman" w:cstheme="minorHAnsi"/>
          <w:sz w:val="28"/>
          <w:szCs w:val="28"/>
          <w:lang w:eastAsia="pl-PL"/>
        </w:rPr>
        <w:t xml:space="preserve"> </w:t>
      </w:r>
      <w:r w:rsidR="00C725C5" w:rsidRPr="00C725C5">
        <w:rPr>
          <w:rFonts w:ascii="Calibri" w:hAnsi="Calibri" w:cs="Calibri"/>
          <w:sz w:val="28"/>
          <w:szCs w:val="28"/>
        </w:rPr>
        <w:t>budowa budynku gospodarczego, rozbudowa budynku inwentarskiego i rozbudowa płyty obornikowej na terenie działki o nr ewid. 413, obręb Nochowo</w:t>
      </w:r>
      <w:r w:rsidR="00076915" w:rsidRPr="00C725C5">
        <w:rPr>
          <w:rFonts w:eastAsia="Times New Roman" w:cstheme="minorHAnsi"/>
          <w:sz w:val="28"/>
          <w:szCs w:val="28"/>
          <w:lang w:eastAsia="pl-PL"/>
        </w:rPr>
        <w:t>, która</w:t>
      </w:r>
      <w:r w:rsidR="00076915">
        <w:rPr>
          <w:rFonts w:eastAsia="Times New Roman" w:cstheme="minorHAnsi"/>
          <w:sz w:val="28"/>
          <w:szCs w:val="28"/>
          <w:lang w:eastAsia="pl-PL"/>
        </w:rPr>
        <w:t xml:space="preserve"> poprzedzona była decyzją o środowiskowych uwarunkowaniach.</w:t>
      </w:r>
    </w:p>
    <w:p w14:paraId="2A8AF818" w14:textId="721EF3C7" w:rsidR="004649AD" w:rsidRDefault="004649AD" w:rsidP="00A108DE">
      <w:pPr>
        <w:tabs>
          <w:tab w:val="left" w:pos="993"/>
        </w:tabs>
        <w:spacing w:after="120" w:line="240" w:lineRule="auto"/>
        <w:ind w:firstLine="567"/>
        <w:jc w:val="both"/>
        <w:rPr>
          <w:rFonts w:eastAsia="Times New Roman" w:cstheme="minorHAnsi"/>
          <w:sz w:val="28"/>
          <w:szCs w:val="28"/>
          <w:lang w:eastAsia="pl-PL"/>
        </w:rPr>
      </w:pPr>
      <w:r>
        <w:rPr>
          <w:rFonts w:eastAsia="Times New Roman" w:cstheme="minorHAnsi"/>
          <w:sz w:val="28"/>
          <w:szCs w:val="28"/>
          <w:lang w:eastAsia="pl-PL"/>
        </w:rPr>
        <w:t>Z decyzją można zapoznać się w Biuletynie Informacji Publicznej Urzędu Miejskiego w Śremie (</w:t>
      </w:r>
      <w:r w:rsidR="00474856" w:rsidRPr="00474856">
        <w:rPr>
          <w:rFonts w:eastAsia="Times New Roman" w:cstheme="minorHAnsi"/>
          <w:sz w:val="28"/>
          <w:szCs w:val="28"/>
          <w:lang w:eastAsia="pl-PL"/>
        </w:rPr>
        <w:t>http://umsrem.bip.eur.pl/public/?id=217685</w:t>
      </w:r>
      <w:r>
        <w:rPr>
          <w:rFonts w:eastAsia="Times New Roman" w:cstheme="minorHAnsi"/>
          <w:sz w:val="28"/>
          <w:szCs w:val="28"/>
          <w:lang w:eastAsia="pl-PL"/>
        </w:rPr>
        <w:t>), a</w:t>
      </w:r>
      <w:r w:rsidR="00EF21FC">
        <w:rPr>
          <w:rFonts w:eastAsia="Times New Roman" w:cstheme="minorHAnsi"/>
          <w:sz w:val="28"/>
          <w:szCs w:val="28"/>
          <w:lang w:eastAsia="pl-PL"/>
        </w:rPr>
        <w:t> </w:t>
      </w:r>
      <w:r>
        <w:rPr>
          <w:rFonts w:eastAsia="Times New Roman" w:cstheme="minorHAnsi"/>
          <w:sz w:val="28"/>
          <w:szCs w:val="28"/>
          <w:lang w:eastAsia="pl-PL"/>
        </w:rPr>
        <w:t>z</w:t>
      </w:r>
      <w:r w:rsidR="00474856">
        <w:rPr>
          <w:rFonts w:eastAsia="Times New Roman" w:cstheme="minorHAnsi"/>
          <w:sz w:val="28"/>
          <w:szCs w:val="28"/>
          <w:lang w:eastAsia="pl-PL"/>
        </w:rPr>
        <w:t> </w:t>
      </w:r>
      <w:r>
        <w:rPr>
          <w:rFonts w:eastAsia="Times New Roman" w:cstheme="minorHAnsi"/>
          <w:sz w:val="28"/>
          <w:szCs w:val="28"/>
          <w:lang w:eastAsia="pl-PL"/>
        </w:rPr>
        <w:t>decyzją oraz dokumentacją sprawy w Urzędzie Miejskim w Śremie, ul. </w:t>
      </w:r>
      <w:r>
        <w:rPr>
          <w:rFonts w:cstheme="minorHAnsi"/>
          <w:sz w:val="28"/>
          <w:szCs w:val="28"/>
        </w:rPr>
        <w:t>Plac 20 Października 1</w:t>
      </w:r>
      <w:r>
        <w:rPr>
          <w:rFonts w:eastAsia="Times New Roman" w:cstheme="minorHAnsi"/>
          <w:sz w:val="28"/>
          <w:szCs w:val="28"/>
          <w:lang w:eastAsia="pl-PL"/>
        </w:rPr>
        <w:t>, biuro nr 34, w godzinach od 7:00 do 15:00.</w:t>
      </w:r>
    </w:p>
    <w:p w14:paraId="087CA7C1" w14:textId="77777777" w:rsidR="00E43A7B" w:rsidRPr="003A76C5" w:rsidRDefault="00E43A7B" w:rsidP="00E43A7B">
      <w:pPr>
        <w:spacing w:after="120" w:line="240" w:lineRule="auto"/>
        <w:ind w:firstLine="708"/>
        <w:jc w:val="both"/>
        <w:rPr>
          <w:rFonts w:eastAsia="Times New Roman" w:cstheme="minorHAnsi"/>
          <w:sz w:val="28"/>
          <w:szCs w:val="28"/>
          <w:lang w:eastAsia="pl-PL"/>
        </w:rPr>
      </w:pPr>
    </w:p>
    <w:p w14:paraId="5E8E26B0" w14:textId="77777777" w:rsidR="004922DB" w:rsidRPr="003A76C5" w:rsidRDefault="004922DB" w:rsidP="004922DB">
      <w:pPr>
        <w:spacing w:after="120" w:line="240" w:lineRule="auto"/>
        <w:ind w:left="4395"/>
        <w:jc w:val="center"/>
        <w:rPr>
          <w:rFonts w:eastAsia="Times New Roman" w:cstheme="minorHAnsi"/>
          <w:sz w:val="28"/>
          <w:szCs w:val="28"/>
          <w:lang w:eastAsia="pl-PL"/>
        </w:rPr>
      </w:pPr>
      <w:r w:rsidRPr="003A76C5">
        <w:rPr>
          <w:rFonts w:eastAsia="Times New Roman" w:cstheme="minorHAnsi"/>
          <w:sz w:val="28"/>
          <w:szCs w:val="28"/>
          <w:lang w:eastAsia="pl-PL"/>
        </w:rPr>
        <w:t>Adam Lewandowski</w:t>
      </w:r>
    </w:p>
    <w:p w14:paraId="0E6F27ED" w14:textId="77777777" w:rsidR="004922DB" w:rsidRPr="003A76C5" w:rsidRDefault="004922DB" w:rsidP="004922DB">
      <w:pPr>
        <w:spacing w:after="120" w:line="240" w:lineRule="auto"/>
        <w:ind w:left="4395"/>
        <w:jc w:val="center"/>
        <w:rPr>
          <w:rFonts w:eastAsia="Times New Roman" w:cstheme="minorHAnsi"/>
          <w:i/>
          <w:sz w:val="28"/>
          <w:szCs w:val="28"/>
          <w:lang w:eastAsia="pl-PL"/>
        </w:rPr>
      </w:pPr>
      <w:r w:rsidRPr="003A76C5">
        <w:rPr>
          <w:rFonts w:eastAsia="Times New Roman" w:cstheme="minorHAnsi"/>
          <w:sz w:val="28"/>
          <w:szCs w:val="28"/>
          <w:lang w:eastAsia="pl-PL"/>
        </w:rPr>
        <w:t>Burmistrz Śremu</w:t>
      </w:r>
    </w:p>
    <w:p w14:paraId="76350865" w14:textId="77777777" w:rsidR="005A07CF" w:rsidRPr="005A07CF" w:rsidRDefault="005A07CF" w:rsidP="005A07CF">
      <w:pPr>
        <w:spacing w:after="120" w:line="240" w:lineRule="auto"/>
        <w:jc w:val="both"/>
        <w:rPr>
          <w:rFonts w:eastAsia="Times New Roman" w:cstheme="minorHAnsi"/>
          <w:sz w:val="28"/>
          <w:szCs w:val="28"/>
          <w:lang w:eastAsia="pl-PL"/>
        </w:rPr>
      </w:pPr>
    </w:p>
    <w:p w14:paraId="6B8FF1DE" w14:textId="328881B5" w:rsidR="005A07CF" w:rsidRPr="00B46641" w:rsidRDefault="005A07CF" w:rsidP="005A07CF">
      <w:pPr>
        <w:spacing w:after="120" w:line="240" w:lineRule="auto"/>
        <w:jc w:val="both"/>
        <w:rPr>
          <w:rFonts w:eastAsia="Times New Roman" w:cstheme="minorHAnsi"/>
          <w:color w:val="FF0000"/>
          <w:sz w:val="28"/>
          <w:szCs w:val="28"/>
          <w:lang w:eastAsia="pl-PL"/>
        </w:rPr>
      </w:pPr>
      <w:r w:rsidRPr="005A07CF">
        <w:rPr>
          <w:rFonts w:eastAsia="Times New Roman" w:cstheme="minorHAnsi"/>
          <w:sz w:val="28"/>
          <w:szCs w:val="28"/>
          <w:lang w:eastAsia="pl-PL"/>
        </w:rPr>
        <w:t xml:space="preserve">Wywieszono: </w:t>
      </w:r>
      <w:r w:rsidR="00A108DE">
        <w:rPr>
          <w:rFonts w:eastAsia="Times New Roman" w:cstheme="minorHAnsi"/>
          <w:sz w:val="28"/>
          <w:szCs w:val="28"/>
          <w:lang w:eastAsia="pl-PL"/>
        </w:rPr>
        <w:t>16</w:t>
      </w:r>
      <w:r w:rsidR="00C725C5">
        <w:rPr>
          <w:rFonts w:eastAsia="Times New Roman" w:cstheme="minorHAnsi"/>
          <w:sz w:val="28"/>
          <w:szCs w:val="28"/>
          <w:lang w:eastAsia="pl-PL"/>
        </w:rPr>
        <w:t>.12</w:t>
      </w:r>
      <w:r w:rsidR="00474856">
        <w:rPr>
          <w:rFonts w:eastAsia="Times New Roman" w:cstheme="minorHAnsi"/>
          <w:sz w:val="28"/>
          <w:szCs w:val="28"/>
          <w:lang w:eastAsia="pl-PL"/>
        </w:rPr>
        <w:t>.2022 r.</w:t>
      </w:r>
    </w:p>
    <w:p w14:paraId="0C3EB023" w14:textId="00A395FC" w:rsidR="005A07CF" w:rsidRPr="005A07CF" w:rsidRDefault="005A07CF" w:rsidP="005A07CF">
      <w:pPr>
        <w:spacing w:after="120" w:line="240" w:lineRule="auto"/>
        <w:jc w:val="both"/>
        <w:rPr>
          <w:rFonts w:eastAsia="Calibri" w:cstheme="minorHAnsi"/>
          <w:sz w:val="28"/>
          <w:szCs w:val="28"/>
        </w:rPr>
      </w:pPr>
      <w:r w:rsidRPr="005A07CF">
        <w:rPr>
          <w:rFonts w:eastAsia="Calibri" w:cstheme="minorHAnsi"/>
          <w:sz w:val="28"/>
          <w:szCs w:val="28"/>
        </w:rPr>
        <w:t>Zdjęto:</w:t>
      </w:r>
      <w:r w:rsidR="002B73BE">
        <w:rPr>
          <w:rFonts w:eastAsia="Calibri" w:cstheme="minorHAnsi"/>
          <w:sz w:val="28"/>
          <w:szCs w:val="28"/>
        </w:rPr>
        <w:t xml:space="preserve"> ……………………………..</w:t>
      </w:r>
    </w:p>
    <w:p w14:paraId="5BF7E423" w14:textId="77777777" w:rsidR="005A07CF" w:rsidRPr="005A07CF" w:rsidRDefault="005A07CF" w:rsidP="005A07CF">
      <w:pPr>
        <w:spacing w:after="120" w:line="240" w:lineRule="auto"/>
        <w:rPr>
          <w:rFonts w:cstheme="minorHAnsi"/>
          <w:sz w:val="28"/>
          <w:szCs w:val="28"/>
        </w:rPr>
      </w:pPr>
    </w:p>
    <w:p w14:paraId="4FF8001C" w14:textId="77777777" w:rsidR="005A07CF" w:rsidRPr="005A07CF" w:rsidRDefault="005A07CF" w:rsidP="005A07CF">
      <w:pPr>
        <w:tabs>
          <w:tab w:val="center" w:pos="4536"/>
          <w:tab w:val="right" w:pos="9072"/>
        </w:tabs>
        <w:spacing w:after="0" w:line="240" w:lineRule="auto"/>
        <w:jc w:val="center"/>
        <w:rPr>
          <w:sz w:val="28"/>
          <w:szCs w:val="28"/>
        </w:rPr>
      </w:pPr>
    </w:p>
    <w:p w14:paraId="72DB93D4" w14:textId="77777777" w:rsidR="00FA4478" w:rsidRPr="003A76C5" w:rsidRDefault="00E43A7B" w:rsidP="00FA4478">
      <w:pPr>
        <w:spacing w:after="0" w:line="240" w:lineRule="auto"/>
        <w:ind w:right="5668"/>
        <w:jc w:val="center"/>
        <w:rPr>
          <w:rFonts w:cstheme="minorHAnsi"/>
          <w:bCs/>
          <w:sz w:val="28"/>
          <w:szCs w:val="28"/>
        </w:rPr>
      </w:pPr>
      <w:r w:rsidRPr="00E43A7B">
        <w:rPr>
          <w:rFonts w:ascii="Calibri" w:eastAsia="SimSun" w:hAnsi="Calibri" w:cs="Calibri"/>
          <w:color w:val="000000"/>
          <w:sz w:val="28"/>
          <w:szCs w:val="28"/>
          <w:lang w:eastAsia="hi-IN" w:bidi="hi-IN"/>
        </w:rPr>
        <w:br w:type="page"/>
      </w:r>
      <w:r w:rsidR="00FA4478" w:rsidRPr="003A76C5">
        <w:rPr>
          <w:rFonts w:cstheme="minorHAnsi"/>
          <w:bCs/>
          <w:sz w:val="28"/>
          <w:szCs w:val="28"/>
        </w:rPr>
        <w:lastRenderedPageBreak/>
        <w:t>Burmistrz Śremu</w:t>
      </w:r>
    </w:p>
    <w:p w14:paraId="6CC30EB2" w14:textId="77777777" w:rsidR="00FA4478" w:rsidRPr="003A76C5" w:rsidRDefault="00FA4478" w:rsidP="00FA4478">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1217A50C" w14:textId="77777777" w:rsidR="00FA4478" w:rsidRPr="003A76C5" w:rsidRDefault="00FA4478" w:rsidP="00FA4478">
      <w:pPr>
        <w:spacing w:after="0" w:line="240" w:lineRule="auto"/>
        <w:ind w:right="5668"/>
        <w:jc w:val="center"/>
        <w:rPr>
          <w:rFonts w:cstheme="minorHAnsi"/>
          <w:bCs/>
          <w:sz w:val="28"/>
          <w:szCs w:val="28"/>
        </w:rPr>
      </w:pPr>
      <w:r w:rsidRPr="003A76C5">
        <w:rPr>
          <w:rFonts w:cstheme="minorHAnsi"/>
          <w:bCs/>
          <w:sz w:val="28"/>
          <w:szCs w:val="28"/>
        </w:rPr>
        <w:t>63</w:t>
      </w:r>
      <w:r>
        <w:rPr>
          <w:rFonts w:cstheme="minorHAnsi"/>
          <w:bCs/>
          <w:sz w:val="28"/>
          <w:szCs w:val="28"/>
        </w:rPr>
        <w:t xml:space="preserve"> – </w:t>
      </w:r>
      <w:r w:rsidRPr="003A76C5">
        <w:rPr>
          <w:rFonts w:cstheme="minorHAnsi"/>
          <w:bCs/>
          <w:sz w:val="28"/>
          <w:szCs w:val="28"/>
        </w:rPr>
        <w:t>100 Śrem</w:t>
      </w:r>
    </w:p>
    <w:p w14:paraId="6EA9D200" w14:textId="302383DE" w:rsidR="00C725C5" w:rsidRPr="00C725C5" w:rsidRDefault="00C725C5" w:rsidP="00C725C5">
      <w:pPr>
        <w:jc w:val="right"/>
        <w:rPr>
          <w:rFonts w:cstheme="minorHAnsi"/>
          <w:sz w:val="28"/>
          <w:szCs w:val="28"/>
        </w:rPr>
      </w:pPr>
      <w:r w:rsidRPr="00C725C5">
        <w:rPr>
          <w:rFonts w:cstheme="minorHAnsi"/>
          <w:sz w:val="28"/>
          <w:szCs w:val="28"/>
        </w:rPr>
        <w:t>Śrem, 15 grudnia 2022 roku</w:t>
      </w:r>
    </w:p>
    <w:p w14:paraId="03EA2B09" w14:textId="77777777" w:rsidR="00C725C5" w:rsidRPr="00C725C5" w:rsidRDefault="00C725C5" w:rsidP="00C725C5">
      <w:pPr>
        <w:spacing w:after="120" w:line="240" w:lineRule="auto"/>
        <w:jc w:val="both"/>
        <w:rPr>
          <w:rFonts w:cstheme="minorHAnsi"/>
          <w:sz w:val="28"/>
          <w:szCs w:val="28"/>
        </w:rPr>
      </w:pPr>
      <w:r w:rsidRPr="00C725C5">
        <w:rPr>
          <w:rFonts w:cstheme="minorHAnsi"/>
          <w:sz w:val="28"/>
          <w:szCs w:val="28"/>
        </w:rPr>
        <w:t>PPSPP.6730.5.2022.GMON</w:t>
      </w:r>
    </w:p>
    <w:p w14:paraId="0FF4010F" w14:textId="5D86B290" w:rsidR="00C725C5" w:rsidRPr="00C725C5" w:rsidRDefault="00C725C5" w:rsidP="00FA4478">
      <w:pPr>
        <w:spacing w:after="120" w:line="240" w:lineRule="auto"/>
        <w:jc w:val="center"/>
        <w:rPr>
          <w:rFonts w:cstheme="minorHAnsi"/>
          <w:sz w:val="28"/>
          <w:szCs w:val="28"/>
        </w:rPr>
      </w:pPr>
      <w:r w:rsidRPr="00C725C5">
        <w:rPr>
          <w:rFonts w:cstheme="minorHAnsi"/>
          <w:sz w:val="28"/>
          <w:szCs w:val="28"/>
        </w:rPr>
        <w:t>Decyzja nr 107/2022</w:t>
      </w:r>
      <w:r w:rsidRPr="00C725C5">
        <w:rPr>
          <w:rFonts w:cstheme="minorHAnsi"/>
          <w:sz w:val="28"/>
          <w:szCs w:val="28"/>
        </w:rPr>
        <w:br/>
        <w:t xml:space="preserve"> o warunkach zabudowy</w:t>
      </w:r>
    </w:p>
    <w:p w14:paraId="1ED96428" w14:textId="77777777" w:rsidR="00C725C5" w:rsidRPr="00C725C5" w:rsidRDefault="00C725C5" w:rsidP="00C725C5">
      <w:pPr>
        <w:spacing w:after="120" w:line="240" w:lineRule="auto"/>
        <w:ind w:firstLine="567"/>
        <w:jc w:val="both"/>
        <w:rPr>
          <w:rFonts w:cstheme="minorHAnsi"/>
          <w:sz w:val="28"/>
          <w:szCs w:val="28"/>
        </w:rPr>
      </w:pPr>
      <w:r w:rsidRPr="00C725C5">
        <w:rPr>
          <w:rFonts w:cstheme="minorHAnsi"/>
          <w:sz w:val="28"/>
          <w:szCs w:val="28"/>
        </w:rPr>
        <w:t>Na podstawie art. 4 ust. 2 pkt 2 w związku z art. 59 ust. 1 i ust. 2, art. 60 ust. 1 i ust. 1a ustawy z dnia 27 marca 2003 r. o planowaniu i zagospodarowaniu przestrzennym (Dz. U. z 2022 r. poz. 503, 1846 i 2185), zwanej dalej u.p.z.p., oraz art. 104 ustawy z dnia 14 czerwca 1960 r. – Kodeks postępowania administracyjnego (Dz. U. z 2022 r. poz. 2000 i 2185), po rozpatrzeniu wniosku złożonego 11.01.2022 r., uzupełnionego 04.11.2022 r. i zmienionego 18.11.2022 r. i 15.12.2022 r., przez:</w:t>
      </w:r>
    </w:p>
    <w:p w14:paraId="14E425DB" w14:textId="368A23CC" w:rsidR="00C725C5" w:rsidRPr="00C725C5" w:rsidRDefault="00A108DE" w:rsidP="00C725C5">
      <w:pPr>
        <w:spacing w:after="120" w:line="240" w:lineRule="auto"/>
        <w:jc w:val="center"/>
        <w:rPr>
          <w:rFonts w:cstheme="minorHAnsi"/>
          <w:sz w:val="28"/>
          <w:szCs w:val="28"/>
        </w:rPr>
      </w:pPr>
      <w:r>
        <w:rPr>
          <w:rFonts w:cstheme="minorHAnsi"/>
          <w:sz w:val="28"/>
          <w:szCs w:val="28"/>
        </w:rPr>
        <w:t>Osobę fizyczną</w:t>
      </w:r>
    </w:p>
    <w:p w14:paraId="0F8CF570" w14:textId="77777777" w:rsidR="00C725C5" w:rsidRPr="00C725C5" w:rsidRDefault="00C725C5" w:rsidP="00C725C5">
      <w:pPr>
        <w:spacing w:after="120" w:line="240" w:lineRule="auto"/>
        <w:jc w:val="both"/>
        <w:rPr>
          <w:rFonts w:cstheme="minorHAnsi"/>
          <w:iCs/>
          <w:color w:val="FF0000"/>
          <w:sz w:val="24"/>
          <w:szCs w:val="24"/>
        </w:rPr>
      </w:pPr>
      <w:r w:rsidRPr="00C725C5">
        <w:rPr>
          <w:rFonts w:cstheme="minorHAnsi"/>
          <w:sz w:val="28"/>
          <w:szCs w:val="28"/>
        </w:rPr>
        <w:t>w sprawie ustalenia warunków zabudowy dla przedsięwzięcia:</w:t>
      </w:r>
      <w:r w:rsidRPr="00C725C5">
        <w:rPr>
          <w:rFonts w:cstheme="minorHAnsi"/>
          <w:sz w:val="28"/>
        </w:rPr>
        <w:t xml:space="preserve"> </w:t>
      </w:r>
      <w:r w:rsidRPr="00C725C5">
        <w:rPr>
          <w:rFonts w:ascii="Calibri" w:hAnsi="Calibri" w:cs="Calibri"/>
          <w:sz w:val="28"/>
        </w:rPr>
        <w:t>budowa budynku gospodarczego, rozbudowa budynku inwentarskiego i rozbudowa płyty obornikowej na terenie działki o nr ewid. 413, obręb Nochowo</w:t>
      </w:r>
      <w:r w:rsidRPr="00C725C5">
        <w:rPr>
          <w:rFonts w:cstheme="minorHAnsi"/>
          <w:sz w:val="28"/>
          <w:szCs w:val="28"/>
        </w:rPr>
        <w:t>,</w:t>
      </w:r>
    </w:p>
    <w:p w14:paraId="2DB089FA" w14:textId="77777777" w:rsidR="00C725C5" w:rsidRPr="00C725C5" w:rsidRDefault="00C725C5" w:rsidP="00C725C5">
      <w:pPr>
        <w:spacing w:after="120" w:line="240" w:lineRule="auto"/>
        <w:jc w:val="center"/>
        <w:rPr>
          <w:rFonts w:cstheme="minorHAnsi"/>
          <w:sz w:val="28"/>
          <w:szCs w:val="28"/>
        </w:rPr>
      </w:pPr>
      <w:r w:rsidRPr="00C725C5">
        <w:rPr>
          <w:rFonts w:cstheme="minorHAnsi"/>
          <w:sz w:val="28"/>
          <w:szCs w:val="28"/>
        </w:rPr>
        <w:t>ustalam</w:t>
      </w:r>
      <w:r w:rsidRPr="00C725C5">
        <w:rPr>
          <w:rFonts w:cstheme="minorHAnsi"/>
          <w:sz w:val="28"/>
          <w:szCs w:val="28"/>
        </w:rPr>
        <w:br/>
        <w:t xml:space="preserve"> na rzecz Wnioskodawcy</w:t>
      </w:r>
      <w:r w:rsidRPr="00C725C5">
        <w:rPr>
          <w:rFonts w:cstheme="minorHAnsi"/>
          <w:sz w:val="28"/>
          <w:szCs w:val="28"/>
        </w:rPr>
        <w:br/>
        <w:t xml:space="preserve"> następujące warunki zabudowy i zagospodarowania terenu:</w:t>
      </w:r>
    </w:p>
    <w:p w14:paraId="68AA0FD0" w14:textId="77777777" w:rsidR="00C725C5" w:rsidRPr="00C725C5" w:rsidRDefault="00C725C5" w:rsidP="00C725C5">
      <w:pPr>
        <w:numPr>
          <w:ilvl w:val="0"/>
          <w:numId w:val="31"/>
        </w:numPr>
        <w:tabs>
          <w:tab w:val="left" w:pos="426"/>
        </w:tabs>
        <w:spacing w:after="120" w:line="240" w:lineRule="auto"/>
        <w:ind w:left="414" w:hanging="357"/>
        <w:contextualSpacing/>
        <w:jc w:val="both"/>
        <w:rPr>
          <w:rFonts w:cstheme="minorHAnsi"/>
          <w:sz w:val="28"/>
          <w:szCs w:val="28"/>
        </w:rPr>
      </w:pPr>
      <w:r w:rsidRPr="00C725C5">
        <w:rPr>
          <w:rFonts w:cstheme="minorHAnsi"/>
          <w:sz w:val="28"/>
          <w:szCs w:val="28"/>
        </w:rPr>
        <w:t>Opis inwestycji:</w:t>
      </w:r>
    </w:p>
    <w:p w14:paraId="5F2D9027" w14:textId="77777777" w:rsidR="00C725C5" w:rsidRPr="00C725C5" w:rsidRDefault="00C725C5" w:rsidP="00C725C5">
      <w:pPr>
        <w:numPr>
          <w:ilvl w:val="0"/>
          <w:numId w:val="13"/>
        </w:numPr>
        <w:tabs>
          <w:tab w:val="left" w:pos="567"/>
        </w:tabs>
        <w:spacing w:after="120" w:line="240" w:lineRule="auto"/>
        <w:ind w:left="567"/>
        <w:contextualSpacing/>
        <w:jc w:val="both"/>
        <w:rPr>
          <w:rFonts w:cstheme="minorHAnsi"/>
          <w:sz w:val="28"/>
          <w:szCs w:val="28"/>
        </w:rPr>
      </w:pPr>
      <w:r w:rsidRPr="00C725C5">
        <w:rPr>
          <w:rFonts w:cstheme="minorHAnsi"/>
          <w:sz w:val="28"/>
          <w:szCs w:val="28"/>
        </w:rPr>
        <w:t>rodzaj: budynek gospodarczy, budynek inwentarski, płyta obornikowa;</w:t>
      </w:r>
    </w:p>
    <w:p w14:paraId="72001017" w14:textId="77777777" w:rsidR="00C725C5" w:rsidRPr="00C725C5" w:rsidRDefault="00C725C5" w:rsidP="00C725C5">
      <w:pPr>
        <w:numPr>
          <w:ilvl w:val="0"/>
          <w:numId w:val="13"/>
        </w:numPr>
        <w:tabs>
          <w:tab w:val="left" w:pos="567"/>
        </w:tabs>
        <w:spacing w:after="120" w:line="240" w:lineRule="auto"/>
        <w:ind w:left="567"/>
        <w:contextualSpacing/>
        <w:jc w:val="both"/>
        <w:rPr>
          <w:rFonts w:cstheme="minorHAnsi"/>
          <w:sz w:val="28"/>
          <w:szCs w:val="28"/>
        </w:rPr>
      </w:pPr>
      <w:r w:rsidRPr="00C725C5">
        <w:rPr>
          <w:rFonts w:cstheme="minorHAnsi"/>
          <w:sz w:val="28"/>
          <w:szCs w:val="28"/>
        </w:rPr>
        <w:t>lokalizacja: działka o nr ewid. 413, obręb Nochowo, zgodnie z liniami rozgraniczającymi teren inwestycji wyznaczonymi na mapie, stanowiącej załącznik nr 1 do decyzji;</w:t>
      </w:r>
    </w:p>
    <w:p w14:paraId="07764017" w14:textId="77777777" w:rsidR="00C725C5" w:rsidRPr="00C725C5" w:rsidRDefault="00C725C5" w:rsidP="00C725C5">
      <w:pPr>
        <w:numPr>
          <w:ilvl w:val="0"/>
          <w:numId w:val="13"/>
        </w:numPr>
        <w:tabs>
          <w:tab w:val="left" w:pos="567"/>
        </w:tabs>
        <w:spacing w:after="120" w:line="240" w:lineRule="auto"/>
        <w:ind w:left="567"/>
        <w:contextualSpacing/>
        <w:jc w:val="both"/>
        <w:rPr>
          <w:rFonts w:cstheme="minorHAnsi"/>
          <w:sz w:val="28"/>
          <w:szCs w:val="28"/>
        </w:rPr>
      </w:pPr>
      <w:r w:rsidRPr="00C725C5">
        <w:rPr>
          <w:rFonts w:cstheme="minorHAnsi"/>
          <w:sz w:val="28"/>
          <w:szCs w:val="28"/>
        </w:rPr>
        <w:t>funkcja zabudowy i zagospodarowania terenu: rolnicza, w tym zabudowa zagrodowa.</w:t>
      </w:r>
    </w:p>
    <w:p w14:paraId="5E855E0A" w14:textId="77777777" w:rsidR="00C725C5" w:rsidRPr="00C725C5" w:rsidRDefault="00C725C5" w:rsidP="00C725C5">
      <w:pPr>
        <w:numPr>
          <w:ilvl w:val="0"/>
          <w:numId w:val="31"/>
        </w:numPr>
        <w:tabs>
          <w:tab w:val="left" w:pos="426"/>
        </w:tabs>
        <w:spacing w:after="120" w:line="240" w:lineRule="auto"/>
        <w:ind w:left="414" w:hanging="357"/>
        <w:contextualSpacing/>
        <w:jc w:val="both"/>
        <w:rPr>
          <w:rFonts w:cstheme="minorHAnsi"/>
          <w:sz w:val="28"/>
          <w:szCs w:val="28"/>
        </w:rPr>
      </w:pPr>
      <w:r w:rsidRPr="00C725C5">
        <w:rPr>
          <w:rFonts w:cstheme="minorHAnsi"/>
          <w:sz w:val="28"/>
          <w:szCs w:val="28"/>
        </w:rPr>
        <w:t>Warunki i szczegółowe zasady zagospodarowania terenu oraz jego zabudowy wynikające z przepisów odrębnych w zakresie:</w:t>
      </w:r>
    </w:p>
    <w:p w14:paraId="3D757B80" w14:textId="77777777" w:rsidR="00C725C5" w:rsidRPr="00C725C5" w:rsidRDefault="00C725C5" w:rsidP="00C725C5">
      <w:pPr>
        <w:numPr>
          <w:ilvl w:val="0"/>
          <w:numId w:val="14"/>
        </w:numPr>
        <w:tabs>
          <w:tab w:val="left" w:pos="567"/>
        </w:tabs>
        <w:spacing w:after="120" w:line="240" w:lineRule="auto"/>
        <w:ind w:left="567"/>
        <w:contextualSpacing/>
        <w:jc w:val="both"/>
        <w:rPr>
          <w:rFonts w:cstheme="minorHAnsi"/>
          <w:sz w:val="28"/>
          <w:szCs w:val="28"/>
        </w:rPr>
      </w:pPr>
      <w:r w:rsidRPr="00C725C5">
        <w:rPr>
          <w:rFonts w:cstheme="minorHAnsi"/>
          <w:sz w:val="28"/>
          <w:szCs w:val="28"/>
        </w:rPr>
        <w:t>warunków i wymagań ochrony i kształtowania ładu przestrzennego:</w:t>
      </w:r>
    </w:p>
    <w:p w14:paraId="5F0FBD7B" w14:textId="77777777" w:rsidR="00C725C5" w:rsidRPr="00C725C5" w:rsidRDefault="00C725C5" w:rsidP="00C725C5">
      <w:pPr>
        <w:numPr>
          <w:ilvl w:val="0"/>
          <w:numId w:val="28"/>
        </w:numPr>
        <w:spacing w:after="120" w:line="240" w:lineRule="auto"/>
        <w:contextualSpacing/>
        <w:jc w:val="both"/>
        <w:rPr>
          <w:rFonts w:cstheme="minorHAnsi"/>
          <w:sz w:val="28"/>
          <w:szCs w:val="28"/>
        </w:rPr>
      </w:pPr>
      <w:r w:rsidRPr="00C725C5">
        <w:rPr>
          <w:rFonts w:cstheme="minorHAnsi"/>
          <w:sz w:val="28"/>
          <w:szCs w:val="28"/>
        </w:rPr>
        <w:t>linia zabudowy: wyznaczona jako nieprzekraczalna i oznaczająca linię wyznaczającą najmniejszą odległość, w której mogą być zlokalizowane zewnętrzne krawędzie ścian zewnętrznych budynków, w odległości 20,0 m od zewnętrznej krawędzi jezdni drogi wojewódzkiej – ul. Śremskiej oraz w odległości 6,0 m od granicy drogi wewnętrznej – ul. Łąkowej, zgodnie z załącznikiem nr 1 do decyzji, przy czym:</w:t>
      </w:r>
    </w:p>
    <w:p w14:paraId="79E50BAB" w14:textId="77777777" w:rsidR="00C725C5" w:rsidRPr="00C725C5" w:rsidRDefault="00C725C5" w:rsidP="00C725C5">
      <w:pPr>
        <w:numPr>
          <w:ilvl w:val="0"/>
          <w:numId w:val="35"/>
        </w:numPr>
        <w:spacing w:after="120" w:line="240" w:lineRule="auto"/>
        <w:contextualSpacing/>
        <w:jc w:val="both"/>
        <w:rPr>
          <w:rFonts w:cstheme="minorHAnsi"/>
          <w:sz w:val="28"/>
          <w:szCs w:val="28"/>
        </w:rPr>
      </w:pPr>
      <w:r w:rsidRPr="00C725C5">
        <w:rPr>
          <w:rFonts w:cstheme="minorHAnsi"/>
          <w:sz w:val="28"/>
          <w:szCs w:val="28"/>
        </w:rPr>
        <w:lastRenderedPageBreak/>
        <w:t xml:space="preserve">okapy i gzymsy, mogą wykraczać przed nieprzekraczalne linie zabudowy o nie więcej niż 0,8 m, </w:t>
      </w:r>
    </w:p>
    <w:p w14:paraId="62FDA637" w14:textId="77777777" w:rsidR="00C725C5" w:rsidRPr="00C725C5" w:rsidRDefault="00C725C5" w:rsidP="00C725C5">
      <w:pPr>
        <w:numPr>
          <w:ilvl w:val="0"/>
          <w:numId w:val="35"/>
        </w:numPr>
        <w:spacing w:after="120" w:line="240" w:lineRule="auto"/>
        <w:contextualSpacing/>
        <w:jc w:val="both"/>
        <w:rPr>
          <w:rFonts w:cstheme="minorHAnsi"/>
          <w:sz w:val="28"/>
          <w:szCs w:val="28"/>
        </w:rPr>
      </w:pPr>
      <w:r w:rsidRPr="00C725C5">
        <w:rPr>
          <w:rFonts w:cstheme="minorHAnsi"/>
          <w:sz w:val="28"/>
          <w:szCs w:val="28"/>
        </w:rPr>
        <w:t>zadaszenia wejściowe, mogą wykraczać poza nieprzekraczalne linie zabudowy o nie więcej niż 1,5 m,</w:t>
      </w:r>
    </w:p>
    <w:p w14:paraId="37DE7901" w14:textId="77777777" w:rsidR="00C725C5" w:rsidRPr="00C725C5" w:rsidRDefault="00C725C5" w:rsidP="00C725C5">
      <w:pPr>
        <w:numPr>
          <w:ilvl w:val="0"/>
          <w:numId w:val="28"/>
        </w:numPr>
        <w:spacing w:after="120" w:line="240" w:lineRule="auto"/>
        <w:contextualSpacing/>
        <w:jc w:val="both"/>
        <w:rPr>
          <w:rFonts w:cstheme="minorHAnsi"/>
          <w:sz w:val="28"/>
          <w:szCs w:val="28"/>
        </w:rPr>
      </w:pPr>
      <w:r w:rsidRPr="00C725C5">
        <w:rPr>
          <w:rFonts w:cstheme="minorHAnsi"/>
          <w:sz w:val="28"/>
          <w:szCs w:val="28"/>
        </w:rPr>
        <w:t>wskaźnik powierzchni zabudowy (istniejącej i projektowanej)</w:t>
      </w:r>
      <w:r w:rsidRPr="00C725C5">
        <w:rPr>
          <w:rFonts w:cstheme="minorHAnsi"/>
          <w:sz w:val="28"/>
          <w:szCs w:val="28"/>
          <w:vertAlign w:val="superscript"/>
        </w:rPr>
        <w:footnoteReference w:id="1"/>
      </w:r>
      <w:r w:rsidRPr="00C725C5">
        <w:rPr>
          <w:rFonts w:cstheme="minorHAnsi"/>
          <w:sz w:val="28"/>
          <w:szCs w:val="28"/>
        </w:rPr>
        <w:t>: od 3,2 % do 5,0 % powierzchni terenu,</w:t>
      </w:r>
    </w:p>
    <w:p w14:paraId="6CD4D9DA" w14:textId="77777777" w:rsidR="00C725C5" w:rsidRPr="00C725C5" w:rsidRDefault="00C725C5" w:rsidP="00C725C5">
      <w:pPr>
        <w:numPr>
          <w:ilvl w:val="0"/>
          <w:numId w:val="28"/>
        </w:numPr>
        <w:spacing w:after="120" w:line="240" w:lineRule="auto"/>
        <w:contextualSpacing/>
        <w:jc w:val="both"/>
        <w:rPr>
          <w:rFonts w:cstheme="minorHAnsi"/>
          <w:sz w:val="28"/>
          <w:szCs w:val="28"/>
        </w:rPr>
      </w:pPr>
      <w:r w:rsidRPr="00C725C5">
        <w:rPr>
          <w:rFonts w:cstheme="minorHAnsi"/>
          <w:sz w:val="28"/>
          <w:szCs w:val="28"/>
        </w:rPr>
        <w:t>powierzchnia biologicznie czynna: nie mniej niż 50 % powierzchni terenu,</w:t>
      </w:r>
    </w:p>
    <w:p w14:paraId="3CB66CC4" w14:textId="77777777" w:rsidR="00C725C5" w:rsidRPr="00C725C5" w:rsidRDefault="00C725C5" w:rsidP="00C725C5">
      <w:pPr>
        <w:numPr>
          <w:ilvl w:val="0"/>
          <w:numId w:val="28"/>
        </w:numPr>
        <w:spacing w:after="120" w:line="240" w:lineRule="auto"/>
        <w:contextualSpacing/>
        <w:jc w:val="both"/>
        <w:rPr>
          <w:rFonts w:cstheme="minorHAnsi"/>
          <w:sz w:val="28"/>
          <w:szCs w:val="28"/>
        </w:rPr>
      </w:pPr>
      <w:r w:rsidRPr="00C725C5">
        <w:rPr>
          <w:rFonts w:cstheme="minorHAnsi"/>
          <w:sz w:val="28"/>
          <w:szCs w:val="28"/>
        </w:rPr>
        <w:t>parametry budynku gospodarczego:</w:t>
      </w:r>
    </w:p>
    <w:p w14:paraId="3D777CAF" w14:textId="77777777" w:rsidR="00C725C5" w:rsidRPr="00C725C5" w:rsidRDefault="00C725C5" w:rsidP="00C725C5">
      <w:pPr>
        <w:numPr>
          <w:ilvl w:val="0"/>
          <w:numId w:val="39"/>
        </w:numPr>
        <w:spacing w:after="120" w:line="240" w:lineRule="auto"/>
        <w:ind w:left="993"/>
        <w:contextualSpacing/>
        <w:jc w:val="both"/>
        <w:rPr>
          <w:rFonts w:cstheme="minorHAnsi"/>
          <w:sz w:val="28"/>
          <w:szCs w:val="28"/>
        </w:rPr>
      </w:pPr>
      <w:r w:rsidRPr="00C725C5">
        <w:rPr>
          <w:rFonts w:cstheme="minorHAnsi"/>
          <w:sz w:val="28"/>
          <w:szCs w:val="28"/>
        </w:rPr>
        <w:t>szerokość elewacji frontowej</w:t>
      </w:r>
      <w:r w:rsidRPr="00C725C5">
        <w:rPr>
          <w:rFonts w:cstheme="minorHAnsi"/>
          <w:sz w:val="28"/>
          <w:szCs w:val="28"/>
          <w:vertAlign w:val="superscript"/>
        </w:rPr>
        <w:footnoteReference w:id="2"/>
      </w:r>
      <w:r w:rsidRPr="00C725C5">
        <w:rPr>
          <w:rFonts w:cstheme="minorHAnsi"/>
          <w:sz w:val="28"/>
          <w:szCs w:val="28"/>
        </w:rPr>
        <w:t>: od 11,0 m do 11,5 m,</w:t>
      </w:r>
    </w:p>
    <w:p w14:paraId="2BF72B7A" w14:textId="77777777" w:rsidR="00C725C5" w:rsidRPr="00C725C5" w:rsidRDefault="00C725C5" w:rsidP="00C725C5">
      <w:pPr>
        <w:numPr>
          <w:ilvl w:val="0"/>
          <w:numId w:val="39"/>
        </w:numPr>
        <w:spacing w:after="120" w:line="240" w:lineRule="auto"/>
        <w:ind w:left="993"/>
        <w:contextualSpacing/>
        <w:jc w:val="both"/>
        <w:rPr>
          <w:rFonts w:cstheme="minorHAnsi"/>
          <w:sz w:val="28"/>
          <w:szCs w:val="28"/>
        </w:rPr>
      </w:pPr>
      <w:r w:rsidRPr="00C725C5">
        <w:rPr>
          <w:rFonts w:cstheme="minorHAnsi"/>
          <w:sz w:val="28"/>
          <w:szCs w:val="28"/>
        </w:rPr>
        <w:t>wysokość górnej krawędzi elewacji frontowej: od 5,8 m do 6,5 m,</w:t>
      </w:r>
    </w:p>
    <w:p w14:paraId="444BC25C" w14:textId="77777777" w:rsidR="00C725C5" w:rsidRPr="00C725C5" w:rsidRDefault="00C725C5" w:rsidP="00C725C5">
      <w:pPr>
        <w:numPr>
          <w:ilvl w:val="0"/>
          <w:numId w:val="39"/>
        </w:numPr>
        <w:spacing w:after="120" w:line="240" w:lineRule="auto"/>
        <w:ind w:left="993"/>
        <w:contextualSpacing/>
        <w:jc w:val="both"/>
        <w:rPr>
          <w:rFonts w:cstheme="minorHAnsi"/>
          <w:sz w:val="28"/>
          <w:szCs w:val="28"/>
        </w:rPr>
      </w:pPr>
      <w:r w:rsidRPr="00C725C5">
        <w:rPr>
          <w:rFonts w:cstheme="minorHAnsi"/>
          <w:sz w:val="28"/>
          <w:szCs w:val="28"/>
        </w:rPr>
        <w:t>liczba kondygnacji nadziemnych: 1,</w:t>
      </w:r>
    </w:p>
    <w:p w14:paraId="296C1180" w14:textId="77777777" w:rsidR="00C725C5" w:rsidRPr="00C725C5" w:rsidRDefault="00C725C5" w:rsidP="00C725C5">
      <w:pPr>
        <w:numPr>
          <w:ilvl w:val="0"/>
          <w:numId w:val="39"/>
        </w:numPr>
        <w:spacing w:after="120" w:line="240" w:lineRule="auto"/>
        <w:ind w:left="993"/>
        <w:contextualSpacing/>
        <w:jc w:val="both"/>
        <w:rPr>
          <w:rFonts w:cstheme="minorHAnsi"/>
          <w:sz w:val="28"/>
          <w:szCs w:val="28"/>
        </w:rPr>
      </w:pPr>
      <w:r w:rsidRPr="00C725C5">
        <w:rPr>
          <w:rFonts w:cstheme="minorHAnsi"/>
          <w:sz w:val="28"/>
          <w:szCs w:val="28"/>
        </w:rPr>
        <w:t>geometria dachu:</w:t>
      </w:r>
    </w:p>
    <w:p w14:paraId="31E81951" w14:textId="77777777" w:rsidR="00C725C5" w:rsidRPr="00C725C5" w:rsidRDefault="00C725C5" w:rsidP="00C725C5">
      <w:pPr>
        <w:spacing w:after="120" w:line="240" w:lineRule="auto"/>
        <w:ind w:left="993"/>
        <w:jc w:val="both"/>
        <w:rPr>
          <w:rFonts w:cstheme="minorHAnsi"/>
          <w:sz w:val="28"/>
          <w:szCs w:val="28"/>
        </w:rPr>
      </w:pPr>
      <w:r w:rsidRPr="00C725C5">
        <w:rPr>
          <w:rFonts w:cstheme="minorHAnsi"/>
          <w:sz w:val="28"/>
          <w:szCs w:val="28"/>
        </w:rPr>
        <w:t>- - kąt nachylenia głównych połaci dachu: nie większy niż 5°,</w:t>
      </w:r>
    </w:p>
    <w:p w14:paraId="30200CA5" w14:textId="77777777" w:rsidR="00C725C5" w:rsidRPr="00C725C5" w:rsidRDefault="00C725C5" w:rsidP="00C725C5">
      <w:pPr>
        <w:spacing w:after="120" w:line="240" w:lineRule="auto"/>
        <w:ind w:left="993"/>
        <w:jc w:val="both"/>
        <w:rPr>
          <w:rFonts w:cstheme="minorHAnsi"/>
          <w:sz w:val="28"/>
          <w:szCs w:val="28"/>
        </w:rPr>
      </w:pPr>
      <w:r w:rsidRPr="00C725C5">
        <w:rPr>
          <w:rFonts w:cstheme="minorHAnsi"/>
          <w:sz w:val="28"/>
          <w:szCs w:val="28"/>
        </w:rPr>
        <w:t>- - wysokość głównej kalenicy budynku: od 6,0 m do 6,5 m,</w:t>
      </w:r>
    </w:p>
    <w:p w14:paraId="5891F613" w14:textId="77777777" w:rsidR="00C725C5" w:rsidRPr="00C725C5" w:rsidRDefault="00C725C5" w:rsidP="00C725C5">
      <w:pPr>
        <w:spacing w:after="120" w:line="240" w:lineRule="auto"/>
        <w:ind w:left="993"/>
        <w:jc w:val="both"/>
        <w:rPr>
          <w:rFonts w:cstheme="minorHAnsi"/>
          <w:sz w:val="28"/>
          <w:szCs w:val="28"/>
        </w:rPr>
      </w:pPr>
      <w:r w:rsidRPr="00C725C5">
        <w:rPr>
          <w:rFonts w:cstheme="minorHAnsi"/>
          <w:sz w:val="28"/>
          <w:szCs w:val="28"/>
        </w:rPr>
        <w:t>- - układ połaci dachowych: jednospadowy,</w:t>
      </w:r>
    </w:p>
    <w:p w14:paraId="729A1276" w14:textId="77777777" w:rsidR="00C725C5" w:rsidRPr="00C725C5" w:rsidRDefault="00C725C5" w:rsidP="00C725C5">
      <w:pPr>
        <w:spacing w:after="120" w:line="240" w:lineRule="auto"/>
        <w:ind w:left="993"/>
        <w:jc w:val="both"/>
        <w:rPr>
          <w:rFonts w:cstheme="minorHAnsi"/>
          <w:sz w:val="28"/>
          <w:szCs w:val="28"/>
        </w:rPr>
      </w:pPr>
      <w:r w:rsidRPr="00C725C5">
        <w:rPr>
          <w:rFonts w:cstheme="minorHAnsi"/>
          <w:sz w:val="28"/>
          <w:szCs w:val="28"/>
        </w:rPr>
        <w:t>- - kierunek głównej kalenicy dachu: szczytowy,</w:t>
      </w:r>
    </w:p>
    <w:p w14:paraId="1BC337B9" w14:textId="77777777" w:rsidR="00C725C5" w:rsidRPr="00C725C5" w:rsidRDefault="00C725C5" w:rsidP="00C725C5">
      <w:pPr>
        <w:numPr>
          <w:ilvl w:val="0"/>
          <w:numId w:val="28"/>
        </w:numPr>
        <w:spacing w:after="120" w:line="240" w:lineRule="auto"/>
        <w:contextualSpacing/>
        <w:jc w:val="both"/>
        <w:rPr>
          <w:rFonts w:cstheme="minorHAnsi"/>
          <w:sz w:val="28"/>
          <w:szCs w:val="28"/>
        </w:rPr>
      </w:pPr>
      <w:r w:rsidRPr="00C725C5">
        <w:rPr>
          <w:rFonts w:cstheme="minorHAnsi"/>
          <w:sz w:val="28"/>
          <w:szCs w:val="28"/>
        </w:rPr>
        <w:t>parametry budynku inwentarskiego po rozbudowie:</w:t>
      </w:r>
    </w:p>
    <w:p w14:paraId="2B3D7B9E" w14:textId="77777777" w:rsidR="00C725C5" w:rsidRPr="00C725C5" w:rsidRDefault="00C725C5" w:rsidP="00C725C5">
      <w:pPr>
        <w:numPr>
          <w:ilvl w:val="0"/>
          <w:numId w:val="40"/>
        </w:numPr>
        <w:spacing w:after="120" w:line="240" w:lineRule="auto"/>
        <w:ind w:left="993" w:hanging="284"/>
        <w:contextualSpacing/>
        <w:jc w:val="both"/>
        <w:rPr>
          <w:rFonts w:cstheme="minorHAnsi"/>
          <w:sz w:val="28"/>
          <w:szCs w:val="28"/>
        </w:rPr>
      </w:pPr>
      <w:r w:rsidRPr="00C725C5">
        <w:rPr>
          <w:rFonts w:cstheme="minorHAnsi"/>
          <w:sz w:val="28"/>
          <w:szCs w:val="28"/>
        </w:rPr>
        <w:t>szerokość elewacji frontowej: od 41,2 m do 45,5 m,</w:t>
      </w:r>
    </w:p>
    <w:p w14:paraId="70BC13D8" w14:textId="77777777" w:rsidR="00C725C5" w:rsidRPr="00C725C5" w:rsidRDefault="00C725C5" w:rsidP="00C725C5">
      <w:pPr>
        <w:numPr>
          <w:ilvl w:val="0"/>
          <w:numId w:val="40"/>
        </w:numPr>
        <w:spacing w:after="120" w:line="240" w:lineRule="auto"/>
        <w:ind w:left="993" w:hanging="284"/>
        <w:contextualSpacing/>
        <w:jc w:val="both"/>
        <w:rPr>
          <w:rFonts w:cstheme="minorHAnsi"/>
          <w:sz w:val="28"/>
          <w:szCs w:val="28"/>
        </w:rPr>
      </w:pPr>
      <w:r w:rsidRPr="00C725C5">
        <w:rPr>
          <w:rFonts w:cstheme="minorHAnsi"/>
          <w:sz w:val="28"/>
          <w:szCs w:val="28"/>
        </w:rPr>
        <w:t>wysokość górnej krawędzi elewacji frontowej: od 4,0 m do 6,0 m,</w:t>
      </w:r>
    </w:p>
    <w:p w14:paraId="7A522F30" w14:textId="77777777" w:rsidR="00C725C5" w:rsidRPr="00C725C5" w:rsidRDefault="00C725C5" w:rsidP="00C725C5">
      <w:pPr>
        <w:numPr>
          <w:ilvl w:val="0"/>
          <w:numId w:val="40"/>
        </w:numPr>
        <w:spacing w:after="120" w:line="240" w:lineRule="auto"/>
        <w:ind w:left="993" w:hanging="284"/>
        <w:contextualSpacing/>
        <w:jc w:val="both"/>
        <w:rPr>
          <w:rFonts w:cstheme="minorHAnsi"/>
          <w:sz w:val="28"/>
          <w:szCs w:val="28"/>
        </w:rPr>
      </w:pPr>
      <w:r w:rsidRPr="00C725C5">
        <w:rPr>
          <w:rFonts w:cstheme="minorHAnsi"/>
          <w:sz w:val="28"/>
          <w:szCs w:val="28"/>
        </w:rPr>
        <w:t>liczba kondygnacji nadziemnych: 1,</w:t>
      </w:r>
    </w:p>
    <w:p w14:paraId="3DE95008" w14:textId="77777777" w:rsidR="00C725C5" w:rsidRPr="00C725C5" w:rsidRDefault="00C725C5" w:rsidP="00C725C5">
      <w:pPr>
        <w:numPr>
          <w:ilvl w:val="0"/>
          <w:numId w:val="40"/>
        </w:numPr>
        <w:spacing w:after="120" w:line="240" w:lineRule="auto"/>
        <w:ind w:left="993" w:hanging="284"/>
        <w:contextualSpacing/>
        <w:jc w:val="both"/>
        <w:rPr>
          <w:rFonts w:cstheme="minorHAnsi"/>
          <w:sz w:val="28"/>
          <w:szCs w:val="28"/>
        </w:rPr>
      </w:pPr>
      <w:r w:rsidRPr="00C725C5">
        <w:rPr>
          <w:rFonts w:cstheme="minorHAnsi"/>
          <w:sz w:val="28"/>
          <w:szCs w:val="28"/>
        </w:rPr>
        <w:t>geometria dachu:</w:t>
      </w:r>
    </w:p>
    <w:p w14:paraId="3AB005AB" w14:textId="77777777" w:rsidR="00C725C5" w:rsidRPr="00C725C5" w:rsidRDefault="00C725C5" w:rsidP="00C725C5">
      <w:pPr>
        <w:spacing w:after="120" w:line="240" w:lineRule="auto"/>
        <w:ind w:left="1276" w:hanging="283"/>
        <w:jc w:val="both"/>
        <w:rPr>
          <w:rFonts w:cstheme="minorHAnsi"/>
          <w:sz w:val="28"/>
          <w:szCs w:val="28"/>
        </w:rPr>
      </w:pPr>
      <w:r w:rsidRPr="00C725C5">
        <w:rPr>
          <w:rFonts w:cstheme="minorHAnsi"/>
          <w:sz w:val="28"/>
          <w:szCs w:val="28"/>
        </w:rPr>
        <w:t>- - kąt nachylenia głównych połaci dachu: od 3° do 35°,</w:t>
      </w:r>
    </w:p>
    <w:p w14:paraId="0DD644E5" w14:textId="77777777" w:rsidR="00C725C5" w:rsidRPr="00C725C5" w:rsidRDefault="00C725C5" w:rsidP="00C725C5">
      <w:pPr>
        <w:spacing w:after="120" w:line="240" w:lineRule="auto"/>
        <w:ind w:left="1276" w:hanging="283"/>
        <w:jc w:val="both"/>
        <w:rPr>
          <w:rFonts w:cstheme="minorHAnsi"/>
          <w:sz w:val="28"/>
          <w:szCs w:val="28"/>
        </w:rPr>
      </w:pPr>
      <w:r w:rsidRPr="00C725C5">
        <w:rPr>
          <w:rFonts w:cstheme="minorHAnsi"/>
          <w:sz w:val="28"/>
          <w:szCs w:val="28"/>
        </w:rPr>
        <w:t>- - wysokość głównej kalenicy budynku: od 8,2 m do 8,5 m,</w:t>
      </w:r>
    </w:p>
    <w:p w14:paraId="701DBB83" w14:textId="77777777" w:rsidR="00C725C5" w:rsidRPr="00C725C5" w:rsidRDefault="00C725C5" w:rsidP="00C725C5">
      <w:pPr>
        <w:spacing w:after="120" w:line="240" w:lineRule="auto"/>
        <w:ind w:left="1276" w:hanging="283"/>
        <w:jc w:val="both"/>
        <w:rPr>
          <w:rFonts w:cstheme="minorHAnsi"/>
          <w:sz w:val="28"/>
          <w:szCs w:val="28"/>
        </w:rPr>
      </w:pPr>
      <w:r w:rsidRPr="00C725C5">
        <w:rPr>
          <w:rFonts w:cstheme="minorHAnsi"/>
          <w:sz w:val="28"/>
          <w:szCs w:val="28"/>
        </w:rPr>
        <w:t>- - układ połaci dachowych: dwuspadowy,</w:t>
      </w:r>
    </w:p>
    <w:p w14:paraId="3FAF84E1" w14:textId="77777777" w:rsidR="00C725C5" w:rsidRPr="00C725C5" w:rsidRDefault="00C725C5" w:rsidP="00C725C5">
      <w:pPr>
        <w:spacing w:after="120" w:line="240" w:lineRule="auto"/>
        <w:ind w:left="1276" w:hanging="283"/>
        <w:jc w:val="both"/>
        <w:rPr>
          <w:rFonts w:cstheme="minorHAnsi"/>
          <w:sz w:val="28"/>
          <w:szCs w:val="28"/>
        </w:rPr>
      </w:pPr>
      <w:r w:rsidRPr="00C725C5">
        <w:rPr>
          <w:rFonts w:cstheme="minorHAnsi"/>
          <w:sz w:val="28"/>
          <w:szCs w:val="28"/>
        </w:rPr>
        <w:t>- - kierunek głównej kalenicy dachu: kalenicowy,</w:t>
      </w:r>
    </w:p>
    <w:p w14:paraId="4B8981FB" w14:textId="77777777" w:rsidR="00C725C5" w:rsidRPr="00C725C5" w:rsidRDefault="00C725C5" w:rsidP="00C725C5">
      <w:pPr>
        <w:numPr>
          <w:ilvl w:val="0"/>
          <w:numId w:val="28"/>
        </w:numPr>
        <w:spacing w:after="120" w:line="240" w:lineRule="auto"/>
        <w:contextualSpacing/>
        <w:jc w:val="both"/>
        <w:rPr>
          <w:rFonts w:cstheme="minorHAnsi"/>
          <w:sz w:val="28"/>
          <w:szCs w:val="28"/>
        </w:rPr>
      </w:pPr>
      <w:r w:rsidRPr="00C725C5">
        <w:rPr>
          <w:rFonts w:cstheme="minorHAnsi"/>
          <w:sz w:val="28"/>
          <w:szCs w:val="28"/>
        </w:rPr>
        <w:t>powierzchnia płyty obornikowej: od 319 m</w:t>
      </w:r>
      <w:r w:rsidRPr="00C725C5">
        <w:rPr>
          <w:rFonts w:cstheme="minorHAnsi"/>
          <w:sz w:val="28"/>
          <w:szCs w:val="28"/>
          <w:vertAlign w:val="superscript"/>
        </w:rPr>
        <w:t>2</w:t>
      </w:r>
      <w:r w:rsidRPr="00C725C5">
        <w:rPr>
          <w:rFonts w:cstheme="minorHAnsi"/>
          <w:sz w:val="28"/>
          <w:szCs w:val="28"/>
        </w:rPr>
        <w:t xml:space="preserve"> do 359 m</w:t>
      </w:r>
      <w:r w:rsidRPr="00C725C5">
        <w:rPr>
          <w:rFonts w:cstheme="minorHAnsi"/>
          <w:sz w:val="28"/>
          <w:szCs w:val="28"/>
          <w:vertAlign w:val="superscript"/>
        </w:rPr>
        <w:t>2</w:t>
      </w:r>
      <w:r w:rsidRPr="00C725C5">
        <w:rPr>
          <w:rFonts w:cstheme="minorHAnsi"/>
          <w:sz w:val="28"/>
          <w:szCs w:val="28"/>
        </w:rPr>
        <w:t>;</w:t>
      </w:r>
    </w:p>
    <w:p w14:paraId="754C56A4" w14:textId="77777777" w:rsidR="00C725C5" w:rsidRPr="00C725C5" w:rsidRDefault="00C725C5" w:rsidP="00C725C5">
      <w:pPr>
        <w:numPr>
          <w:ilvl w:val="0"/>
          <w:numId w:val="14"/>
        </w:numPr>
        <w:spacing w:after="0" w:line="240" w:lineRule="auto"/>
        <w:ind w:left="567"/>
        <w:contextualSpacing/>
        <w:jc w:val="both"/>
        <w:rPr>
          <w:rFonts w:cs="Times New Roman"/>
          <w:sz w:val="28"/>
          <w:szCs w:val="28"/>
        </w:rPr>
      </w:pPr>
      <w:r w:rsidRPr="00C725C5">
        <w:rPr>
          <w:rFonts w:cs="Times New Roman"/>
          <w:sz w:val="28"/>
          <w:szCs w:val="28"/>
        </w:rPr>
        <w:lastRenderedPageBreak/>
        <w:t xml:space="preserve">ochrony środowiska i zdrowia ludzi oraz dziedzictwa kulturowego i zabytków oraz dóbr kultury współczesnej: </w:t>
      </w:r>
    </w:p>
    <w:p w14:paraId="0CA4D754" w14:textId="77777777" w:rsidR="00C725C5" w:rsidRPr="00C725C5" w:rsidRDefault="00C725C5" w:rsidP="00C725C5">
      <w:pPr>
        <w:numPr>
          <w:ilvl w:val="0"/>
          <w:numId w:val="36"/>
        </w:numPr>
        <w:spacing w:after="0" w:line="240" w:lineRule="auto"/>
        <w:ind w:left="714" w:hanging="357"/>
        <w:contextualSpacing/>
        <w:jc w:val="both"/>
        <w:rPr>
          <w:rFonts w:cs="Times New Roman"/>
          <w:sz w:val="28"/>
          <w:szCs w:val="28"/>
        </w:rPr>
      </w:pPr>
      <w:r w:rsidRPr="00C725C5">
        <w:rPr>
          <w:rFonts w:cs="Times New Roman"/>
          <w:sz w:val="28"/>
          <w:szCs w:val="28"/>
        </w:rPr>
        <w:t>konieczność ochrony wód, gleby i ziemi przed zanieczyszczeniem w związku z prowadzeniem gospodarki rolnej: zgodnie z ustaleniami decyzji Burmistrza Śremu znak PPSOŚ.6220.14.2022.BM o środowiskowych uwarunkowaniach z 12.10.2022 r.,</w:t>
      </w:r>
    </w:p>
    <w:p w14:paraId="2AE56DD6" w14:textId="77777777" w:rsidR="00C725C5" w:rsidRPr="00C725C5" w:rsidRDefault="00C725C5" w:rsidP="00C725C5">
      <w:pPr>
        <w:numPr>
          <w:ilvl w:val="0"/>
          <w:numId w:val="36"/>
        </w:numPr>
        <w:spacing w:after="0" w:line="240" w:lineRule="auto"/>
        <w:ind w:left="714" w:hanging="357"/>
        <w:contextualSpacing/>
        <w:jc w:val="both"/>
        <w:rPr>
          <w:rFonts w:cs="Times New Roman"/>
          <w:sz w:val="28"/>
          <w:szCs w:val="28"/>
        </w:rPr>
      </w:pPr>
      <w:r w:rsidRPr="00C725C5">
        <w:rPr>
          <w:rFonts w:ascii="Calibri" w:hAnsi="Calibri" w:cs="Calibri"/>
          <w:sz w:val="28"/>
          <w:szCs w:val="28"/>
        </w:rPr>
        <w:t xml:space="preserve">na części działki o nr ewid. 413, zlokalizowane jest zewidencjonowane stanowisko archeologiczne objęte ochroną konserwatorską i ujęte w wojewódzkiej ewidencji zabytków obszar </w:t>
      </w:r>
      <w:r w:rsidRPr="00C725C5">
        <w:rPr>
          <w:rFonts w:cstheme="minorHAnsi"/>
          <w:sz w:val="28"/>
        </w:rPr>
        <w:t>AZP 59-8/67</w:t>
      </w:r>
      <w:r w:rsidRPr="00C725C5">
        <w:rPr>
          <w:rFonts w:ascii="Calibri" w:hAnsi="Calibri" w:cs="Calibri"/>
          <w:sz w:val="28"/>
          <w:szCs w:val="28"/>
        </w:rPr>
        <w:t>, w związku z tym dla ochrony archeologicznego dziedzictwa kulturowego podczas prac ziemnych związanych z zabudowaniem lub zagospodarowaniem przedmiotowego terenu zastosowanie mają właściwe przepisy ustawy o ochronie zabytków i opiece nad zabytkami (Dz. U. z 2022 r. poz. 840</w:t>
      </w:r>
      <w:r w:rsidRPr="00C725C5">
        <w:rPr>
          <w:rFonts w:cs="Times New Roman"/>
          <w:sz w:val="28"/>
          <w:szCs w:val="28"/>
        </w:rPr>
        <w:t xml:space="preserve">) - </w:t>
      </w:r>
      <w:r w:rsidRPr="00C725C5">
        <w:rPr>
          <w:rFonts w:ascii="Calibri" w:hAnsi="Calibri" w:cs="Calibri"/>
          <w:b/>
          <w:bCs/>
          <w:sz w:val="28"/>
          <w:szCs w:val="28"/>
        </w:rPr>
        <w:t>wnioskowana inwestycja zlokalizowana jest poza tym obszarem</w:t>
      </w:r>
      <w:r w:rsidRPr="00C725C5">
        <w:rPr>
          <w:rFonts w:ascii="Calibri" w:hAnsi="Calibri" w:cs="Calibri"/>
          <w:sz w:val="28"/>
          <w:szCs w:val="28"/>
        </w:rPr>
        <w:t>,</w:t>
      </w:r>
    </w:p>
    <w:p w14:paraId="3EB366AF" w14:textId="77777777" w:rsidR="00C725C5" w:rsidRPr="00C725C5" w:rsidRDefault="00C725C5" w:rsidP="00C725C5">
      <w:pPr>
        <w:numPr>
          <w:ilvl w:val="0"/>
          <w:numId w:val="36"/>
        </w:numPr>
        <w:spacing w:after="0" w:line="240" w:lineRule="auto"/>
        <w:ind w:left="714" w:hanging="357"/>
        <w:contextualSpacing/>
        <w:jc w:val="both"/>
        <w:rPr>
          <w:rFonts w:cs="Times New Roman"/>
          <w:sz w:val="28"/>
          <w:szCs w:val="28"/>
        </w:rPr>
      </w:pPr>
      <w:r w:rsidRPr="00C725C5">
        <w:rPr>
          <w:rFonts w:cs="Times New Roman"/>
          <w:sz w:val="28"/>
          <w:szCs w:val="28"/>
        </w:rPr>
        <w:t>dla przedmiotowej inwestycji wydana została przez Burmistrza Śremu decyzja znak PPSOŚ.6220.14.2022.BM z 12.10.2022 r. (ostateczna 15.11.2022 r.) o środowiskowych uwarunkowaniach dla przedsięwzięcia polegającego na rozbudowie gospodarstwa rolnego na terenie działki o nr ewid. 413, obręb Nochowo, w której stwierdzono brak potrzeby przeprowadzenia oddziaływania na środowisko dla planowanego przedsięwzięcia oraz określono istotne warunki korzystania ze środowiska w fazie realizacji i eksploatacji lub użytkowania przedsięwzięcia,</w:t>
      </w:r>
    </w:p>
    <w:p w14:paraId="03772D68" w14:textId="77777777" w:rsidR="00C725C5" w:rsidRPr="00C725C5" w:rsidRDefault="00C725C5" w:rsidP="00C725C5">
      <w:pPr>
        <w:numPr>
          <w:ilvl w:val="0"/>
          <w:numId w:val="36"/>
        </w:numPr>
        <w:spacing w:after="0" w:line="240" w:lineRule="auto"/>
        <w:ind w:left="714" w:hanging="357"/>
        <w:contextualSpacing/>
        <w:jc w:val="both"/>
        <w:rPr>
          <w:rFonts w:cs="Times New Roman"/>
          <w:sz w:val="28"/>
          <w:szCs w:val="28"/>
        </w:rPr>
      </w:pPr>
      <w:r w:rsidRPr="00C725C5">
        <w:rPr>
          <w:rFonts w:cs="Times New Roman"/>
          <w:sz w:val="28"/>
          <w:szCs w:val="28"/>
        </w:rPr>
        <w:t xml:space="preserve">liczba DJP dla gospodarstwa rolnego po rozbudowie: nie więcej niż 145,3; </w:t>
      </w:r>
    </w:p>
    <w:p w14:paraId="0E159C7E" w14:textId="77777777" w:rsidR="00C725C5" w:rsidRPr="00C725C5" w:rsidRDefault="00C725C5" w:rsidP="00C725C5">
      <w:pPr>
        <w:numPr>
          <w:ilvl w:val="0"/>
          <w:numId w:val="14"/>
        </w:numPr>
        <w:spacing w:after="120" w:line="240" w:lineRule="auto"/>
        <w:ind w:left="567"/>
        <w:contextualSpacing/>
        <w:jc w:val="both"/>
        <w:rPr>
          <w:rFonts w:cstheme="minorHAnsi"/>
          <w:sz w:val="28"/>
          <w:szCs w:val="28"/>
        </w:rPr>
      </w:pPr>
      <w:r w:rsidRPr="00C725C5">
        <w:rPr>
          <w:rFonts w:cstheme="minorHAnsi"/>
          <w:sz w:val="28"/>
          <w:szCs w:val="28"/>
        </w:rPr>
        <w:t>obsługi w zakresie infrastruktury technicznej i komunikacji:</w:t>
      </w:r>
    </w:p>
    <w:p w14:paraId="6E21399B" w14:textId="77777777" w:rsidR="00C725C5" w:rsidRPr="00C725C5" w:rsidRDefault="00C725C5" w:rsidP="00C725C5">
      <w:pPr>
        <w:numPr>
          <w:ilvl w:val="0"/>
          <w:numId w:val="15"/>
        </w:numPr>
        <w:tabs>
          <w:tab w:val="left" w:pos="709"/>
        </w:tabs>
        <w:spacing w:after="120" w:line="240" w:lineRule="auto"/>
        <w:contextualSpacing/>
        <w:jc w:val="both"/>
        <w:rPr>
          <w:rFonts w:cstheme="minorHAnsi"/>
          <w:sz w:val="28"/>
          <w:szCs w:val="28"/>
        </w:rPr>
      </w:pPr>
      <w:r w:rsidRPr="00C725C5">
        <w:rPr>
          <w:rFonts w:cstheme="minorHAnsi"/>
          <w:sz w:val="28"/>
          <w:szCs w:val="28"/>
        </w:rPr>
        <w:t>sposób zaopatrzenia w wodę: sieć wodociągowa (opinia Śremskich Wodociągów Sp. z o.o. z 30.11.2021 r.),</w:t>
      </w:r>
    </w:p>
    <w:p w14:paraId="0BABD31E" w14:textId="77777777" w:rsidR="00C725C5" w:rsidRPr="00C725C5" w:rsidRDefault="00C725C5" w:rsidP="00C725C5">
      <w:pPr>
        <w:numPr>
          <w:ilvl w:val="0"/>
          <w:numId w:val="15"/>
        </w:numPr>
        <w:tabs>
          <w:tab w:val="left" w:pos="709"/>
        </w:tabs>
        <w:spacing w:after="120" w:line="240" w:lineRule="auto"/>
        <w:contextualSpacing/>
        <w:jc w:val="both"/>
        <w:rPr>
          <w:rFonts w:cstheme="minorHAnsi"/>
          <w:sz w:val="28"/>
          <w:szCs w:val="28"/>
        </w:rPr>
      </w:pPr>
      <w:r w:rsidRPr="00C725C5">
        <w:rPr>
          <w:rFonts w:cstheme="minorHAnsi"/>
          <w:sz w:val="28"/>
          <w:szCs w:val="28"/>
        </w:rPr>
        <w:t>sposób zaopatrzenia w energię elektryczną: sieć elektroenergetyczna (oświadczenie ENEA Operator Sp. z o.o. z 30.11.2021 r.),</w:t>
      </w:r>
    </w:p>
    <w:p w14:paraId="59CED746" w14:textId="77777777" w:rsidR="00C725C5" w:rsidRPr="00C725C5" w:rsidRDefault="00C725C5" w:rsidP="00C725C5">
      <w:pPr>
        <w:numPr>
          <w:ilvl w:val="0"/>
          <w:numId w:val="15"/>
        </w:numPr>
        <w:tabs>
          <w:tab w:val="left" w:pos="709"/>
        </w:tabs>
        <w:spacing w:after="120" w:line="240" w:lineRule="auto"/>
        <w:contextualSpacing/>
        <w:jc w:val="both"/>
        <w:rPr>
          <w:rFonts w:cstheme="minorHAnsi"/>
          <w:sz w:val="28"/>
          <w:szCs w:val="28"/>
        </w:rPr>
      </w:pPr>
      <w:r w:rsidRPr="00C725C5">
        <w:rPr>
          <w:rFonts w:cstheme="minorHAnsi"/>
          <w:sz w:val="28"/>
          <w:szCs w:val="28"/>
        </w:rPr>
        <w:t>należy uwzględnić ograniczenia wynikające z występowania uzbrojenia technicznego, uzyskać stosowne oświadczenia i warunki od właściwych jednostek oraz wykonać inwestycję w sposób zapewniający zachowanie sprawności użytkowej urządzeń,</w:t>
      </w:r>
    </w:p>
    <w:p w14:paraId="6F258D2A" w14:textId="77777777" w:rsidR="00C725C5" w:rsidRPr="00C725C5" w:rsidRDefault="00C725C5" w:rsidP="00C725C5">
      <w:pPr>
        <w:numPr>
          <w:ilvl w:val="0"/>
          <w:numId w:val="15"/>
        </w:numPr>
        <w:tabs>
          <w:tab w:val="left" w:pos="709"/>
        </w:tabs>
        <w:spacing w:after="120" w:line="240" w:lineRule="auto"/>
        <w:contextualSpacing/>
        <w:jc w:val="both"/>
        <w:rPr>
          <w:rFonts w:cstheme="minorHAnsi"/>
          <w:sz w:val="28"/>
          <w:szCs w:val="28"/>
        </w:rPr>
      </w:pPr>
      <w:r w:rsidRPr="00C725C5">
        <w:rPr>
          <w:rFonts w:cstheme="minorHAnsi"/>
          <w:sz w:val="28"/>
          <w:szCs w:val="28"/>
        </w:rPr>
        <w:t>gospodarowanie odpadami: zgodnie z przepisami odrębnymi,</w:t>
      </w:r>
    </w:p>
    <w:p w14:paraId="0EA58450" w14:textId="77777777" w:rsidR="00C725C5" w:rsidRPr="00C725C5" w:rsidRDefault="00C725C5" w:rsidP="00C725C5">
      <w:pPr>
        <w:numPr>
          <w:ilvl w:val="0"/>
          <w:numId w:val="15"/>
        </w:numPr>
        <w:tabs>
          <w:tab w:val="left" w:pos="709"/>
        </w:tabs>
        <w:spacing w:after="120" w:line="240" w:lineRule="auto"/>
        <w:contextualSpacing/>
        <w:jc w:val="both"/>
        <w:rPr>
          <w:rFonts w:cstheme="minorHAnsi"/>
          <w:sz w:val="24"/>
          <w:szCs w:val="24"/>
        </w:rPr>
      </w:pPr>
      <w:r w:rsidRPr="00C725C5">
        <w:rPr>
          <w:rFonts w:cstheme="minorHAnsi"/>
          <w:sz w:val="28"/>
          <w:szCs w:val="28"/>
        </w:rPr>
        <w:t xml:space="preserve">dostęp do drogi publicznej: </w:t>
      </w:r>
      <w:r w:rsidRPr="00C725C5">
        <w:rPr>
          <w:rFonts w:cs="Calibri"/>
          <w:sz w:val="28"/>
        </w:rPr>
        <w:t>pośredni do drogi wojewódzkiej – ul. Śremskiej (działki o nr ewid. 446/2), poprzez drogę wewnętrzną – ul. Łąkową (działkę o nr ewid. 378), poprzez istniejący zjazd</w:t>
      </w:r>
      <w:r w:rsidRPr="00C725C5">
        <w:rPr>
          <w:rFonts w:cstheme="minorHAnsi"/>
          <w:sz w:val="28"/>
          <w:szCs w:val="28"/>
        </w:rPr>
        <w:t>;</w:t>
      </w:r>
    </w:p>
    <w:p w14:paraId="7ED1B4DE" w14:textId="77777777" w:rsidR="00C725C5" w:rsidRPr="00C725C5" w:rsidRDefault="00C725C5" w:rsidP="00C725C5">
      <w:pPr>
        <w:tabs>
          <w:tab w:val="left" w:pos="709"/>
        </w:tabs>
        <w:spacing w:after="120" w:line="240" w:lineRule="auto"/>
        <w:ind w:left="720"/>
        <w:contextualSpacing/>
        <w:jc w:val="both"/>
        <w:rPr>
          <w:rFonts w:cstheme="minorHAnsi"/>
          <w:sz w:val="28"/>
          <w:szCs w:val="28"/>
        </w:rPr>
      </w:pPr>
    </w:p>
    <w:p w14:paraId="4E14B79C" w14:textId="77777777" w:rsidR="00C725C5" w:rsidRPr="00C725C5" w:rsidRDefault="00C725C5" w:rsidP="00C725C5">
      <w:pPr>
        <w:tabs>
          <w:tab w:val="left" w:pos="709"/>
        </w:tabs>
        <w:spacing w:after="120" w:line="240" w:lineRule="auto"/>
        <w:ind w:left="720"/>
        <w:contextualSpacing/>
        <w:jc w:val="both"/>
        <w:rPr>
          <w:rFonts w:cstheme="minorHAnsi"/>
          <w:sz w:val="24"/>
          <w:szCs w:val="24"/>
        </w:rPr>
      </w:pPr>
    </w:p>
    <w:p w14:paraId="0BD4CB65" w14:textId="77777777" w:rsidR="00C725C5" w:rsidRPr="00C725C5" w:rsidRDefault="00C725C5" w:rsidP="00C725C5">
      <w:pPr>
        <w:numPr>
          <w:ilvl w:val="0"/>
          <w:numId w:val="14"/>
        </w:numPr>
        <w:spacing w:after="120" w:line="240" w:lineRule="auto"/>
        <w:ind w:left="635" w:hanging="425"/>
        <w:contextualSpacing/>
        <w:jc w:val="both"/>
        <w:rPr>
          <w:rFonts w:cstheme="minorHAnsi"/>
          <w:sz w:val="28"/>
          <w:szCs w:val="28"/>
        </w:rPr>
      </w:pPr>
      <w:r w:rsidRPr="00C725C5">
        <w:rPr>
          <w:rFonts w:cstheme="minorHAnsi"/>
          <w:sz w:val="28"/>
          <w:szCs w:val="28"/>
        </w:rPr>
        <w:lastRenderedPageBreak/>
        <w:t>wymagań dotyczących ochrony interesów osób trzecich:</w:t>
      </w:r>
    </w:p>
    <w:p w14:paraId="7D8B8E7F" w14:textId="77777777" w:rsidR="00C725C5" w:rsidRPr="00C725C5" w:rsidRDefault="00C725C5" w:rsidP="00C725C5">
      <w:pPr>
        <w:numPr>
          <w:ilvl w:val="0"/>
          <w:numId w:val="16"/>
        </w:numPr>
        <w:spacing w:after="120" w:line="240" w:lineRule="auto"/>
        <w:contextualSpacing/>
        <w:jc w:val="both"/>
        <w:rPr>
          <w:rFonts w:cstheme="minorHAnsi"/>
          <w:sz w:val="28"/>
          <w:szCs w:val="28"/>
        </w:rPr>
      </w:pPr>
      <w:r w:rsidRPr="00C725C5">
        <w:rPr>
          <w:rFonts w:cstheme="minorHAnsi"/>
          <w:sz w:val="28"/>
          <w:szCs w:val="28"/>
        </w:rPr>
        <w:t xml:space="preserve">warunki ochrony przed pozbawieniem: </w:t>
      </w:r>
    </w:p>
    <w:p w14:paraId="6DE68FCD" w14:textId="77777777" w:rsidR="00C725C5" w:rsidRPr="00C725C5" w:rsidRDefault="00C725C5" w:rsidP="00C725C5">
      <w:pPr>
        <w:numPr>
          <w:ilvl w:val="0"/>
          <w:numId w:val="17"/>
        </w:numPr>
        <w:spacing w:after="120" w:line="240" w:lineRule="auto"/>
        <w:ind w:left="993" w:hanging="426"/>
        <w:contextualSpacing/>
        <w:jc w:val="both"/>
        <w:rPr>
          <w:rFonts w:cstheme="minorHAnsi"/>
          <w:sz w:val="28"/>
          <w:szCs w:val="28"/>
        </w:rPr>
      </w:pPr>
      <w:r w:rsidRPr="00C725C5">
        <w:rPr>
          <w:rFonts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41279A71" w14:textId="77777777" w:rsidR="00C725C5" w:rsidRPr="00C725C5" w:rsidRDefault="00C725C5" w:rsidP="00C725C5">
      <w:pPr>
        <w:numPr>
          <w:ilvl w:val="0"/>
          <w:numId w:val="17"/>
        </w:numPr>
        <w:spacing w:after="120" w:line="240" w:lineRule="auto"/>
        <w:ind w:left="993" w:hanging="426"/>
        <w:contextualSpacing/>
        <w:jc w:val="both"/>
        <w:rPr>
          <w:rFonts w:cstheme="minorHAnsi"/>
          <w:sz w:val="28"/>
          <w:szCs w:val="28"/>
        </w:rPr>
      </w:pPr>
      <w:r w:rsidRPr="00C725C5">
        <w:rPr>
          <w:rFonts w:cstheme="minorHAnsi"/>
          <w:sz w:val="28"/>
          <w:szCs w:val="28"/>
        </w:rPr>
        <w:t>dostępu światła dziennego do pomieszczeń przeznaczonych na pobyt ludzi – inwestycja i sposób zagospodarowania działki powinny spełniać wymogi zawarte w przepisach techniczno – budowlanych, a jednocześnie na etapie opracowania projektu budowlanego należy uwzględnić wymagania w zakresie ochrony uzasadnionych interesów osób trzecich,</w:t>
      </w:r>
    </w:p>
    <w:p w14:paraId="275CBB57" w14:textId="77777777" w:rsidR="00C725C5" w:rsidRPr="00C725C5" w:rsidRDefault="00C725C5" w:rsidP="00C725C5">
      <w:pPr>
        <w:numPr>
          <w:ilvl w:val="0"/>
          <w:numId w:val="16"/>
        </w:numPr>
        <w:spacing w:after="120" w:line="240" w:lineRule="auto"/>
        <w:contextualSpacing/>
        <w:jc w:val="both"/>
        <w:rPr>
          <w:rFonts w:cstheme="minorHAnsi"/>
          <w:sz w:val="28"/>
          <w:szCs w:val="28"/>
        </w:rPr>
      </w:pPr>
      <w:r w:rsidRPr="00C725C5">
        <w:rPr>
          <w:rFonts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2B8BCDBA" w14:textId="77777777" w:rsidR="00C725C5" w:rsidRPr="00C725C5" w:rsidRDefault="00C725C5" w:rsidP="00C725C5">
      <w:pPr>
        <w:numPr>
          <w:ilvl w:val="0"/>
          <w:numId w:val="31"/>
        </w:numPr>
        <w:tabs>
          <w:tab w:val="left" w:pos="426"/>
        </w:tabs>
        <w:spacing w:after="120" w:line="240" w:lineRule="auto"/>
        <w:ind w:left="414" w:hanging="357"/>
        <w:contextualSpacing/>
        <w:jc w:val="both"/>
        <w:rPr>
          <w:rFonts w:cstheme="minorHAnsi"/>
          <w:sz w:val="28"/>
          <w:szCs w:val="28"/>
        </w:rPr>
      </w:pPr>
      <w:r w:rsidRPr="00C725C5">
        <w:rPr>
          <w:rFonts w:cstheme="minorHAnsi"/>
          <w:sz w:val="28"/>
          <w:szCs w:val="28"/>
        </w:rPr>
        <w:t>Linie rozgraniczające teren inwestycji wyznaczone na mapie zasadniczej w skali 1:1000.</w:t>
      </w:r>
    </w:p>
    <w:p w14:paraId="2D60193C" w14:textId="77777777" w:rsidR="00C725C5" w:rsidRPr="00C725C5" w:rsidRDefault="00C725C5" w:rsidP="00C725C5">
      <w:pPr>
        <w:spacing w:after="120" w:line="240" w:lineRule="auto"/>
        <w:jc w:val="center"/>
        <w:rPr>
          <w:rFonts w:cstheme="minorHAnsi"/>
          <w:sz w:val="28"/>
          <w:szCs w:val="28"/>
        </w:rPr>
      </w:pPr>
      <w:r w:rsidRPr="00C725C5">
        <w:rPr>
          <w:rFonts w:cstheme="minorHAnsi"/>
          <w:sz w:val="28"/>
          <w:szCs w:val="28"/>
        </w:rPr>
        <w:t>Uzasadnienie</w:t>
      </w:r>
    </w:p>
    <w:p w14:paraId="5AB4E345" w14:textId="77777777" w:rsidR="00C725C5" w:rsidRPr="00C725C5" w:rsidRDefault="00C725C5" w:rsidP="00C725C5">
      <w:pPr>
        <w:spacing w:after="120" w:line="240" w:lineRule="auto"/>
        <w:ind w:firstLine="567"/>
        <w:jc w:val="both"/>
        <w:rPr>
          <w:rFonts w:cstheme="minorHAnsi"/>
          <w:sz w:val="28"/>
          <w:szCs w:val="28"/>
        </w:rPr>
      </w:pPr>
      <w:r w:rsidRPr="00C725C5">
        <w:rPr>
          <w:rFonts w:cstheme="minorHAnsi"/>
          <w:sz w:val="28"/>
          <w:szCs w:val="28"/>
        </w:rPr>
        <w:t>Stosownie do art. 4 ust. 2 pkt 2 u.p.z.p. w przypadku braku miejscowego planu zagospodarowania przestrzennego określenie sposobów zagospodarowania i warunków zabudowy terenu dla lokalizacji inwestycji innych niż celu publicznego następuje w drodze decyzji o warunkach zabudowy.</w:t>
      </w:r>
    </w:p>
    <w:p w14:paraId="687FAB0D" w14:textId="77777777" w:rsidR="00C725C5" w:rsidRPr="00C725C5" w:rsidRDefault="00C725C5" w:rsidP="00C725C5">
      <w:pPr>
        <w:spacing w:after="120" w:line="240" w:lineRule="auto"/>
        <w:ind w:firstLine="567"/>
        <w:jc w:val="both"/>
        <w:rPr>
          <w:sz w:val="28"/>
          <w:szCs w:val="28"/>
        </w:rPr>
      </w:pPr>
      <w:r w:rsidRPr="00C725C5">
        <w:rPr>
          <w:sz w:val="28"/>
          <w:szCs w:val="28"/>
        </w:rPr>
        <w:t>W myśl art. 59 ust. 1 i ust. 2 u.p.z.p.:</w:t>
      </w:r>
    </w:p>
    <w:p w14:paraId="04D1FB86" w14:textId="77777777" w:rsidR="00C725C5" w:rsidRPr="00C725C5" w:rsidRDefault="00C725C5" w:rsidP="00C725C5">
      <w:pPr>
        <w:numPr>
          <w:ilvl w:val="0"/>
          <w:numId w:val="34"/>
        </w:numPr>
        <w:tabs>
          <w:tab w:val="left" w:pos="993"/>
        </w:tabs>
        <w:spacing w:after="120" w:line="240" w:lineRule="auto"/>
        <w:ind w:left="0" w:firstLine="567"/>
        <w:contextualSpacing/>
        <w:jc w:val="both"/>
        <w:rPr>
          <w:sz w:val="28"/>
          <w:szCs w:val="28"/>
        </w:rPr>
      </w:pPr>
      <w:r w:rsidRPr="00C725C5">
        <w:rPr>
          <w:sz w:val="28"/>
          <w:szCs w:val="28"/>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06AB0971" w14:textId="77777777" w:rsidR="00C725C5" w:rsidRPr="00C725C5" w:rsidRDefault="00C725C5" w:rsidP="00C725C5">
      <w:pPr>
        <w:numPr>
          <w:ilvl w:val="0"/>
          <w:numId w:val="34"/>
        </w:numPr>
        <w:tabs>
          <w:tab w:val="left" w:pos="993"/>
        </w:tabs>
        <w:spacing w:after="120" w:line="240" w:lineRule="auto"/>
        <w:ind w:left="0" w:firstLine="567"/>
        <w:contextualSpacing/>
        <w:jc w:val="both"/>
        <w:rPr>
          <w:sz w:val="28"/>
          <w:szCs w:val="28"/>
        </w:rPr>
      </w:pPr>
      <w:r w:rsidRPr="00C725C5">
        <w:rPr>
          <w:sz w:val="28"/>
          <w:szCs w:val="28"/>
        </w:rPr>
        <w:t>powyższy przepis stosuje się również do zmiany zagospodarowania terenu, która nie wymaga pozwolenia na budowę, z wyjątkiem tymczasowej, jednorazowej zmiany zagospodarowania terenu, trwającej do roku.</w:t>
      </w:r>
    </w:p>
    <w:p w14:paraId="6A95EBA5" w14:textId="77777777" w:rsidR="00C725C5" w:rsidRPr="00C725C5" w:rsidRDefault="00C725C5" w:rsidP="00C725C5">
      <w:pPr>
        <w:tabs>
          <w:tab w:val="left" w:pos="993"/>
        </w:tabs>
        <w:spacing w:after="120" w:line="240" w:lineRule="auto"/>
        <w:ind w:left="567"/>
        <w:contextualSpacing/>
        <w:jc w:val="both"/>
        <w:rPr>
          <w:sz w:val="28"/>
          <w:szCs w:val="28"/>
        </w:rPr>
      </w:pPr>
    </w:p>
    <w:p w14:paraId="147E109B" w14:textId="77777777" w:rsidR="00C725C5" w:rsidRPr="00C725C5" w:rsidRDefault="00C725C5" w:rsidP="00C725C5">
      <w:pPr>
        <w:widowControl w:val="0"/>
        <w:autoSpaceDE w:val="0"/>
        <w:autoSpaceDN w:val="0"/>
        <w:adjustRightInd w:val="0"/>
        <w:spacing w:after="120" w:line="240" w:lineRule="auto"/>
        <w:ind w:right="-1" w:firstLine="567"/>
        <w:jc w:val="both"/>
        <w:rPr>
          <w:sz w:val="28"/>
          <w:szCs w:val="28"/>
        </w:rPr>
      </w:pPr>
      <w:r w:rsidRPr="00C725C5">
        <w:rPr>
          <w:sz w:val="28"/>
          <w:szCs w:val="28"/>
        </w:rPr>
        <w:lastRenderedPageBreak/>
        <w:t>Zgodnie z art. 60 ust. 1 i ust. 1a u.p.z.p. decyzję o warunkach zabudowy wydaje (…) wójt, burmistrz albo prezydent miasta po uzgodnieniu z organami, o których mowa w art. 53 ust. 4, i uzyskaniu uzgodnień lub decyzji wymaganych przepisami odrębnymi. Do decyzji o warunkach zabudowy stosuje się art. 53 ust. 5b i 5c u.p.z.p.</w:t>
      </w:r>
    </w:p>
    <w:p w14:paraId="434FC0DB" w14:textId="77777777" w:rsidR="00C725C5" w:rsidRPr="00C725C5" w:rsidRDefault="00C725C5" w:rsidP="00C725C5">
      <w:pPr>
        <w:widowControl w:val="0"/>
        <w:autoSpaceDE w:val="0"/>
        <w:autoSpaceDN w:val="0"/>
        <w:adjustRightInd w:val="0"/>
        <w:spacing w:after="120" w:line="240" w:lineRule="auto"/>
        <w:ind w:right="-1" w:firstLine="567"/>
        <w:jc w:val="both"/>
        <w:rPr>
          <w:sz w:val="28"/>
          <w:szCs w:val="28"/>
        </w:rPr>
      </w:pPr>
      <w:r w:rsidRPr="00C725C5">
        <w:rPr>
          <w:sz w:val="28"/>
          <w:szCs w:val="28"/>
        </w:rPr>
        <w:t>Stosownie do art. 104 § 1 i § 2 ustawy z dnia 14 czerwca 1960 r. – Kodeks postępowania administracyjnego organ administracji publicznej załatwia sprawę przez wydanie decyzji, chyba że przepisy kodeksu stanowią inaczej. Decyzje rozstrzygają sprawę co do jej istoty w całości lub w części albo w inny sposób kończą sprawę w danej instancji.</w:t>
      </w:r>
    </w:p>
    <w:p w14:paraId="65A67463" w14:textId="77777777" w:rsidR="00C725C5" w:rsidRPr="00C725C5" w:rsidRDefault="00C725C5" w:rsidP="00C725C5">
      <w:pPr>
        <w:tabs>
          <w:tab w:val="left" w:pos="993"/>
        </w:tabs>
        <w:spacing w:after="120" w:line="240" w:lineRule="auto"/>
        <w:ind w:firstLine="567"/>
        <w:jc w:val="both"/>
        <w:rPr>
          <w:rFonts w:cstheme="minorHAnsi"/>
          <w:sz w:val="28"/>
          <w:szCs w:val="28"/>
        </w:rPr>
      </w:pPr>
      <w:r w:rsidRPr="00C725C5">
        <w:rPr>
          <w:rFonts w:cstheme="minorHAnsi"/>
          <w:sz w:val="28"/>
          <w:szCs w:val="28"/>
        </w:rPr>
        <w:t xml:space="preserve">Do wniosku o ustalenie warunków zabudowy Wnioskodawca załączył charakterystykę zabudowy i zagospodarowania terenu, w tym przeznaczenia i gabarytów projektowanego obiektu budowlanego oraz powierzchni terenu podlegającej przekształceniu, przedstawioną w formie opisowej i graficznej, która znajduje się w aktach sprawy. Treść wniosku oraz załącznik graficzny do wniosku są ze sobą spójne. W części graficznej Wnioskodawca wskazał również </w:t>
      </w:r>
      <w:r w:rsidRPr="00C725C5">
        <w:rPr>
          <w:rFonts w:cstheme="minorHAnsi"/>
          <w:sz w:val="28"/>
        </w:rPr>
        <w:t>obszar, na który planowana inwestycja będzie oddziaływać</w:t>
      </w:r>
      <w:r w:rsidRPr="00C725C5">
        <w:rPr>
          <w:rFonts w:cstheme="minorHAnsi"/>
          <w:sz w:val="28"/>
          <w:szCs w:val="28"/>
        </w:rPr>
        <w:t xml:space="preserve">. Wniosek zatem był kompletny. </w:t>
      </w:r>
    </w:p>
    <w:p w14:paraId="3DCBEA35" w14:textId="77777777" w:rsidR="00C725C5" w:rsidRPr="00C725C5" w:rsidRDefault="00C725C5" w:rsidP="00C725C5">
      <w:pPr>
        <w:tabs>
          <w:tab w:val="left" w:pos="993"/>
        </w:tabs>
        <w:spacing w:after="120" w:line="240" w:lineRule="auto"/>
        <w:ind w:firstLine="567"/>
        <w:jc w:val="both"/>
        <w:rPr>
          <w:rFonts w:cstheme="minorHAnsi"/>
          <w:sz w:val="28"/>
          <w:szCs w:val="28"/>
        </w:rPr>
      </w:pPr>
      <w:r w:rsidRPr="00C725C5">
        <w:rPr>
          <w:rFonts w:cstheme="minorHAnsi"/>
          <w:sz w:val="28"/>
          <w:szCs w:val="28"/>
        </w:rPr>
        <w:t xml:space="preserve">01.02.2022 r. do Burmistrza Śremu wpłynęło pismo Pana Błażeja Dudziaka, w którym wnioskował o zawieszenie postępowania w niniejszej sprawie. 15.02.2022 r. Burmistrz Śremu zawiesił postępowanie. </w:t>
      </w:r>
    </w:p>
    <w:p w14:paraId="52E4D0D7" w14:textId="77777777" w:rsidR="00C725C5" w:rsidRPr="00C725C5" w:rsidRDefault="00C725C5" w:rsidP="00C725C5">
      <w:pPr>
        <w:tabs>
          <w:tab w:val="left" w:pos="993"/>
        </w:tabs>
        <w:spacing w:after="120" w:line="240" w:lineRule="auto"/>
        <w:ind w:firstLine="567"/>
        <w:jc w:val="both"/>
        <w:rPr>
          <w:rFonts w:cstheme="minorHAnsi"/>
          <w:sz w:val="28"/>
          <w:szCs w:val="28"/>
          <w:highlight w:val="yellow"/>
        </w:rPr>
      </w:pPr>
      <w:r w:rsidRPr="00C725C5">
        <w:rPr>
          <w:rFonts w:cstheme="minorHAnsi"/>
          <w:sz w:val="28"/>
          <w:szCs w:val="28"/>
        </w:rPr>
        <w:t xml:space="preserve">04.11.2022 r. do Burmistrza Śremu wpłynęło pismo Pana Błażeja Dudziaka. Wnioskodawca przedstawił decyzję o środowiskowych uwarunkowaniach, dołączył charakterystykę inwestycji oraz wniósł o podjęcie zawieszonego postępowania. 15.11.2022 r. Burmistrz podjął zawieszone postępowanie. </w:t>
      </w:r>
    </w:p>
    <w:p w14:paraId="2F2C9CED" w14:textId="77777777" w:rsidR="00C725C5" w:rsidRPr="00C725C5" w:rsidRDefault="00C725C5" w:rsidP="00C725C5">
      <w:pPr>
        <w:tabs>
          <w:tab w:val="left" w:pos="993"/>
        </w:tabs>
        <w:spacing w:after="120" w:line="240" w:lineRule="auto"/>
        <w:ind w:firstLine="567"/>
        <w:jc w:val="both"/>
        <w:rPr>
          <w:rFonts w:cstheme="minorHAnsi"/>
          <w:sz w:val="28"/>
          <w:szCs w:val="28"/>
        </w:rPr>
      </w:pPr>
      <w:r w:rsidRPr="00C725C5">
        <w:rPr>
          <w:rFonts w:cstheme="minorHAnsi"/>
          <w:sz w:val="28"/>
          <w:szCs w:val="28"/>
        </w:rPr>
        <w:t>Planowana inwestycja polega na rozbudowie istniejącego gospodarstwa rolnego. W ramach inwestycji przewiduje się budowę budynku gospodarczego, rozbudowę budynku inwentarskiego, które oznaczono na załączniku nr 1 do decyzji oraz rozbudowę płyty obornikowej o powierzchnię od 210 m</w:t>
      </w:r>
      <w:r w:rsidRPr="00C725C5">
        <w:rPr>
          <w:rFonts w:cstheme="minorHAnsi"/>
          <w:sz w:val="28"/>
          <w:szCs w:val="28"/>
          <w:vertAlign w:val="superscript"/>
        </w:rPr>
        <w:t xml:space="preserve">2 </w:t>
      </w:r>
      <w:r w:rsidRPr="00C725C5">
        <w:rPr>
          <w:rFonts w:cstheme="minorHAnsi"/>
          <w:sz w:val="28"/>
          <w:szCs w:val="28"/>
        </w:rPr>
        <w:t>do 250 m</w:t>
      </w:r>
      <w:r w:rsidRPr="00C725C5">
        <w:rPr>
          <w:rFonts w:cstheme="minorHAnsi"/>
          <w:sz w:val="28"/>
          <w:szCs w:val="28"/>
          <w:vertAlign w:val="superscript"/>
        </w:rPr>
        <w:t>2</w:t>
      </w:r>
      <w:r w:rsidRPr="00C725C5">
        <w:rPr>
          <w:rFonts w:cstheme="minorHAnsi"/>
          <w:sz w:val="28"/>
          <w:szCs w:val="28"/>
        </w:rPr>
        <w:t>. Planowany budynek gospodarczy ma mieć powierzchnię od 290 m</w:t>
      </w:r>
      <w:r w:rsidRPr="00C725C5">
        <w:rPr>
          <w:rFonts w:cstheme="minorHAnsi"/>
          <w:sz w:val="28"/>
          <w:szCs w:val="28"/>
          <w:vertAlign w:val="superscript"/>
        </w:rPr>
        <w:t>2</w:t>
      </w:r>
      <w:r w:rsidRPr="00C725C5">
        <w:rPr>
          <w:rFonts w:cstheme="minorHAnsi"/>
          <w:sz w:val="28"/>
          <w:szCs w:val="28"/>
        </w:rPr>
        <w:t xml:space="preserve"> do 320 m</w:t>
      </w:r>
      <w:r w:rsidRPr="00C725C5">
        <w:rPr>
          <w:rFonts w:cstheme="minorHAnsi"/>
          <w:sz w:val="28"/>
          <w:szCs w:val="28"/>
          <w:vertAlign w:val="superscript"/>
        </w:rPr>
        <w:t>2</w:t>
      </w:r>
      <w:r w:rsidRPr="00C725C5">
        <w:rPr>
          <w:rFonts w:cstheme="minorHAnsi"/>
          <w:sz w:val="28"/>
          <w:szCs w:val="28"/>
        </w:rPr>
        <w:t>, natomiast rozbudowa budynku inwentarskiego od 520 m</w:t>
      </w:r>
      <w:r w:rsidRPr="00C725C5">
        <w:rPr>
          <w:rFonts w:cstheme="minorHAnsi"/>
          <w:sz w:val="28"/>
          <w:szCs w:val="28"/>
          <w:vertAlign w:val="superscript"/>
        </w:rPr>
        <w:t>2</w:t>
      </w:r>
      <w:r w:rsidRPr="00C725C5">
        <w:rPr>
          <w:rFonts w:cstheme="minorHAnsi"/>
          <w:sz w:val="28"/>
          <w:szCs w:val="28"/>
        </w:rPr>
        <w:t xml:space="preserve"> do 580 m</w:t>
      </w:r>
      <w:r w:rsidRPr="00C725C5">
        <w:rPr>
          <w:rFonts w:cstheme="minorHAnsi"/>
          <w:sz w:val="28"/>
          <w:szCs w:val="28"/>
          <w:vertAlign w:val="superscript"/>
        </w:rPr>
        <w:t>2</w:t>
      </w:r>
      <w:r w:rsidRPr="00C725C5">
        <w:rPr>
          <w:rFonts w:cstheme="minorHAnsi"/>
          <w:sz w:val="28"/>
          <w:szCs w:val="28"/>
        </w:rPr>
        <w:t>. Planowana rozbudowa budynku będzie stanowić jedną bryłę z istniejącymi budynkami inwentarskimi. Inwestycja ma zostać zrealizowana w ramach istniejącego gospodarstwa rolnego.</w:t>
      </w:r>
    </w:p>
    <w:p w14:paraId="5D8CFB40" w14:textId="77777777" w:rsidR="00C725C5" w:rsidRPr="00C725C5" w:rsidRDefault="00C725C5" w:rsidP="00C725C5">
      <w:pPr>
        <w:tabs>
          <w:tab w:val="left" w:pos="993"/>
        </w:tabs>
        <w:spacing w:after="120" w:line="240" w:lineRule="auto"/>
        <w:ind w:firstLine="567"/>
        <w:jc w:val="both"/>
        <w:rPr>
          <w:rFonts w:cstheme="minorHAnsi"/>
          <w:sz w:val="28"/>
          <w:szCs w:val="28"/>
        </w:rPr>
      </w:pPr>
    </w:p>
    <w:p w14:paraId="048FA736" w14:textId="77777777" w:rsidR="00C725C5" w:rsidRPr="00C725C5" w:rsidRDefault="00C725C5" w:rsidP="00C725C5">
      <w:pPr>
        <w:tabs>
          <w:tab w:val="left" w:pos="993"/>
        </w:tabs>
        <w:spacing w:after="120" w:line="240" w:lineRule="auto"/>
        <w:ind w:firstLine="567"/>
        <w:jc w:val="both"/>
        <w:rPr>
          <w:rFonts w:cstheme="minorHAnsi"/>
          <w:sz w:val="28"/>
          <w:szCs w:val="28"/>
        </w:rPr>
      </w:pPr>
    </w:p>
    <w:p w14:paraId="160E77BF" w14:textId="77777777" w:rsidR="00C725C5" w:rsidRPr="00C725C5" w:rsidRDefault="00C725C5" w:rsidP="00C725C5">
      <w:pPr>
        <w:tabs>
          <w:tab w:val="left" w:pos="993"/>
        </w:tabs>
        <w:spacing w:after="120" w:line="240" w:lineRule="auto"/>
        <w:ind w:firstLine="567"/>
        <w:jc w:val="both"/>
        <w:rPr>
          <w:rFonts w:cstheme="minorHAnsi"/>
          <w:sz w:val="28"/>
          <w:szCs w:val="28"/>
        </w:rPr>
      </w:pPr>
      <w:r w:rsidRPr="00C725C5">
        <w:rPr>
          <w:rFonts w:cstheme="minorHAnsi"/>
          <w:sz w:val="28"/>
          <w:szCs w:val="28"/>
        </w:rPr>
        <w:lastRenderedPageBreak/>
        <w:t>Charakterystyka budynku gospodarczego na podstawie wniosku:</w:t>
      </w:r>
    </w:p>
    <w:p w14:paraId="4414858C" w14:textId="77777777" w:rsidR="00C725C5" w:rsidRPr="00C725C5" w:rsidRDefault="00C725C5" w:rsidP="00C725C5">
      <w:pPr>
        <w:numPr>
          <w:ilvl w:val="0"/>
          <w:numId w:val="30"/>
        </w:numPr>
        <w:tabs>
          <w:tab w:val="left" w:pos="993"/>
        </w:tabs>
        <w:spacing w:after="120" w:line="240" w:lineRule="auto"/>
        <w:contextualSpacing/>
        <w:jc w:val="both"/>
        <w:rPr>
          <w:rFonts w:cstheme="minorHAnsi"/>
          <w:sz w:val="28"/>
          <w:szCs w:val="28"/>
        </w:rPr>
      </w:pPr>
      <w:r w:rsidRPr="00C725C5">
        <w:rPr>
          <w:rFonts w:cstheme="minorHAnsi"/>
          <w:sz w:val="28"/>
          <w:szCs w:val="28"/>
        </w:rPr>
        <w:t>powierzchnia zabudowy: od 290 m</w:t>
      </w:r>
      <w:r w:rsidRPr="00C725C5">
        <w:rPr>
          <w:rFonts w:cstheme="minorHAnsi"/>
          <w:sz w:val="28"/>
          <w:szCs w:val="28"/>
          <w:vertAlign w:val="superscript"/>
        </w:rPr>
        <w:t>2</w:t>
      </w:r>
      <w:r w:rsidRPr="00C725C5">
        <w:rPr>
          <w:rFonts w:cstheme="minorHAnsi"/>
          <w:sz w:val="28"/>
          <w:szCs w:val="28"/>
        </w:rPr>
        <w:t xml:space="preserve"> do 320 m</w:t>
      </w:r>
      <w:r w:rsidRPr="00C725C5">
        <w:rPr>
          <w:rFonts w:cstheme="minorHAnsi"/>
          <w:sz w:val="28"/>
          <w:szCs w:val="28"/>
          <w:vertAlign w:val="superscript"/>
        </w:rPr>
        <w:t>2</w:t>
      </w:r>
      <w:r w:rsidRPr="00C725C5">
        <w:rPr>
          <w:rFonts w:cstheme="minorHAnsi"/>
          <w:sz w:val="28"/>
          <w:szCs w:val="28"/>
        </w:rPr>
        <w:t>,</w:t>
      </w:r>
    </w:p>
    <w:p w14:paraId="6254174F" w14:textId="77777777" w:rsidR="00C725C5" w:rsidRPr="00C725C5" w:rsidRDefault="00C725C5" w:rsidP="00C725C5">
      <w:pPr>
        <w:numPr>
          <w:ilvl w:val="0"/>
          <w:numId w:val="30"/>
        </w:numPr>
        <w:tabs>
          <w:tab w:val="left" w:pos="993"/>
        </w:tabs>
        <w:spacing w:after="120" w:line="240" w:lineRule="auto"/>
        <w:contextualSpacing/>
        <w:jc w:val="both"/>
        <w:rPr>
          <w:rFonts w:cstheme="minorHAnsi"/>
          <w:sz w:val="28"/>
          <w:szCs w:val="28"/>
        </w:rPr>
      </w:pPr>
      <w:r w:rsidRPr="00C725C5">
        <w:rPr>
          <w:rFonts w:cstheme="minorHAnsi"/>
          <w:sz w:val="28"/>
          <w:szCs w:val="28"/>
        </w:rPr>
        <w:t>liczba kondygnacji nadziemnych: 1,</w:t>
      </w:r>
    </w:p>
    <w:p w14:paraId="4F0F2E87" w14:textId="77777777" w:rsidR="00C725C5" w:rsidRPr="00C725C5" w:rsidRDefault="00C725C5" w:rsidP="00C725C5">
      <w:pPr>
        <w:numPr>
          <w:ilvl w:val="0"/>
          <w:numId w:val="30"/>
        </w:numPr>
        <w:tabs>
          <w:tab w:val="left" w:pos="993"/>
        </w:tabs>
        <w:spacing w:after="120" w:line="240" w:lineRule="auto"/>
        <w:contextualSpacing/>
        <w:jc w:val="both"/>
        <w:rPr>
          <w:rFonts w:cstheme="minorHAnsi"/>
          <w:sz w:val="28"/>
          <w:szCs w:val="28"/>
        </w:rPr>
      </w:pPr>
      <w:r w:rsidRPr="00C725C5">
        <w:rPr>
          <w:rFonts w:cstheme="minorHAnsi"/>
          <w:sz w:val="28"/>
          <w:szCs w:val="28"/>
        </w:rPr>
        <w:t>wysokość elewacji frontowej: od 5,8 m do 6,5 m,</w:t>
      </w:r>
    </w:p>
    <w:p w14:paraId="1478E26A" w14:textId="77777777" w:rsidR="00C725C5" w:rsidRPr="00C725C5" w:rsidRDefault="00C725C5" w:rsidP="00C725C5">
      <w:pPr>
        <w:numPr>
          <w:ilvl w:val="0"/>
          <w:numId w:val="30"/>
        </w:numPr>
        <w:tabs>
          <w:tab w:val="left" w:pos="993"/>
        </w:tabs>
        <w:spacing w:after="120" w:line="240" w:lineRule="auto"/>
        <w:contextualSpacing/>
        <w:jc w:val="both"/>
        <w:rPr>
          <w:rFonts w:cstheme="minorHAnsi"/>
          <w:sz w:val="28"/>
          <w:szCs w:val="28"/>
        </w:rPr>
      </w:pPr>
      <w:r w:rsidRPr="00C725C5">
        <w:rPr>
          <w:rFonts w:cstheme="minorHAnsi"/>
          <w:sz w:val="28"/>
          <w:szCs w:val="28"/>
        </w:rPr>
        <w:t>wysokość całkowita budynku: od 6,0 m do 6,5 m,</w:t>
      </w:r>
    </w:p>
    <w:p w14:paraId="7C92A929" w14:textId="77777777" w:rsidR="00C725C5" w:rsidRPr="00C725C5" w:rsidRDefault="00C725C5" w:rsidP="00C725C5">
      <w:pPr>
        <w:numPr>
          <w:ilvl w:val="0"/>
          <w:numId w:val="30"/>
        </w:numPr>
        <w:tabs>
          <w:tab w:val="left" w:pos="993"/>
        </w:tabs>
        <w:spacing w:after="120" w:line="240" w:lineRule="auto"/>
        <w:contextualSpacing/>
        <w:jc w:val="both"/>
        <w:rPr>
          <w:rFonts w:cstheme="minorHAnsi"/>
          <w:sz w:val="28"/>
          <w:szCs w:val="28"/>
        </w:rPr>
      </w:pPr>
      <w:r w:rsidRPr="00C725C5">
        <w:rPr>
          <w:rFonts w:cstheme="minorHAnsi"/>
          <w:sz w:val="28"/>
          <w:szCs w:val="28"/>
        </w:rPr>
        <w:t>szerokość elewacji: od 11,0 m do 11,5 m,</w:t>
      </w:r>
    </w:p>
    <w:p w14:paraId="217093FD" w14:textId="77777777" w:rsidR="00C725C5" w:rsidRPr="00C725C5" w:rsidRDefault="00C725C5" w:rsidP="00C725C5">
      <w:pPr>
        <w:numPr>
          <w:ilvl w:val="0"/>
          <w:numId w:val="30"/>
        </w:numPr>
        <w:tabs>
          <w:tab w:val="left" w:pos="993"/>
        </w:tabs>
        <w:spacing w:after="120" w:line="240" w:lineRule="auto"/>
        <w:contextualSpacing/>
        <w:jc w:val="both"/>
        <w:rPr>
          <w:rFonts w:cstheme="minorHAnsi"/>
          <w:sz w:val="28"/>
          <w:szCs w:val="28"/>
        </w:rPr>
      </w:pPr>
      <w:r w:rsidRPr="00C725C5">
        <w:rPr>
          <w:rFonts w:cstheme="minorHAnsi"/>
          <w:sz w:val="28"/>
          <w:szCs w:val="28"/>
        </w:rPr>
        <w:t xml:space="preserve">kąt nachylenia dachu: od 3° do 5°. </w:t>
      </w:r>
    </w:p>
    <w:p w14:paraId="76EA21C1" w14:textId="77777777" w:rsidR="00C725C5" w:rsidRPr="00C725C5" w:rsidRDefault="00C725C5" w:rsidP="00C725C5">
      <w:pPr>
        <w:tabs>
          <w:tab w:val="left" w:pos="993"/>
        </w:tabs>
        <w:spacing w:after="120" w:line="240" w:lineRule="auto"/>
        <w:ind w:firstLine="567"/>
        <w:jc w:val="both"/>
        <w:rPr>
          <w:rFonts w:cstheme="minorHAnsi"/>
          <w:sz w:val="28"/>
          <w:szCs w:val="28"/>
        </w:rPr>
      </w:pPr>
      <w:r w:rsidRPr="00C725C5">
        <w:rPr>
          <w:rFonts w:cstheme="minorHAnsi"/>
          <w:sz w:val="28"/>
          <w:szCs w:val="28"/>
        </w:rPr>
        <w:t>Charakterystyka budynku inwentarskiego po rozbudowie na podstawie wniosku:</w:t>
      </w:r>
    </w:p>
    <w:p w14:paraId="0F1DE8F2" w14:textId="77777777" w:rsidR="00C725C5" w:rsidRPr="00C725C5" w:rsidRDefault="00C725C5" w:rsidP="00C725C5">
      <w:pPr>
        <w:numPr>
          <w:ilvl w:val="0"/>
          <w:numId w:val="30"/>
        </w:numPr>
        <w:tabs>
          <w:tab w:val="left" w:pos="993"/>
        </w:tabs>
        <w:spacing w:after="120" w:line="240" w:lineRule="auto"/>
        <w:contextualSpacing/>
        <w:jc w:val="both"/>
        <w:rPr>
          <w:rFonts w:cstheme="minorHAnsi"/>
          <w:sz w:val="28"/>
          <w:szCs w:val="28"/>
        </w:rPr>
      </w:pPr>
      <w:r w:rsidRPr="00C725C5">
        <w:rPr>
          <w:rFonts w:cstheme="minorHAnsi"/>
          <w:sz w:val="28"/>
          <w:szCs w:val="28"/>
        </w:rPr>
        <w:t>powierzchnia zabudowy aktualna: ca 566 m</w:t>
      </w:r>
      <w:r w:rsidRPr="00C725C5">
        <w:rPr>
          <w:rFonts w:cstheme="minorHAnsi"/>
          <w:sz w:val="28"/>
          <w:szCs w:val="28"/>
          <w:vertAlign w:val="superscript"/>
        </w:rPr>
        <w:t>2</w:t>
      </w:r>
      <w:r w:rsidRPr="00C725C5">
        <w:rPr>
          <w:rFonts w:cstheme="minorHAnsi"/>
          <w:sz w:val="28"/>
          <w:szCs w:val="28"/>
        </w:rPr>
        <w:t>,</w:t>
      </w:r>
    </w:p>
    <w:p w14:paraId="097E3AE6" w14:textId="77777777" w:rsidR="00C725C5" w:rsidRPr="00C725C5" w:rsidRDefault="00C725C5" w:rsidP="00C725C5">
      <w:pPr>
        <w:numPr>
          <w:ilvl w:val="0"/>
          <w:numId w:val="30"/>
        </w:numPr>
        <w:tabs>
          <w:tab w:val="left" w:pos="993"/>
        </w:tabs>
        <w:spacing w:after="120" w:line="240" w:lineRule="auto"/>
        <w:contextualSpacing/>
        <w:jc w:val="both"/>
        <w:rPr>
          <w:rFonts w:cstheme="minorHAnsi"/>
          <w:sz w:val="28"/>
          <w:szCs w:val="28"/>
        </w:rPr>
      </w:pPr>
      <w:r w:rsidRPr="00C725C5">
        <w:rPr>
          <w:rFonts w:cstheme="minorHAnsi"/>
          <w:sz w:val="28"/>
          <w:szCs w:val="28"/>
        </w:rPr>
        <w:t>powierzchnia rozbudowy: od 520 m</w:t>
      </w:r>
      <w:r w:rsidRPr="00C725C5">
        <w:rPr>
          <w:rFonts w:cstheme="minorHAnsi"/>
          <w:sz w:val="28"/>
          <w:szCs w:val="28"/>
          <w:vertAlign w:val="superscript"/>
        </w:rPr>
        <w:t>2</w:t>
      </w:r>
      <w:r w:rsidRPr="00C725C5">
        <w:rPr>
          <w:rFonts w:cstheme="minorHAnsi"/>
          <w:sz w:val="28"/>
          <w:szCs w:val="28"/>
        </w:rPr>
        <w:t xml:space="preserve"> do 580 m</w:t>
      </w:r>
      <w:r w:rsidRPr="00C725C5">
        <w:rPr>
          <w:rFonts w:cstheme="minorHAnsi"/>
          <w:sz w:val="28"/>
          <w:szCs w:val="28"/>
          <w:vertAlign w:val="superscript"/>
        </w:rPr>
        <w:t>2</w:t>
      </w:r>
      <w:r w:rsidRPr="00C725C5">
        <w:rPr>
          <w:rFonts w:cstheme="minorHAnsi"/>
          <w:sz w:val="28"/>
          <w:szCs w:val="28"/>
        </w:rPr>
        <w:t>,</w:t>
      </w:r>
    </w:p>
    <w:p w14:paraId="4AA638C2" w14:textId="77777777" w:rsidR="00C725C5" w:rsidRPr="00C725C5" w:rsidRDefault="00C725C5" w:rsidP="00C725C5">
      <w:pPr>
        <w:numPr>
          <w:ilvl w:val="0"/>
          <w:numId w:val="30"/>
        </w:numPr>
        <w:tabs>
          <w:tab w:val="left" w:pos="993"/>
        </w:tabs>
        <w:spacing w:after="120" w:line="240" w:lineRule="auto"/>
        <w:contextualSpacing/>
        <w:jc w:val="both"/>
        <w:rPr>
          <w:rFonts w:cstheme="minorHAnsi"/>
          <w:sz w:val="28"/>
          <w:szCs w:val="28"/>
        </w:rPr>
      </w:pPr>
      <w:r w:rsidRPr="00C725C5">
        <w:rPr>
          <w:rFonts w:cstheme="minorHAnsi"/>
          <w:sz w:val="28"/>
          <w:szCs w:val="28"/>
        </w:rPr>
        <w:t>liczba kondygnacji nadziemnych: 1,</w:t>
      </w:r>
    </w:p>
    <w:p w14:paraId="65DC54F3" w14:textId="77777777" w:rsidR="00C725C5" w:rsidRPr="00C725C5" w:rsidRDefault="00C725C5" w:rsidP="00C725C5">
      <w:pPr>
        <w:numPr>
          <w:ilvl w:val="0"/>
          <w:numId w:val="30"/>
        </w:numPr>
        <w:tabs>
          <w:tab w:val="left" w:pos="993"/>
        </w:tabs>
        <w:spacing w:after="120" w:line="240" w:lineRule="auto"/>
        <w:contextualSpacing/>
        <w:jc w:val="both"/>
        <w:rPr>
          <w:rFonts w:cstheme="minorHAnsi"/>
          <w:sz w:val="28"/>
          <w:szCs w:val="28"/>
        </w:rPr>
      </w:pPr>
      <w:r w:rsidRPr="00C725C5">
        <w:rPr>
          <w:rFonts w:cstheme="minorHAnsi"/>
          <w:sz w:val="28"/>
          <w:szCs w:val="28"/>
        </w:rPr>
        <w:t>wysokość elewacji frontowej: od 4,0 m do 6,0 m,</w:t>
      </w:r>
    </w:p>
    <w:p w14:paraId="50B3CC63" w14:textId="77777777" w:rsidR="00C725C5" w:rsidRPr="00C725C5" w:rsidRDefault="00C725C5" w:rsidP="00C725C5">
      <w:pPr>
        <w:numPr>
          <w:ilvl w:val="0"/>
          <w:numId w:val="30"/>
        </w:numPr>
        <w:tabs>
          <w:tab w:val="left" w:pos="993"/>
        </w:tabs>
        <w:spacing w:after="120" w:line="240" w:lineRule="auto"/>
        <w:contextualSpacing/>
        <w:jc w:val="both"/>
        <w:rPr>
          <w:rFonts w:cstheme="minorHAnsi"/>
          <w:sz w:val="28"/>
          <w:szCs w:val="28"/>
        </w:rPr>
      </w:pPr>
      <w:r w:rsidRPr="00C725C5">
        <w:rPr>
          <w:rFonts w:cstheme="minorHAnsi"/>
          <w:sz w:val="28"/>
          <w:szCs w:val="28"/>
        </w:rPr>
        <w:t>wysokość całkowita budynku: od 8,2 m do 9,5 m,</w:t>
      </w:r>
    </w:p>
    <w:p w14:paraId="1CB4D134" w14:textId="77777777" w:rsidR="00C725C5" w:rsidRPr="00C725C5" w:rsidRDefault="00C725C5" w:rsidP="00C725C5">
      <w:pPr>
        <w:numPr>
          <w:ilvl w:val="0"/>
          <w:numId w:val="30"/>
        </w:numPr>
        <w:tabs>
          <w:tab w:val="left" w:pos="993"/>
        </w:tabs>
        <w:spacing w:after="120" w:line="240" w:lineRule="auto"/>
        <w:contextualSpacing/>
        <w:jc w:val="both"/>
        <w:rPr>
          <w:rFonts w:cstheme="minorHAnsi"/>
          <w:sz w:val="28"/>
          <w:szCs w:val="28"/>
        </w:rPr>
      </w:pPr>
      <w:r w:rsidRPr="00C725C5">
        <w:rPr>
          <w:rFonts w:cstheme="minorHAnsi"/>
          <w:sz w:val="28"/>
          <w:szCs w:val="28"/>
        </w:rPr>
        <w:t>szerokość elewacji: od 41,2 m do 45,5 m,</w:t>
      </w:r>
    </w:p>
    <w:p w14:paraId="5FCA6632" w14:textId="77777777" w:rsidR="00C725C5" w:rsidRPr="00C725C5" w:rsidRDefault="00C725C5" w:rsidP="00C725C5">
      <w:pPr>
        <w:numPr>
          <w:ilvl w:val="0"/>
          <w:numId w:val="30"/>
        </w:numPr>
        <w:tabs>
          <w:tab w:val="left" w:pos="993"/>
        </w:tabs>
        <w:spacing w:after="120" w:line="240" w:lineRule="auto"/>
        <w:contextualSpacing/>
        <w:jc w:val="both"/>
        <w:rPr>
          <w:rFonts w:cstheme="minorHAnsi"/>
          <w:sz w:val="28"/>
          <w:szCs w:val="28"/>
        </w:rPr>
      </w:pPr>
      <w:r w:rsidRPr="00C725C5">
        <w:rPr>
          <w:rFonts w:cstheme="minorHAnsi"/>
          <w:sz w:val="28"/>
          <w:szCs w:val="28"/>
        </w:rPr>
        <w:t>kąt nachylenia dachu: od 3° do 35°.</w:t>
      </w:r>
    </w:p>
    <w:p w14:paraId="72BF6FBE" w14:textId="77777777" w:rsidR="00C725C5" w:rsidRPr="00C725C5" w:rsidRDefault="00C725C5" w:rsidP="00C725C5">
      <w:pPr>
        <w:tabs>
          <w:tab w:val="left" w:pos="993"/>
        </w:tabs>
        <w:spacing w:after="120" w:line="240" w:lineRule="auto"/>
        <w:ind w:left="567"/>
        <w:jc w:val="both"/>
        <w:rPr>
          <w:rFonts w:cstheme="minorHAnsi"/>
          <w:sz w:val="28"/>
          <w:szCs w:val="28"/>
        </w:rPr>
      </w:pPr>
      <w:r w:rsidRPr="00C725C5">
        <w:rPr>
          <w:rFonts w:cstheme="minorHAnsi"/>
          <w:sz w:val="28"/>
          <w:szCs w:val="28"/>
        </w:rPr>
        <w:t>Charakterystyka planowanej płyty obornikowej po rozbudowie:</w:t>
      </w:r>
    </w:p>
    <w:p w14:paraId="352EB539" w14:textId="77777777" w:rsidR="00C725C5" w:rsidRPr="00C725C5" w:rsidRDefault="00C725C5" w:rsidP="00C725C5">
      <w:pPr>
        <w:numPr>
          <w:ilvl w:val="0"/>
          <w:numId w:val="30"/>
        </w:numPr>
        <w:tabs>
          <w:tab w:val="left" w:pos="993"/>
        </w:tabs>
        <w:spacing w:after="120" w:line="240" w:lineRule="auto"/>
        <w:contextualSpacing/>
        <w:jc w:val="both"/>
        <w:rPr>
          <w:rFonts w:cstheme="minorHAnsi"/>
          <w:sz w:val="28"/>
          <w:szCs w:val="28"/>
        </w:rPr>
      </w:pPr>
      <w:r w:rsidRPr="00C725C5">
        <w:rPr>
          <w:rFonts w:cstheme="minorHAnsi"/>
          <w:sz w:val="28"/>
          <w:szCs w:val="28"/>
        </w:rPr>
        <w:t>powierzchnia: od 319 m</w:t>
      </w:r>
      <w:r w:rsidRPr="00C725C5">
        <w:rPr>
          <w:rFonts w:cstheme="minorHAnsi"/>
          <w:sz w:val="28"/>
          <w:szCs w:val="28"/>
          <w:vertAlign w:val="superscript"/>
        </w:rPr>
        <w:t>2</w:t>
      </w:r>
      <w:r w:rsidRPr="00C725C5">
        <w:rPr>
          <w:rFonts w:cstheme="minorHAnsi"/>
          <w:sz w:val="28"/>
          <w:szCs w:val="28"/>
        </w:rPr>
        <w:t xml:space="preserve"> do 359 m</w:t>
      </w:r>
      <w:r w:rsidRPr="00C725C5">
        <w:rPr>
          <w:rFonts w:cstheme="minorHAnsi"/>
          <w:sz w:val="28"/>
          <w:szCs w:val="28"/>
          <w:vertAlign w:val="superscript"/>
        </w:rPr>
        <w:t>2</w:t>
      </w:r>
      <w:r w:rsidRPr="00C725C5">
        <w:rPr>
          <w:rFonts w:cstheme="minorHAnsi"/>
          <w:sz w:val="28"/>
          <w:szCs w:val="28"/>
        </w:rPr>
        <w:t>,</w:t>
      </w:r>
    </w:p>
    <w:p w14:paraId="5BEB2672" w14:textId="77777777" w:rsidR="00C725C5" w:rsidRPr="00C725C5" w:rsidRDefault="00C725C5" w:rsidP="00C725C5">
      <w:pPr>
        <w:numPr>
          <w:ilvl w:val="0"/>
          <w:numId w:val="30"/>
        </w:numPr>
        <w:tabs>
          <w:tab w:val="left" w:pos="993"/>
        </w:tabs>
        <w:spacing w:after="120" w:line="240" w:lineRule="auto"/>
        <w:contextualSpacing/>
        <w:jc w:val="both"/>
        <w:rPr>
          <w:rFonts w:cstheme="minorHAnsi"/>
          <w:sz w:val="28"/>
          <w:szCs w:val="28"/>
        </w:rPr>
      </w:pPr>
      <w:r w:rsidRPr="00C725C5">
        <w:rPr>
          <w:rFonts w:cstheme="minorHAnsi"/>
          <w:sz w:val="28"/>
          <w:szCs w:val="28"/>
        </w:rPr>
        <w:t>długość: od 19,5 m do 22,0 m,</w:t>
      </w:r>
    </w:p>
    <w:p w14:paraId="672EBBFA" w14:textId="77777777" w:rsidR="00C725C5" w:rsidRPr="00C725C5" w:rsidRDefault="00C725C5" w:rsidP="00C725C5">
      <w:pPr>
        <w:numPr>
          <w:ilvl w:val="0"/>
          <w:numId w:val="30"/>
        </w:numPr>
        <w:tabs>
          <w:tab w:val="left" w:pos="993"/>
        </w:tabs>
        <w:spacing w:after="120" w:line="240" w:lineRule="auto"/>
        <w:contextualSpacing/>
        <w:jc w:val="both"/>
        <w:rPr>
          <w:rFonts w:cstheme="minorHAnsi"/>
          <w:sz w:val="28"/>
          <w:szCs w:val="28"/>
        </w:rPr>
      </w:pPr>
      <w:r w:rsidRPr="00C725C5">
        <w:rPr>
          <w:rFonts w:cstheme="minorHAnsi"/>
          <w:sz w:val="28"/>
          <w:szCs w:val="28"/>
        </w:rPr>
        <w:t>wysokość: od 0,8 m do 1,2 m,</w:t>
      </w:r>
    </w:p>
    <w:p w14:paraId="06EE5A7D" w14:textId="77777777" w:rsidR="00C725C5" w:rsidRPr="00C725C5" w:rsidRDefault="00C725C5" w:rsidP="00C725C5">
      <w:pPr>
        <w:numPr>
          <w:ilvl w:val="0"/>
          <w:numId w:val="30"/>
        </w:numPr>
        <w:tabs>
          <w:tab w:val="left" w:pos="993"/>
        </w:tabs>
        <w:spacing w:after="120" w:line="240" w:lineRule="auto"/>
        <w:contextualSpacing/>
        <w:jc w:val="both"/>
        <w:rPr>
          <w:rFonts w:cstheme="minorHAnsi"/>
          <w:sz w:val="28"/>
          <w:szCs w:val="28"/>
        </w:rPr>
      </w:pPr>
      <w:r w:rsidRPr="00C725C5">
        <w:rPr>
          <w:rFonts w:cstheme="minorHAnsi"/>
          <w:sz w:val="28"/>
          <w:szCs w:val="28"/>
        </w:rPr>
        <w:t>szerokość: od 10,9 m do 11,3 m.</w:t>
      </w:r>
    </w:p>
    <w:p w14:paraId="011219C6" w14:textId="77777777" w:rsidR="00C725C5" w:rsidRPr="00C725C5" w:rsidRDefault="00C725C5" w:rsidP="00C725C5">
      <w:pPr>
        <w:tabs>
          <w:tab w:val="left" w:pos="993"/>
        </w:tabs>
        <w:spacing w:after="120" w:line="240" w:lineRule="auto"/>
        <w:ind w:firstLine="567"/>
        <w:jc w:val="both"/>
        <w:rPr>
          <w:rFonts w:cstheme="minorHAnsi"/>
          <w:sz w:val="28"/>
          <w:szCs w:val="28"/>
        </w:rPr>
      </w:pPr>
      <w:r w:rsidRPr="00C725C5">
        <w:rPr>
          <w:rFonts w:cstheme="minorHAnsi"/>
          <w:sz w:val="28"/>
          <w:szCs w:val="28"/>
        </w:rPr>
        <w:t>Przedmiotowa działka o powierzchni 49670 m</w:t>
      </w:r>
      <w:r w:rsidRPr="00C725C5">
        <w:rPr>
          <w:rFonts w:cstheme="minorHAnsi"/>
          <w:sz w:val="28"/>
          <w:szCs w:val="28"/>
          <w:vertAlign w:val="superscript"/>
        </w:rPr>
        <w:t>2</w:t>
      </w:r>
      <w:r w:rsidRPr="00C725C5">
        <w:rPr>
          <w:rFonts w:cstheme="minorHAnsi"/>
          <w:sz w:val="28"/>
          <w:szCs w:val="28"/>
        </w:rPr>
        <w:t xml:space="preserve">, zgodnie z prowadzoną przez Starostę Śremskiego ewidencją gruntów i budynków, stanowi </w:t>
      </w:r>
      <w:r w:rsidRPr="00C725C5">
        <w:rPr>
          <w:rFonts w:eastAsia="Times New Roman" w:cstheme="minorHAnsi"/>
          <w:sz w:val="28"/>
          <w:lang w:eastAsia="pl-PL"/>
        </w:rPr>
        <w:t>w części grunty orne zabudowane klasy B-RV, grunty orne IIIa, IIIb, IVa, V oraz łąki trwałe ŁIV</w:t>
      </w:r>
      <w:r w:rsidRPr="00C725C5">
        <w:rPr>
          <w:rFonts w:cstheme="minorHAnsi"/>
          <w:sz w:val="28"/>
          <w:szCs w:val="28"/>
        </w:rPr>
        <w:t xml:space="preserve">. Front terenu o szerokości ca 132,5 m to część przylegająca do ul. Łąkowej (działki o nr ewid. 378 – drogi wewnętrznej). Teren objęty wnioskiem </w:t>
      </w:r>
      <w:r w:rsidRPr="00C725C5">
        <w:rPr>
          <w:sz w:val="28"/>
        </w:rPr>
        <w:t>od strony wschodniej graniczy z działką drogową i zabudową zagrodową, od strony południowej graniczy z rowem melioracyjnym, od strony zachodniej w części graniczy z zabudową mieszkaniową, od pozostałych stron graniczy z terenami rolniczymi</w:t>
      </w:r>
      <w:r w:rsidRPr="00C725C5">
        <w:rPr>
          <w:rFonts w:cstheme="minorHAnsi"/>
          <w:sz w:val="28"/>
        </w:rPr>
        <w:t>.</w:t>
      </w:r>
    </w:p>
    <w:p w14:paraId="1B93AA7F" w14:textId="451F3348" w:rsidR="00C725C5" w:rsidRDefault="00C725C5" w:rsidP="00FA4478">
      <w:pPr>
        <w:tabs>
          <w:tab w:val="left" w:pos="993"/>
        </w:tabs>
        <w:spacing w:after="120" w:line="240" w:lineRule="auto"/>
        <w:ind w:firstLine="567"/>
        <w:jc w:val="both"/>
        <w:rPr>
          <w:rFonts w:cstheme="minorHAnsi"/>
          <w:sz w:val="28"/>
          <w:szCs w:val="28"/>
        </w:rPr>
      </w:pPr>
      <w:r w:rsidRPr="00C725C5">
        <w:rPr>
          <w:rFonts w:cstheme="minorHAnsi"/>
          <w:sz w:val="28"/>
          <w:szCs w:val="28"/>
        </w:rPr>
        <w:t>Dla terenu projektowanej inwestycji nie został uchwalony miejscowy plan zagospodarowania przestrzennego ani nie została podjęta uchwała w sprawie przystąpienia do sporządzenia miejscowego planu zagospodarowania przestrzennego.</w:t>
      </w:r>
    </w:p>
    <w:p w14:paraId="58FF3722" w14:textId="51F2F55B" w:rsidR="00FA4478" w:rsidRDefault="00FA4478" w:rsidP="00FA4478">
      <w:pPr>
        <w:tabs>
          <w:tab w:val="left" w:pos="993"/>
        </w:tabs>
        <w:spacing w:after="120" w:line="240" w:lineRule="auto"/>
        <w:ind w:firstLine="567"/>
        <w:jc w:val="both"/>
        <w:rPr>
          <w:rFonts w:cstheme="minorHAnsi"/>
          <w:sz w:val="28"/>
          <w:szCs w:val="28"/>
        </w:rPr>
      </w:pPr>
    </w:p>
    <w:p w14:paraId="70BB9460" w14:textId="77777777" w:rsidR="00FA4478" w:rsidRPr="00C725C5" w:rsidRDefault="00FA4478" w:rsidP="00FA4478">
      <w:pPr>
        <w:tabs>
          <w:tab w:val="left" w:pos="993"/>
        </w:tabs>
        <w:spacing w:after="120" w:line="240" w:lineRule="auto"/>
        <w:ind w:firstLine="567"/>
        <w:jc w:val="both"/>
        <w:rPr>
          <w:rFonts w:cstheme="minorHAnsi"/>
          <w:sz w:val="28"/>
          <w:szCs w:val="28"/>
        </w:rPr>
      </w:pPr>
    </w:p>
    <w:p w14:paraId="0B008047" w14:textId="77777777" w:rsidR="00C725C5" w:rsidRPr="00C725C5" w:rsidRDefault="00C725C5" w:rsidP="00C725C5">
      <w:pPr>
        <w:spacing w:after="120" w:line="240" w:lineRule="auto"/>
        <w:ind w:firstLine="567"/>
        <w:jc w:val="both"/>
        <w:rPr>
          <w:rFonts w:cstheme="minorHAnsi"/>
          <w:sz w:val="28"/>
          <w:szCs w:val="28"/>
        </w:rPr>
      </w:pPr>
      <w:r w:rsidRPr="00C725C5">
        <w:rPr>
          <w:rFonts w:cstheme="minorHAnsi"/>
          <w:sz w:val="28"/>
          <w:szCs w:val="28"/>
        </w:rPr>
        <w:lastRenderedPageBreak/>
        <w:t>Stosownie do art. 53 ust. 3 w związku z art. 64 ust. 1 u.p.z.p.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2D45CD1E" w14:textId="77777777" w:rsidR="00C725C5" w:rsidRPr="00C725C5" w:rsidRDefault="00C725C5" w:rsidP="00C725C5">
      <w:pPr>
        <w:spacing w:after="120" w:line="240" w:lineRule="auto"/>
        <w:ind w:firstLine="567"/>
        <w:jc w:val="both"/>
        <w:rPr>
          <w:rFonts w:cstheme="minorHAnsi"/>
          <w:sz w:val="28"/>
          <w:szCs w:val="28"/>
        </w:rPr>
      </w:pPr>
      <w:r w:rsidRPr="00C725C5">
        <w:rPr>
          <w:rFonts w:cstheme="minorHAnsi"/>
          <w:sz w:val="28"/>
          <w:szCs w:val="28"/>
        </w:rPr>
        <w:t xml:space="preserve">Zgodnie z art. 60 ust. 4 u.p.z.p. sporządzenie projektu decyzji o warunków zabudowy powierzono osobie spełniającej warunki określone w art. 5 pkt 4. Projekt decyzji znajduje się w aktach sprawy. </w:t>
      </w:r>
    </w:p>
    <w:p w14:paraId="69DAC542" w14:textId="77777777" w:rsidR="00C725C5" w:rsidRPr="00C725C5" w:rsidRDefault="00C725C5" w:rsidP="00C725C5">
      <w:pPr>
        <w:widowControl w:val="0"/>
        <w:autoSpaceDE w:val="0"/>
        <w:spacing w:after="120" w:line="240" w:lineRule="auto"/>
        <w:ind w:firstLine="567"/>
        <w:jc w:val="both"/>
        <w:rPr>
          <w:rFonts w:cstheme="minorHAnsi"/>
          <w:sz w:val="28"/>
          <w:szCs w:val="28"/>
        </w:rPr>
      </w:pPr>
      <w:r w:rsidRPr="00C725C5">
        <w:rPr>
          <w:rFonts w:cstheme="minorHAns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08CE76DE" w14:textId="77777777" w:rsidR="00C725C5" w:rsidRPr="00C725C5" w:rsidRDefault="00C725C5" w:rsidP="00C725C5">
      <w:pPr>
        <w:numPr>
          <w:ilvl w:val="0"/>
          <w:numId w:val="19"/>
        </w:numPr>
        <w:tabs>
          <w:tab w:val="left" w:pos="851"/>
        </w:tabs>
        <w:spacing w:after="120" w:line="240" w:lineRule="auto"/>
        <w:ind w:left="0" w:firstLine="567"/>
        <w:contextualSpacing/>
        <w:jc w:val="both"/>
        <w:rPr>
          <w:rFonts w:cstheme="minorHAnsi"/>
          <w:sz w:val="28"/>
          <w:szCs w:val="28"/>
        </w:rPr>
      </w:pPr>
      <w:r w:rsidRPr="00C725C5">
        <w:rPr>
          <w:rFonts w:cstheme="minorHAnsi"/>
          <w:sz w:val="28"/>
          <w:szCs w:val="28"/>
        </w:rPr>
        <w:t>występowaniem złóż kopalin oraz obecnych i przyszłych potrzeb eksploatacji tych złóż;</w:t>
      </w:r>
    </w:p>
    <w:p w14:paraId="73B2E46F" w14:textId="77777777" w:rsidR="00C725C5" w:rsidRPr="00C725C5" w:rsidRDefault="00C725C5" w:rsidP="00C725C5">
      <w:pPr>
        <w:numPr>
          <w:ilvl w:val="0"/>
          <w:numId w:val="19"/>
        </w:numPr>
        <w:tabs>
          <w:tab w:val="left" w:pos="851"/>
        </w:tabs>
        <w:spacing w:after="120" w:line="240" w:lineRule="auto"/>
        <w:ind w:left="0" w:firstLine="567"/>
        <w:contextualSpacing/>
        <w:jc w:val="both"/>
        <w:rPr>
          <w:rFonts w:cstheme="minorHAnsi"/>
          <w:sz w:val="28"/>
          <w:szCs w:val="28"/>
        </w:rPr>
      </w:pPr>
      <w:r w:rsidRPr="00C725C5">
        <w:rPr>
          <w:rFonts w:cstheme="minorHAnsi"/>
          <w:sz w:val="28"/>
          <w:szCs w:val="28"/>
        </w:rPr>
        <w:t>potrzebami w zakresie zapobiegania ruchom masowym ziemi i ich skutkom;</w:t>
      </w:r>
    </w:p>
    <w:p w14:paraId="30F26299" w14:textId="77777777" w:rsidR="00C725C5" w:rsidRPr="00C725C5" w:rsidRDefault="00C725C5" w:rsidP="00C725C5">
      <w:pPr>
        <w:numPr>
          <w:ilvl w:val="0"/>
          <w:numId w:val="19"/>
        </w:numPr>
        <w:tabs>
          <w:tab w:val="left" w:pos="851"/>
        </w:tabs>
        <w:spacing w:after="120" w:line="240" w:lineRule="auto"/>
        <w:ind w:left="0" w:firstLine="567"/>
        <w:contextualSpacing/>
        <w:jc w:val="both"/>
        <w:rPr>
          <w:rFonts w:cstheme="minorHAnsi"/>
          <w:sz w:val="28"/>
          <w:szCs w:val="28"/>
        </w:rPr>
      </w:pPr>
      <w:r w:rsidRPr="00C725C5">
        <w:rPr>
          <w:rFonts w:cstheme="minorHAnsi"/>
          <w:sz w:val="28"/>
          <w:szCs w:val="28"/>
        </w:rPr>
        <w:t>ograniczeniami wynikającymi z ustanowienia w trybie ustawy z dnia 16 kwietnia 2004 r. o ochronie przyrody (Dz. U. z 2022 r. poz. 916 i 1726) form ochrony przyrody oraz ustaleń obowiązujących planów ochrony;</w:t>
      </w:r>
    </w:p>
    <w:p w14:paraId="5DBD4D30" w14:textId="77777777" w:rsidR="00C725C5" w:rsidRPr="00C725C5" w:rsidRDefault="00C725C5" w:rsidP="00C725C5">
      <w:pPr>
        <w:numPr>
          <w:ilvl w:val="0"/>
          <w:numId w:val="19"/>
        </w:numPr>
        <w:tabs>
          <w:tab w:val="left" w:pos="851"/>
        </w:tabs>
        <w:spacing w:after="120" w:line="240" w:lineRule="auto"/>
        <w:ind w:left="0" w:firstLine="567"/>
        <w:contextualSpacing/>
        <w:jc w:val="both"/>
        <w:rPr>
          <w:rFonts w:cstheme="minorHAnsi"/>
          <w:sz w:val="28"/>
          <w:szCs w:val="28"/>
        </w:rPr>
      </w:pPr>
      <w:r w:rsidRPr="00C725C5">
        <w:rPr>
          <w:rFonts w:cstheme="minorHAnsi"/>
          <w:sz w:val="28"/>
          <w:szCs w:val="28"/>
        </w:rPr>
        <w:t>ograniczeniami wynikającymi z ustalenia w trybie przepisów ustawy z dnia 20 lipca 2017 r. – Prawo wodne (Dz. U. z 2021 r. poz. 2233, z późn. zm.) warunków korzystania z wód regionu wodnego i zlewni oraz ustanowienia stref ochronnych ujęć wód, a także obszarów ochronnych zbiorników wód śródlądowych;</w:t>
      </w:r>
    </w:p>
    <w:p w14:paraId="424720D3" w14:textId="77777777" w:rsidR="00C725C5" w:rsidRPr="00C725C5" w:rsidRDefault="00C725C5" w:rsidP="00C725C5">
      <w:pPr>
        <w:widowControl w:val="0"/>
        <w:tabs>
          <w:tab w:val="left" w:pos="993"/>
        </w:tabs>
        <w:autoSpaceDE w:val="0"/>
        <w:spacing w:after="120" w:line="240" w:lineRule="auto"/>
        <w:ind w:firstLine="567"/>
        <w:jc w:val="both"/>
        <w:rPr>
          <w:rFonts w:cstheme="minorHAnsi"/>
          <w:sz w:val="28"/>
          <w:szCs w:val="28"/>
        </w:rPr>
      </w:pPr>
      <w:r w:rsidRPr="00C725C5">
        <w:rPr>
          <w:rFonts w:cstheme="minorHAnsi"/>
          <w:sz w:val="28"/>
          <w:szCs w:val="28"/>
        </w:rPr>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00C7E541" w14:textId="67380B6D" w:rsidR="00C725C5" w:rsidRPr="00C725C5" w:rsidRDefault="00C725C5" w:rsidP="00FA4478">
      <w:pPr>
        <w:widowControl w:val="0"/>
        <w:tabs>
          <w:tab w:val="left" w:pos="993"/>
        </w:tabs>
        <w:autoSpaceDE w:val="0"/>
        <w:spacing w:after="120" w:line="240" w:lineRule="auto"/>
        <w:jc w:val="both"/>
        <w:rPr>
          <w:rFonts w:cstheme="minorHAnsi"/>
          <w:sz w:val="28"/>
          <w:szCs w:val="28"/>
        </w:rPr>
      </w:pPr>
      <w:r w:rsidRPr="00C725C5">
        <w:rPr>
          <w:rFonts w:cstheme="minorHAnsi"/>
          <w:sz w:val="28"/>
          <w:szCs w:val="28"/>
        </w:rPr>
        <w:t>ponieważ nie wynikały z nich żadne nakazy, zakazy i ograniczenia w zagospodarowaniu przedmiotowego terenu.</w:t>
      </w:r>
    </w:p>
    <w:p w14:paraId="0FB2AD8E" w14:textId="6C1B4BCE" w:rsidR="00C725C5" w:rsidRDefault="00C725C5" w:rsidP="00C725C5">
      <w:pPr>
        <w:spacing w:after="120" w:line="240" w:lineRule="auto"/>
        <w:ind w:firstLine="567"/>
        <w:jc w:val="both"/>
        <w:rPr>
          <w:rFonts w:cstheme="minorHAnsi"/>
          <w:sz w:val="28"/>
          <w:szCs w:val="28"/>
        </w:rPr>
      </w:pPr>
      <w:r w:rsidRPr="00C725C5">
        <w:rPr>
          <w:rFonts w:cstheme="minorHAnsi"/>
          <w:sz w:val="28"/>
          <w:szCs w:val="28"/>
        </w:rPr>
        <w:t>Wydanie decyzji o warunkach zabudowy jest możliwe jedynie w przypadku łącznego spełnienia warunków, o których mowa w art. 61 ust. 1 u.p.z.p., a mianowicie:</w:t>
      </w:r>
    </w:p>
    <w:p w14:paraId="6E381DA9" w14:textId="79D6D819" w:rsidR="00FA4478" w:rsidRDefault="00FA4478" w:rsidP="00C725C5">
      <w:pPr>
        <w:spacing w:after="120" w:line="240" w:lineRule="auto"/>
        <w:ind w:firstLine="567"/>
        <w:jc w:val="both"/>
        <w:rPr>
          <w:rFonts w:cstheme="minorHAnsi"/>
          <w:sz w:val="28"/>
          <w:szCs w:val="28"/>
        </w:rPr>
      </w:pPr>
    </w:p>
    <w:p w14:paraId="422D3317" w14:textId="5B0DC482" w:rsidR="00FA4478" w:rsidRDefault="00FA4478" w:rsidP="00C725C5">
      <w:pPr>
        <w:spacing w:after="120" w:line="240" w:lineRule="auto"/>
        <w:ind w:firstLine="567"/>
        <w:jc w:val="both"/>
        <w:rPr>
          <w:rFonts w:cstheme="minorHAnsi"/>
          <w:sz w:val="28"/>
          <w:szCs w:val="28"/>
        </w:rPr>
      </w:pPr>
    </w:p>
    <w:p w14:paraId="3A38902F" w14:textId="77777777" w:rsidR="00FA4478" w:rsidRPr="00C725C5" w:rsidRDefault="00FA4478" w:rsidP="00C725C5">
      <w:pPr>
        <w:spacing w:after="120" w:line="240" w:lineRule="auto"/>
        <w:ind w:firstLine="567"/>
        <w:jc w:val="both"/>
        <w:rPr>
          <w:rFonts w:cstheme="minorHAnsi"/>
          <w:sz w:val="28"/>
          <w:szCs w:val="28"/>
        </w:rPr>
      </w:pPr>
    </w:p>
    <w:p w14:paraId="54B8EA3E" w14:textId="77777777" w:rsidR="00C725C5" w:rsidRPr="00C725C5" w:rsidRDefault="00C725C5" w:rsidP="00C725C5">
      <w:pPr>
        <w:numPr>
          <w:ilvl w:val="0"/>
          <w:numId w:val="32"/>
        </w:numPr>
        <w:tabs>
          <w:tab w:val="left" w:pos="851"/>
        </w:tabs>
        <w:spacing w:after="120" w:line="240" w:lineRule="auto"/>
        <w:ind w:left="0" w:firstLine="567"/>
        <w:contextualSpacing/>
        <w:jc w:val="both"/>
        <w:rPr>
          <w:rFonts w:cstheme="minorHAnsi"/>
          <w:sz w:val="28"/>
          <w:szCs w:val="28"/>
        </w:rPr>
      </w:pPr>
      <w:r w:rsidRPr="00C725C5">
        <w:rPr>
          <w:rFonts w:cstheme="minorHAnsi"/>
          <w:sz w:val="28"/>
          <w:szCs w:val="28"/>
        </w:rPr>
        <w:lastRenderedPageBreak/>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54FF20B4" w14:textId="77777777" w:rsidR="00C725C5" w:rsidRPr="00C725C5" w:rsidRDefault="00C725C5" w:rsidP="00C725C5">
      <w:pPr>
        <w:numPr>
          <w:ilvl w:val="0"/>
          <w:numId w:val="32"/>
        </w:numPr>
        <w:tabs>
          <w:tab w:val="left" w:pos="851"/>
        </w:tabs>
        <w:spacing w:after="120" w:line="240" w:lineRule="auto"/>
        <w:ind w:left="0" w:firstLine="567"/>
        <w:contextualSpacing/>
        <w:jc w:val="both"/>
        <w:rPr>
          <w:rFonts w:cstheme="minorHAnsi"/>
          <w:sz w:val="28"/>
          <w:szCs w:val="28"/>
        </w:rPr>
      </w:pPr>
      <w:r w:rsidRPr="00C725C5">
        <w:rPr>
          <w:rFonts w:cstheme="minorHAnsi"/>
          <w:sz w:val="28"/>
          <w:szCs w:val="28"/>
        </w:rPr>
        <w:t>teren ma dostęp do drogi publicznej rozumiany jako bezpośredni dostęp do tej drogi albo dostęp do niej przez drogę wewnętrzną lub przez ustanowienie odpowiedniej służebności drogowej;</w:t>
      </w:r>
    </w:p>
    <w:p w14:paraId="5A96892F" w14:textId="77777777" w:rsidR="00C725C5" w:rsidRPr="00C725C5" w:rsidRDefault="00C725C5" w:rsidP="00C725C5">
      <w:pPr>
        <w:numPr>
          <w:ilvl w:val="0"/>
          <w:numId w:val="32"/>
        </w:numPr>
        <w:tabs>
          <w:tab w:val="left" w:pos="851"/>
        </w:tabs>
        <w:spacing w:after="120" w:line="240" w:lineRule="auto"/>
        <w:ind w:left="0" w:firstLine="567"/>
        <w:contextualSpacing/>
        <w:jc w:val="both"/>
        <w:rPr>
          <w:rFonts w:cstheme="minorHAnsi"/>
          <w:sz w:val="28"/>
          <w:szCs w:val="28"/>
        </w:rPr>
      </w:pPr>
      <w:r w:rsidRPr="00C725C5">
        <w:rPr>
          <w:rFonts w:cstheme="minorHAnsi"/>
          <w:sz w:val="28"/>
          <w:szCs w:val="28"/>
        </w:rPr>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5C19AA36" w14:textId="77777777" w:rsidR="00C725C5" w:rsidRPr="00C725C5" w:rsidRDefault="00C725C5" w:rsidP="00C725C5">
      <w:pPr>
        <w:numPr>
          <w:ilvl w:val="0"/>
          <w:numId w:val="32"/>
        </w:numPr>
        <w:tabs>
          <w:tab w:val="left" w:pos="851"/>
        </w:tabs>
        <w:spacing w:after="120" w:line="240" w:lineRule="auto"/>
        <w:ind w:left="0" w:firstLine="567"/>
        <w:contextualSpacing/>
        <w:jc w:val="both"/>
        <w:rPr>
          <w:rFonts w:cstheme="minorHAnsi"/>
          <w:sz w:val="28"/>
          <w:szCs w:val="28"/>
        </w:rPr>
      </w:pPr>
      <w:r w:rsidRPr="00C725C5">
        <w:rPr>
          <w:rFonts w:cstheme="minorHAnsi"/>
          <w:sz w:val="28"/>
          <w:szCs w:val="28"/>
        </w:rPr>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5FA3C729" w14:textId="77777777" w:rsidR="00C725C5" w:rsidRPr="00C725C5" w:rsidRDefault="00C725C5" w:rsidP="00C725C5">
      <w:pPr>
        <w:numPr>
          <w:ilvl w:val="0"/>
          <w:numId w:val="32"/>
        </w:numPr>
        <w:tabs>
          <w:tab w:val="left" w:pos="851"/>
        </w:tabs>
        <w:spacing w:after="120" w:line="240" w:lineRule="auto"/>
        <w:ind w:left="0" w:firstLine="567"/>
        <w:contextualSpacing/>
        <w:jc w:val="both"/>
        <w:rPr>
          <w:rFonts w:cstheme="minorHAnsi"/>
          <w:sz w:val="28"/>
          <w:szCs w:val="28"/>
        </w:rPr>
      </w:pPr>
      <w:r w:rsidRPr="00C725C5">
        <w:rPr>
          <w:rFonts w:cstheme="minorHAnsi"/>
          <w:sz w:val="28"/>
          <w:szCs w:val="28"/>
        </w:rPr>
        <w:t>decyzja jest zgodna z przepisami odrębnymi;</w:t>
      </w:r>
    </w:p>
    <w:p w14:paraId="291C5F2A" w14:textId="77777777" w:rsidR="00C725C5" w:rsidRPr="00C725C5" w:rsidRDefault="00C725C5" w:rsidP="00C725C5">
      <w:pPr>
        <w:numPr>
          <w:ilvl w:val="0"/>
          <w:numId w:val="32"/>
        </w:numPr>
        <w:tabs>
          <w:tab w:val="left" w:pos="851"/>
        </w:tabs>
        <w:spacing w:after="120" w:line="240" w:lineRule="auto"/>
        <w:ind w:left="0" w:firstLine="567"/>
        <w:contextualSpacing/>
        <w:jc w:val="both"/>
        <w:rPr>
          <w:rFonts w:cstheme="minorHAnsi"/>
          <w:sz w:val="28"/>
          <w:szCs w:val="28"/>
        </w:rPr>
      </w:pPr>
      <w:r w:rsidRPr="00C725C5">
        <w:rPr>
          <w:rFonts w:cstheme="minorHAnsi"/>
          <w:sz w:val="28"/>
          <w:szCs w:val="28"/>
          <w:shd w:val="clear" w:color="auto" w:fill="FFFFFF"/>
        </w:rPr>
        <w:t>zamierzenie budowlane nie znajdzie się w obszarze</w:t>
      </w:r>
      <w:r w:rsidRPr="00C725C5">
        <w:rPr>
          <w:rFonts w:cstheme="minorHAnsi"/>
          <w:sz w:val="28"/>
          <w:szCs w:val="28"/>
          <w:lang w:eastAsia="pl-PL"/>
        </w:rPr>
        <w:t xml:space="preserve">: </w:t>
      </w:r>
    </w:p>
    <w:p w14:paraId="407B9DFB" w14:textId="77777777" w:rsidR="00C725C5" w:rsidRPr="00C725C5" w:rsidRDefault="00C725C5" w:rsidP="00C725C5">
      <w:pPr>
        <w:numPr>
          <w:ilvl w:val="0"/>
          <w:numId w:val="23"/>
        </w:numPr>
        <w:tabs>
          <w:tab w:val="left" w:pos="1134"/>
        </w:tabs>
        <w:spacing w:after="120" w:line="240" w:lineRule="auto"/>
        <w:ind w:left="1134"/>
        <w:contextualSpacing/>
        <w:jc w:val="both"/>
        <w:rPr>
          <w:rFonts w:cstheme="minorHAnsi"/>
          <w:sz w:val="28"/>
          <w:szCs w:val="28"/>
        </w:rPr>
      </w:pPr>
      <w:r w:rsidRPr="00C725C5">
        <w:rPr>
          <w:rFonts w:cstheme="minorHAnsi"/>
          <w:sz w:val="28"/>
          <w:szCs w:val="28"/>
        </w:rPr>
        <w:t>w stosunku do którego decyzją o ustaleniu lokalizacji strategicznej inwestycji w zakresie sieci przesyłowej, o której mowa w art. 5 ust. 1 ustawy z dnia 24 lipca 2015 r. o przygotowaniu i realizacji strategicznych inwestycji w zakresie sieci przesyłowych (Dz.U. z 2022 r. poz. 273, z późn. zm.), ustanowiony został zakaz, o którym mowa w art. 22 ust. 2 pkt 1 tej ustawy,</w:t>
      </w:r>
    </w:p>
    <w:p w14:paraId="61688A36" w14:textId="77777777" w:rsidR="00C725C5" w:rsidRPr="00C725C5" w:rsidRDefault="00C725C5" w:rsidP="00C725C5">
      <w:pPr>
        <w:numPr>
          <w:ilvl w:val="0"/>
          <w:numId w:val="23"/>
        </w:numPr>
        <w:tabs>
          <w:tab w:val="left" w:pos="1134"/>
        </w:tabs>
        <w:spacing w:after="120" w:line="240" w:lineRule="auto"/>
        <w:ind w:left="1134"/>
        <w:contextualSpacing/>
        <w:jc w:val="both"/>
        <w:rPr>
          <w:rFonts w:cstheme="minorHAnsi"/>
          <w:sz w:val="28"/>
          <w:szCs w:val="28"/>
        </w:rPr>
      </w:pPr>
      <w:r w:rsidRPr="00C725C5">
        <w:rPr>
          <w:rFonts w:cstheme="minorHAnsi"/>
          <w:sz w:val="28"/>
          <w:szCs w:val="28"/>
          <w:lang w:eastAsia="pl-PL"/>
        </w:rPr>
        <w:t xml:space="preserve">strefy kontrolowanej wyznaczonej po obu stronach gazociągu, </w:t>
      </w:r>
    </w:p>
    <w:p w14:paraId="028B2644" w14:textId="77777777" w:rsidR="00C725C5" w:rsidRPr="00C725C5" w:rsidRDefault="00C725C5" w:rsidP="00C725C5">
      <w:pPr>
        <w:numPr>
          <w:ilvl w:val="0"/>
          <w:numId w:val="23"/>
        </w:numPr>
        <w:tabs>
          <w:tab w:val="left" w:pos="1134"/>
        </w:tabs>
        <w:spacing w:after="120" w:line="240" w:lineRule="auto"/>
        <w:ind w:left="1134"/>
        <w:contextualSpacing/>
        <w:jc w:val="both"/>
        <w:rPr>
          <w:rFonts w:cstheme="minorHAnsi"/>
          <w:sz w:val="28"/>
          <w:szCs w:val="28"/>
        </w:rPr>
      </w:pPr>
      <w:r w:rsidRPr="00C725C5">
        <w:rPr>
          <w:rFonts w:cstheme="minorHAnsi"/>
          <w:sz w:val="28"/>
          <w:szCs w:val="28"/>
          <w:lang w:eastAsia="pl-PL"/>
        </w:rPr>
        <w:t>strefy bezpieczeństwa wyznaczonej po obu stronach rurociągu.</w:t>
      </w:r>
    </w:p>
    <w:p w14:paraId="2F47C0B7" w14:textId="77777777" w:rsidR="00C725C5" w:rsidRPr="00C725C5" w:rsidRDefault="00C725C5" w:rsidP="00C725C5">
      <w:pPr>
        <w:spacing w:after="120" w:line="240" w:lineRule="auto"/>
        <w:ind w:firstLine="567"/>
        <w:jc w:val="both"/>
        <w:rPr>
          <w:rFonts w:ascii="Calibri" w:hAnsi="Calibri" w:cs="Calibri"/>
          <w:sz w:val="28"/>
          <w:szCs w:val="28"/>
        </w:rPr>
      </w:pPr>
      <w:r w:rsidRPr="00C725C5">
        <w:rPr>
          <w:rFonts w:ascii="Calibri" w:hAnsi="Calibri" w:cs="Calibri"/>
          <w:sz w:val="28"/>
          <w:szCs w:val="28"/>
        </w:rPr>
        <w:t xml:space="preserve">Zgodnie z informacją Wnioskodawcy, zawartą we wniosku, powierzchnia gospodarstwa rolnego związanego z tą zabudową wynosi 29,4516 ha, przy średniej powierzchni gospodarstwa rolnego w gminie Śrem wynoszącej 14,5119 ha. </w:t>
      </w:r>
    </w:p>
    <w:p w14:paraId="6EB9074B" w14:textId="77777777" w:rsidR="00C725C5" w:rsidRPr="00C725C5" w:rsidRDefault="00C725C5" w:rsidP="00C725C5">
      <w:pPr>
        <w:tabs>
          <w:tab w:val="left" w:pos="993"/>
        </w:tabs>
        <w:spacing w:after="120" w:line="240" w:lineRule="auto"/>
        <w:ind w:firstLine="567"/>
        <w:jc w:val="both"/>
        <w:rPr>
          <w:rFonts w:cs="Times New Roman"/>
          <w:sz w:val="28"/>
          <w:szCs w:val="28"/>
        </w:rPr>
      </w:pPr>
      <w:r w:rsidRPr="00C725C5">
        <w:rPr>
          <w:rFonts w:cs="Times New Roman"/>
          <w:sz w:val="28"/>
          <w:szCs w:val="28"/>
        </w:rPr>
        <w:t>W związku z powyższym w analizowanej sprawie zastosowanie ma art. 61 ust. 4 u.p.z.p., który głosi, że w przypadku gdy powierzchnia gospodarstwa rolnego związanego z zabudową zagrodową przekracza średnią powierzchnię gospodarstwa rolnego w danej gminie przepisów art. 64 ust 1 pkt 1 u.p.z.p. nie stosuje się (spełnienia wymogów zasady tzw. dobrego sąsiedztwa).</w:t>
      </w:r>
    </w:p>
    <w:p w14:paraId="4B59BEC8" w14:textId="77777777" w:rsidR="00C725C5" w:rsidRPr="00C725C5" w:rsidRDefault="00C725C5" w:rsidP="00C725C5">
      <w:pPr>
        <w:tabs>
          <w:tab w:val="left" w:pos="993"/>
        </w:tabs>
        <w:spacing w:after="120" w:line="240" w:lineRule="auto"/>
        <w:ind w:firstLine="567"/>
        <w:jc w:val="both"/>
        <w:rPr>
          <w:rFonts w:cs="Times New Roman"/>
          <w:sz w:val="28"/>
          <w:szCs w:val="28"/>
        </w:rPr>
      </w:pPr>
      <w:r w:rsidRPr="00C725C5">
        <w:rPr>
          <w:rFonts w:cs="Times New Roman"/>
          <w:sz w:val="28"/>
          <w:szCs w:val="28"/>
        </w:rPr>
        <w:t>Biorąc powyższe pod uwagę analiza warunków, o których mowa w art. 61 ust. 1 pkt 2 – 6 u.p.z.p., dokonana w trakcie prowadzonego postępowania potwierdza, że zostały one spełnione, bowiem</w:t>
      </w:r>
      <w:r w:rsidRPr="00C725C5">
        <w:rPr>
          <w:rFonts w:cstheme="minorHAnsi"/>
          <w:sz w:val="28"/>
          <w:szCs w:val="28"/>
        </w:rPr>
        <w:t>:</w:t>
      </w:r>
    </w:p>
    <w:p w14:paraId="4CF8E648" w14:textId="77777777" w:rsidR="00C725C5" w:rsidRPr="00C725C5" w:rsidRDefault="00C725C5" w:rsidP="00C725C5">
      <w:pPr>
        <w:numPr>
          <w:ilvl w:val="0"/>
          <w:numId w:val="33"/>
        </w:numPr>
        <w:tabs>
          <w:tab w:val="left" w:pos="993"/>
        </w:tabs>
        <w:spacing w:after="120" w:line="240" w:lineRule="auto"/>
        <w:ind w:left="0" w:firstLine="567"/>
        <w:contextualSpacing/>
        <w:jc w:val="both"/>
        <w:rPr>
          <w:rFonts w:cstheme="minorHAnsi"/>
          <w:sz w:val="28"/>
          <w:szCs w:val="28"/>
        </w:rPr>
      </w:pPr>
      <w:r w:rsidRPr="00C725C5">
        <w:rPr>
          <w:rFonts w:cstheme="minorHAnsi"/>
          <w:sz w:val="28"/>
          <w:szCs w:val="28"/>
        </w:rPr>
        <w:lastRenderedPageBreak/>
        <w:t xml:space="preserve">teren ma zapewniony pośredni dostęp do drogi publicznej (wojewódzkiej) – ul. Śremskiej, poprzez drogę wewnętrzną w zarządzie gminy Śrem – ul. Łąkową, </w:t>
      </w:r>
      <w:r w:rsidRPr="00C725C5">
        <w:rPr>
          <w:rFonts w:cstheme="minorHAnsi"/>
          <w:sz w:val="28"/>
        </w:rPr>
        <w:t xml:space="preserve">poprzez </w:t>
      </w:r>
      <w:r w:rsidRPr="00C725C5">
        <w:rPr>
          <w:rFonts w:cstheme="minorHAnsi"/>
          <w:sz w:val="28"/>
          <w:szCs w:val="28"/>
        </w:rPr>
        <w:t>istniejący zjazd;</w:t>
      </w:r>
    </w:p>
    <w:p w14:paraId="03A73A04" w14:textId="77777777" w:rsidR="00C725C5" w:rsidRPr="00C725C5" w:rsidRDefault="00C725C5" w:rsidP="00C725C5">
      <w:pPr>
        <w:numPr>
          <w:ilvl w:val="0"/>
          <w:numId w:val="33"/>
        </w:numPr>
        <w:tabs>
          <w:tab w:val="left" w:pos="993"/>
        </w:tabs>
        <w:spacing w:after="120" w:line="240" w:lineRule="auto"/>
        <w:ind w:left="0" w:firstLine="567"/>
        <w:contextualSpacing/>
        <w:jc w:val="both"/>
        <w:rPr>
          <w:rFonts w:cstheme="minorHAnsi"/>
          <w:sz w:val="28"/>
          <w:szCs w:val="28"/>
        </w:rPr>
      </w:pPr>
      <w:r w:rsidRPr="00C725C5">
        <w:rPr>
          <w:rFonts w:cstheme="minorHAnsi"/>
          <w:sz w:val="28"/>
          <w:szCs w:val="28"/>
        </w:rPr>
        <w:t>istniejące (sieć elektroenergetyczna i sieć wodociągowa) uzbrojenie terenu jest wystarczające dla zamierzenia budowlanego. Inwestycja, z uwagi na swój charakter, nie wymaga podłączenia do sieci kanalizacji sanitarnej;</w:t>
      </w:r>
    </w:p>
    <w:p w14:paraId="41696779" w14:textId="77777777" w:rsidR="00C725C5" w:rsidRPr="00C725C5" w:rsidRDefault="00C725C5" w:rsidP="00C725C5">
      <w:pPr>
        <w:numPr>
          <w:ilvl w:val="0"/>
          <w:numId w:val="33"/>
        </w:numPr>
        <w:tabs>
          <w:tab w:val="left" w:pos="993"/>
        </w:tabs>
        <w:spacing w:after="120" w:line="240" w:lineRule="auto"/>
        <w:ind w:left="0" w:firstLine="567"/>
        <w:contextualSpacing/>
        <w:jc w:val="both"/>
        <w:rPr>
          <w:rFonts w:cstheme="minorHAnsi"/>
          <w:sz w:val="28"/>
          <w:szCs w:val="28"/>
        </w:rPr>
      </w:pPr>
      <w:r w:rsidRPr="00C725C5">
        <w:rPr>
          <w:rFonts w:cs="Times New Roman"/>
          <w:sz w:val="28"/>
          <w:szCs w:val="28"/>
        </w:rPr>
        <w:t>teren inwestycji nie wymaga uzyskania zgody na zmianę przeznaczenia gruntów rolnych i leśnych na cele nierolnicze i nieleśne, bowiem inwestycja polega na budowie budynku gospodarczego w ramach istniejącego gospodarstwa rolnego, co pozostaje bez wpływu na przeznaczenie terenu (jest dalej przeznaczeniem rolniczym)</w:t>
      </w:r>
      <w:r w:rsidRPr="00C725C5">
        <w:rPr>
          <w:rFonts w:cstheme="minorHAnsi"/>
          <w:sz w:val="28"/>
          <w:szCs w:val="28"/>
        </w:rPr>
        <w:t>;</w:t>
      </w:r>
    </w:p>
    <w:p w14:paraId="03B35365" w14:textId="77777777" w:rsidR="00C725C5" w:rsidRPr="00C725C5" w:rsidRDefault="00C725C5" w:rsidP="00C725C5">
      <w:pPr>
        <w:numPr>
          <w:ilvl w:val="0"/>
          <w:numId w:val="33"/>
        </w:numPr>
        <w:tabs>
          <w:tab w:val="left" w:pos="993"/>
        </w:tabs>
        <w:spacing w:after="120" w:line="240" w:lineRule="auto"/>
        <w:ind w:left="0" w:firstLine="567"/>
        <w:contextualSpacing/>
        <w:jc w:val="both"/>
        <w:rPr>
          <w:rFonts w:cstheme="minorHAnsi"/>
          <w:sz w:val="28"/>
          <w:szCs w:val="28"/>
        </w:rPr>
      </w:pPr>
      <w:r w:rsidRPr="00C725C5">
        <w:rPr>
          <w:rFonts w:cstheme="minorHAnsi"/>
          <w:sz w:val="28"/>
          <w:szCs w:val="28"/>
        </w:rPr>
        <w:t>decyzja jest zgodna z przepisami odrębnymi;</w:t>
      </w:r>
    </w:p>
    <w:p w14:paraId="1192F348" w14:textId="77777777" w:rsidR="00C725C5" w:rsidRPr="00C725C5" w:rsidRDefault="00C725C5" w:rsidP="00C725C5">
      <w:pPr>
        <w:numPr>
          <w:ilvl w:val="0"/>
          <w:numId w:val="33"/>
        </w:numPr>
        <w:tabs>
          <w:tab w:val="left" w:pos="993"/>
        </w:tabs>
        <w:spacing w:after="120" w:line="240" w:lineRule="auto"/>
        <w:ind w:left="0" w:firstLine="567"/>
        <w:contextualSpacing/>
        <w:jc w:val="both"/>
        <w:rPr>
          <w:rFonts w:cstheme="minorHAnsi"/>
          <w:sz w:val="28"/>
          <w:szCs w:val="28"/>
        </w:rPr>
      </w:pPr>
      <w:r w:rsidRPr="00C725C5">
        <w:rPr>
          <w:rFonts w:cstheme="minorHAnsi"/>
          <w:sz w:val="28"/>
          <w:szCs w:val="28"/>
        </w:rPr>
        <w:t>zamierzenie budowlane nie znajdzie się w obszarze:</w:t>
      </w:r>
    </w:p>
    <w:p w14:paraId="4D8BBD5D" w14:textId="77777777" w:rsidR="00C725C5" w:rsidRPr="00C725C5" w:rsidRDefault="00C725C5" w:rsidP="00C725C5">
      <w:pPr>
        <w:numPr>
          <w:ilvl w:val="0"/>
          <w:numId w:val="29"/>
        </w:numPr>
        <w:tabs>
          <w:tab w:val="left" w:pos="1134"/>
        </w:tabs>
        <w:spacing w:after="120" w:line="240" w:lineRule="auto"/>
        <w:ind w:left="1134"/>
        <w:contextualSpacing/>
        <w:jc w:val="both"/>
        <w:rPr>
          <w:rFonts w:cstheme="minorHAnsi"/>
          <w:sz w:val="28"/>
          <w:szCs w:val="28"/>
        </w:rPr>
      </w:pPr>
      <w:r w:rsidRPr="00C725C5">
        <w:rPr>
          <w:rFonts w:cstheme="minorHAnsi"/>
          <w:sz w:val="28"/>
          <w:szCs w:val="28"/>
          <w:shd w:val="clear" w:color="auto" w:fill="FFFFFF"/>
        </w:rPr>
        <w:t>objętym zakazem wznoszenia i utrzymywania obiektów budowlanych przeznaczonych na pobyt ludzi związanym z lokalizacją sieci przesyłowej,</w:t>
      </w:r>
    </w:p>
    <w:p w14:paraId="04EC7912" w14:textId="77777777" w:rsidR="00C725C5" w:rsidRPr="00C725C5" w:rsidRDefault="00C725C5" w:rsidP="00C725C5">
      <w:pPr>
        <w:numPr>
          <w:ilvl w:val="0"/>
          <w:numId w:val="29"/>
        </w:numPr>
        <w:tabs>
          <w:tab w:val="left" w:pos="1134"/>
        </w:tabs>
        <w:spacing w:after="120" w:line="240" w:lineRule="auto"/>
        <w:ind w:left="1134"/>
        <w:contextualSpacing/>
        <w:jc w:val="both"/>
        <w:rPr>
          <w:rFonts w:cstheme="minorHAnsi"/>
          <w:sz w:val="28"/>
          <w:szCs w:val="28"/>
        </w:rPr>
      </w:pPr>
      <w:r w:rsidRPr="00C725C5">
        <w:rPr>
          <w:rFonts w:cstheme="minorHAnsi"/>
          <w:sz w:val="28"/>
          <w:szCs w:val="28"/>
          <w:lang w:eastAsia="pl-PL"/>
        </w:rPr>
        <w:t xml:space="preserve">strefy kontrolowanej wyznaczonej po obu stronach gazociągu, </w:t>
      </w:r>
    </w:p>
    <w:p w14:paraId="7EED6AAC" w14:textId="77777777" w:rsidR="00C725C5" w:rsidRPr="00C725C5" w:rsidRDefault="00C725C5" w:rsidP="00C725C5">
      <w:pPr>
        <w:numPr>
          <w:ilvl w:val="0"/>
          <w:numId w:val="29"/>
        </w:numPr>
        <w:tabs>
          <w:tab w:val="left" w:pos="1134"/>
        </w:tabs>
        <w:spacing w:after="120" w:line="240" w:lineRule="auto"/>
        <w:ind w:left="1134"/>
        <w:contextualSpacing/>
        <w:jc w:val="both"/>
        <w:rPr>
          <w:rFonts w:cstheme="minorHAnsi"/>
          <w:sz w:val="28"/>
          <w:szCs w:val="28"/>
        </w:rPr>
      </w:pPr>
      <w:r w:rsidRPr="00C725C5">
        <w:rPr>
          <w:rFonts w:cstheme="minorHAnsi"/>
          <w:sz w:val="28"/>
          <w:szCs w:val="28"/>
          <w:lang w:eastAsia="pl-PL"/>
        </w:rPr>
        <w:t>strefy bezpieczeństwa wyznaczonej po obu stronach rurociągu.</w:t>
      </w:r>
    </w:p>
    <w:p w14:paraId="75223F18" w14:textId="77777777" w:rsidR="00C725C5" w:rsidRPr="00C725C5" w:rsidRDefault="00C725C5" w:rsidP="00C725C5">
      <w:pPr>
        <w:spacing w:after="120" w:line="240" w:lineRule="auto"/>
        <w:ind w:firstLine="567"/>
        <w:jc w:val="both"/>
        <w:rPr>
          <w:rFonts w:cstheme="minorHAnsi"/>
          <w:sz w:val="28"/>
          <w:szCs w:val="28"/>
        </w:rPr>
      </w:pPr>
      <w:r w:rsidRPr="00C725C5">
        <w:rPr>
          <w:rFonts w:cstheme="minorHAnsi"/>
          <w:sz w:val="28"/>
          <w:szCs w:val="28"/>
        </w:rPr>
        <w:t>Linia zabudowy (linia regulacyjna) w rozumieniu § 1 pkt 1 w zw. 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dnia 11.01.2017 r. sygn. akt IV SA/Wa 2123/16).</w:t>
      </w:r>
    </w:p>
    <w:p w14:paraId="59D356D8" w14:textId="27003690" w:rsidR="00C725C5" w:rsidRPr="00C725C5" w:rsidRDefault="00C725C5" w:rsidP="00FA4478">
      <w:pPr>
        <w:spacing w:after="120" w:line="240" w:lineRule="auto"/>
        <w:ind w:firstLine="567"/>
        <w:jc w:val="both"/>
        <w:rPr>
          <w:rFonts w:cstheme="minorHAnsi"/>
          <w:sz w:val="28"/>
          <w:szCs w:val="28"/>
        </w:rPr>
      </w:pPr>
      <w:r w:rsidRPr="00C725C5">
        <w:rPr>
          <w:rFonts w:cstheme="minorHAnsi"/>
          <w:sz w:val="28"/>
          <w:szCs w:val="28"/>
        </w:rPr>
        <w:t>W orzecznictwie sądów administracyjnych co do zasady dominuje pogląd, że w decyzji o warunkach zabudowy nie określa się dokładnego usytuowania planowanego obiektu na działce inwestycyjnej, za wyjątkiem wyznaczenia linii zabudowy – obowiązującej bądź nieprzekraczalnej (wyrok WSA w Poznaniu z dnia 31.01.2019 r. sygn. akt II SA/Po 731/18).</w:t>
      </w:r>
    </w:p>
    <w:p w14:paraId="1BB78140" w14:textId="4E3A03D5" w:rsidR="00C725C5" w:rsidRDefault="00C725C5" w:rsidP="00C725C5">
      <w:pPr>
        <w:spacing w:after="120" w:line="240" w:lineRule="auto"/>
        <w:ind w:firstLine="567"/>
        <w:jc w:val="both"/>
        <w:rPr>
          <w:rFonts w:cstheme="minorHAnsi"/>
          <w:sz w:val="28"/>
          <w:szCs w:val="28"/>
        </w:rPr>
      </w:pPr>
      <w:r w:rsidRPr="00C725C5">
        <w:rPr>
          <w:rFonts w:cstheme="minorHAnsi"/>
          <w:sz w:val="28"/>
          <w:szCs w:val="28"/>
        </w:rPr>
        <w:t xml:space="preserve">Dla planowanej inwestycji ustalono nieprzekraczalną linię zabudowy wyznaczoną w odległości 20,0 m od zewnętrznej krawędzi jezdni drogi wojewódzkiej – ul. Śremskiej oraz w odległości 6,0 m od granicy drogi wewnętrznej – ul. Łąkowej, oznaczoną jako linię ciągłą, </w:t>
      </w:r>
      <w:r w:rsidRPr="00C725C5">
        <w:rPr>
          <w:sz w:val="28"/>
        </w:rPr>
        <w:t>z umieszczonymi</w:t>
      </w:r>
      <w:r w:rsidRPr="00C725C5">
        <w:rPr>
          <w:rFonts w:cstheme="minorHAnsi"/>
          <w:sz w:val="28"/>
          <w:szCs w:val="28"/>
        </w:rPr>
        <w:t xml:space="preserve"> stycznie niewypełnionymi trójkątami. </w:t>
      </w:r>
    </w:p>
    <w:p w14:paraId="22B1F432" w14:textId="77777777" w:rsidR="00FA4478" w:rsidRPr="00C725C5" w:rsidRDefault="00FA4478" w:rsidP="00C725C5">
      <w:pPr>
        <w:spacing w:after="120" w:line="240" w:lineRule="auto"/>
        <w:ind w:firstLine="567"/>
        <w:jc w:val="both"/>
        <w:rPr>
          <w:rFonts w:cstheme="minorHAnsi"/>
          <w:sz w:val="28"/>
          <w:szCs w:val="28"/>
        </w:rPr>
      </w:pPr>
    </w:p>
    <w:p w14:paraId="69E6337D" w14:textId="77777777" w:rsidR="00C725C5" w:rsidRPr="00C725C5" w:rsidRDefault="00C725C5" w:rsidP="00C725C5">
      <w:pPr>
        <w:spacing w:after="120" w:line="240" w:lineRule="auto"/>
        <w:jc w:val="both"/>
        <w:rPr>
          <w:rFonts w:cstheme="minorHAnsi"/>
          <w:sz w:val="28"/>
          <w:szCs w:val="28"/>
        </w:rPr>
      </w:pPr>
      <w:r w:rsidRPr="00C725C5">
        <w:rPr>
          <w:rFonts w:cstheme="minorHAnsi"/>
          <w:sz w:val="28"/>
          <w:szCs w:val="28"/>
        </w:rPr>
        <w:lastRenderedPageBreak/>
        <w:t xml:space="preserve">Stosownie bowiem do § 3 ust. 3 rozporządzenia Ministra Infrastruktury z dnia 26 sierpnia 2003 r. w sprawie oznaczeń i nazewnictwa stosowanych w decyzji o ustaleniu lokalizacji inwestycji celu publicznego oraz w decyzji o warunkach zabudowy „podstawowe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Skoro Norma rozróżnia obowiązującą i nieprzekraczalną linię zabudowy, to nie sposób takich rozróżnień nie stosować przy ustalaniu warunków zabudowy w zakresie obowiązku wyznaczenia linii zabudowy (adekwatnie w miejscowym planie zagospodarowania przestrzennego). </w:t>
      </w:r>
    </w:p>
    <w:p w14:paraId="3F5227F0" w14:textId="77777777" w:rsidR="00C725C5" w:rsidRPr="00C725C5" w:rsidRDefault="00C725C5" w:rsidP="00C725C5">
      <w:pPr>
        <w:spacing w:after="120" w:line="240" w:lineRule="auto"/>
        <w:ind w:firstLine="567"/>
        <w:jc w:val="both"/>
        <w:rPr>
          <w:rFonts w:cstheme="minorHAnsi"/>
          <w:sz w:val="28"/>
          <w:szCs w:val="28"/>
        </w:rPr>
      </w:pPr>
      <w:r w:rsidRPr="00C725C5">
        <w:rPr>
          <w:rFonts w:cstheme="minorHAnsi"/>
          <w:sz w:val="28"/>
          <w:szCs w:val="28"/>
        </w:rPr>
        <w:t>Wyznaczona w niniejszej decyzji linia zabudowy ma charakter nieprzekraczalnej, co oznacza, że określa ona jedynie maksymalny zasięg położenia planowanej zabudowy względem drogi wojewódzkiej i drogi wewnętrznej</w:t>
      </w:r>
      <w:r w:rsidRPr="00C725C5">
        <w:rPr>
          <w:rFonts w:cstheme="minorHAnsi"/>
          <w:color w:val="1F497D" w:themeColor="text2"/>
          <w:sz w:val="28"/>
          <w:szCs w:val="28"/>
        </w:rPr>
        <w:t xml:space="preserve">, </w:t>
      </w:r>
      <w:r w:rsidRPr="00C725C5">
        <w:rPr>
          <w:rFonts w:cstheme="minorHAnsi"/>
          <w:sz w:val="28"/>
          <w:szCs w:val="28"/>
        </w:rPr>
        <w:t>nie przesądzając jednak o ostatecznej lokalizacji samych budynków na działce.</w:t>
      </w:r>
    </w:p>
    <w:p w14:paraId="4DD300BF" w14:textId="77777777" w:rsidR="00C725C5" w:rsidRPr="00C725C5" w:rsidRDefault="00C725C5" w:rsidP="00C725C5">
      <w:pPr>
        <w:spacing w:after="120" w:line="240" w:lineRule="auto"/>
        <w:ind w:firstLine="567"/>
        <w:jc w:val="both"/>
        <w:rPr>
          <w:rFonts w:cstheme="minorHAnsi"/>
          <w:sz w:val="28"/>
          <w:szCs w:val="28"/>
        </w:rPr>
      </w:pPr>
      <w:r w:rsidRPr="00C725C5">
        <w:rPr>
          <w:rFonts w:ascii="Calibri" w:hAnsi="Calibri" w:cs="Calibri"/>
          <w:sz w:val="28"/>
          <w:szCs w:val="28"/>
        </w:rPr>
        <w:t>Planowana inwestycja nie zakłóca zastanego ładu przestrzennego. W analizowanej sprawie nie stwierdzono, aby planowana inwestycja pozostawała w kolizji z przepisami prawa materialnego, w tym istniejącym zagospodarowaniem i funkcją terenów.</w:t>
      </w:r>
    </w:p>
    <w:p w14:paraId="32D08212" w14:textId="77777777" w:rsidR="00C725C5" w:rsidRPr="00C725C5" w:rsidRDefault="00C725C5" w:rsidP="00C725C5">
      <w:pPr>
        <w:spacing w:after="120" w:line="240" w:lineRule="auto"/>
        <w:ind w:firstLine="567"/>
        <w:jc w:val="both"/>
        <w:rPr>
          <w:rFonts w:cstheme="minorHAnsi"/>
          <w:sz w:val="28"/>
          <w:szCs w:val="28"/>
        </w:rPr>
      </w:pPr>
      <w:r w:rsidRPr="00C725C5">
        <w:rPr>
          <w:rFonts w:cstheme="minorHAnsi"/>
          <w:sz w:val="28"/>
          <w:szCs w:val="28"/>
        </w:rPr>
        <w:t>W niniejszej decyzji Burmistrz Śremu nie określił zasad związanych z lokalizacją miejsc parkingowych na terenie inwestycji, bowiem planowane przedsięwzięcie, ze względu na swój charakter, nie generuje dodatkowych potrzeb parkingowych.</w:t>
      </w:r>
    </w:p>
    <w:p w14:paraId="041AA87C" w14:textId="77777777" w:rsidR="00C725C5" w:rsidRPr="00C725C5" w:rsidRDefault="00C725C5" w:rsidP="00C725C5">
      <w:pPr>
        <w:spacing w:after="120" w:line="240" w:lineRule="auto"/>
        <w:ind w:firstLine="567"/>
        <w:jc w:val="both"/>
        <w:rPr>
          <w:rFonts w:cs="Times New Roman"/>
          <w:sz w:val="28"/>
          <w:szCs w:val="28"/>
        </w:rPr>
      </w:pPr>
      <w:r w:rsidRPr="00C725C5">
        <w:rPr>
          <w:rFonts w:ascii="Calibri" w:hAnsi="Calibri" w:cs="Calibri"/>
          <w:sz w:val="28"/>
          <w:szCs w:val="28"/>
        </w:rPr>
        <w:t xml:space="preserve">Planowane przedsięwzięcie zostało zakwalifikowane do przedsięwzięć mogących </w:t>
      </w:r>
      <w:r w:rsidRPr="00C725C5">
        <w:rPr>
          <w:rFonts w:ascii="Calibri" w:hAnsi="Calibri" w:cs="Calibri"/>
          <w:color w:val="000000" w:themeColor="text1"/>
          <w:sz w:val="28"/>
          <w:szCs w:val="28"/>
        </w:rPr>
        <w:t xml:space="preserve">znacząco </w:t>
      </w:r>
      <w:r w:rsidRPr="00C725C5">
        <w:rPr>
          <w:rFonts w:ascii="Calibri" w:hAnsi="Calibri" w:cs="Calibri"/>
          <w:sz w:val="28"/>
          <w:szCs w:val="28"/>
        </w:rPr>
        <w:t xml:space="preserve">oddziaływać na środowisko, o których mowa w rozporządzeniu Rady Ministrów z dnia 10 września 2019 r. w sprawie przedsięwzięć mogących znacząco oddziaływać na środowisko (Dz. U. poz. 1839, z późn. zm.). </w:t>
      </w:r>
      <w:r w:rsidRPr="00C725C5">
        <w:rPr>
          <w:rFonts w:cs="Times New Roman"/>
          <w:sz w:val="28"/>
          <w:szCs w:val="28"/>
        </w:rPr>
        <w:t xml:space="preserve">Dla planowanej inwestycji 12.10.2022 r. została wydana decyzja o środowiskowych uwarunkowaniach (PPSOŚ.6220.14.2022.BM), w której określono istotne warunki korzystania ze środowiska w fazie realizacji i eksploatacji lub użytkowania przedsięwzięcia. </w:t>
      </w:r>
    </w:p>
    <w:p w14:paraId="0DBE5C84" w14:textId="77777777" w:rsidR="00C725C5" w:rsidRPr="00C725C5" w:rsidRDefault="00C725C5" w:rsidP="00C725C5">
      <w:pPr>
        <w:spacing w:after="120" w:line="240" w:lineRule="auto"/>
        <w:jc w:val="both"/>
        <w:rPr>
          <w:rFonts w:cstheme="minorHAnsi"/>
          <w:sz w:val="28"/>
          <w:szCs w:val="28"/>
        </w:rPr>
      </w:pPr>
      <w:r w:rsidRPr="00C725C5">
        <w:rPr>
          <w:rFonts w:cs="Times New Roman"/>
          <w:sz w:val="28"/>
          <w:szCs w:val="28"/>
        </w:rPr>
        <w:t>W ramach postępowania stwierdzono brak potrzeby przeprowadzenia oceny oddziaływania na środowisko dla planowanego przedsięwzięcia. Decyzja stała się ostateczna 15.11.2022 r.</w:t>
      </w:r>
    </w:p>
    <w:p w14:paraId="5AEFE1A8" w14:textId="77777777" w:rsidR="00C725C5" w:rsidRPr="00C725C5" w:rsidRDefault="00C725C5" w:rsidP="00C725C5">
      <w:pPr>
        <w:widowControl w:val="0"/>
        <w:autoSpaceDE w:val="0"/>
        <w:spacing w:after="120" w:line="240" w:lineRule="auto"/>
        <w:ind w:firstLine="567"/>
        <w:jc w:val="both"/>
        <w:rPr>
          <w:sz w:val="28"/>
        </w:rPr>
      </w:pPr>
      <w:r w:rsidRPr="00C725C5">
        <w:rPr>
          <w:rFonts w:cstheme="minorHAnsi"/>
          <w:sz w:val="28"/>
          <w:szCs w:val="28"/>
        </w:rPr>
        <w:t>Projekt decyzji został uzgodniony z organami, o których mowa w art. 53 ust. 4 pkt 2 i pkt 9, w związku z art. 64 ust. 1 u.p.z.p., a mianowicie z</w:t>
      </w:r>
      <w:r w:rsidRPr="00C725C5">
        <w:rPr>
          <w:sz w:val="28"/>
        </w:rPr>
        <w:t>:</w:t>
      </w:r>
    </w:p>
    <w:p w14:paraId="3FB0E297" w14:textId="77777777" w:rsidR="00C725C5" w:rsidRPr="00C725C5" w:rsidRDefault="00C725C5" w:rsidP="00C725C5">
      <w:pPr>
        <w:widowControl w:val="0"/>
        <w:numPr>
          <w:ilvl w:val="0"/>
          <w:numId w:val="38"/>
        </w:numPr>
        <w:autoSpaceDE w:val="0"/>
        <w:spacing w:after="120" w:line="240" w:lineRule="auto"/>
        <w:contextualSpacing/>
        <w:jc w:val="both"/>
        <w:rPr>
          <w:sz w:val="28"/>
        </w:rPr>
      </w:pPr>
      <w:r w:rsidRPr="00C725C5">
        <w:rPr>
          <w:rFonts w:eastAsia="Times New Roman" w:cstheme="minorHAnsi"/>
          <w:sz w:val="28"/>
          <w:szCs w:val="28"/>
          <w:lang w:eastAsia="pl-PL"/>
        </w:rPr>
        <w:lastRenderedPageBreak/>
        <w:t>Wielkopolskim Wojewódzkim Konserwatorem Zabytków w Poznaniu,</w:t>
      </w:r>
    </w:p>
    <w:p w14:paraId="7FF19EA8" w14:textId="77777777" w:rsidR="00C725C5" w:rsidRPr="00C725C5" w:rsidRDefault="00C725C5" w:rsidP="00C725C5">
      <w:pPr>
        <w:widowControl w:val="0"/>
        <w:numPr>
          <w:ilvl w:val="0"/>
          <w:numId w:val="38"/>
        </w:numPr>
        <w:autoSpaceDE w:val="0"/>
        <w:spacing w:after="120" w:line="240" w:lineRule="auto"/>
        <w:contextualSpacing/>
        <w:jc w:val="both"/>
        <w:rPr>
          <w:sz w:val="28"/>
        </w:rPr>
      </w:pPr>
      <w:r w:rsidRPr="00C725C5">
        <w:rPr>
          <w:rFonts w:eastAsia="Times New Roman" w:cstheme="minorHAnsi"/>
          <w:sz w:val="28"/>
          <w:szCs w:val="28"/>
          <w:lang w:eastAsia="pl-PL"/>
        </w:rPr>
        <w:t>Dyrektorem Wielkopolskiego Zarządu Dróg Wojewódzkich w Poznaniu.</w:t>
      </w:r>
    </w:p>
    <w:p w14:paraId="73609122" w14:textId="77777777" w:rsidR="00C725C5" w:rsidRPr="00C725C5" w:rsidRDefault="00C725C5" w:rsidP="00C725C5">
      <w:pPr>
        <w:widowControl w:val="0"/>
        <w:autoSpaceDE w:val="0"/>
        <w:spacing w:after="120" w:line="240" w:lineRule="auto"/>
        <w:ind w:firstLine="567"/>
        <w:jc w:val="both"/>
        <w:rPr>
          <w:rFonts w:cstheme="minorHAnsi"/>
          <w:sz w:val="28"/>
          <w:szCs w:val="28"/>
        </w:rPr>
      </w:pPr>
      <w:r w:rsidRPr="00C725C5">
        <w:rPr>
          <w:rFonts w:cstheme="minorHAnsi"/>
          <w:sz w:val="28"/>
          <w:szCs w:val="28"/>
        </w:rPr>
        <w:t>Projekt decyzji nie wymagał zaopiniowania przez operatorów, o których mowa w art. 53 ust. 5e w związku z art. 64 ust. 1 ww. ustawy.</w:t>
      </w:r>
    </w:p>
    <w:p w14:paraId="5AACBA2A" w14:textId="77777777" w:rsidR="00C725C5" w:rsidRPr="00C725C5" w:rsidRDefault="00C725C5" w:rsidP="00C725C5">
      <w:pPr>
        <w:widowControl w:val="0"/>
        <w:autoSpaceDE w:val="0"/>
        <w:spacing w:after="120" w:line="240" w:lineRule="auto"/>
        <w:ind w:firstLine="567"/>
        <w:jc w:val="both"/>
        <w:rPr>
          <w:rFonts w:cstheme="minorHAnsi"/>
          <w:sz w:val="28"/>
          <w:szCs w:val="28"/>
        </w:rPr>
      </w:pPr>
      <w:r w:rsidRPr="00C725C5">
        <w:rPr>
          <w:rFonts w:cs="Times New Roman"/>
          <w:sz w:val="28"/>
          <w:szCs w:val="28"/>
        </w:rPr>
        <w:t>Projekt decyzji uzyskał stanowisko zarządcy drogi wewnętrznej – ul. Łąkowej (działka o nr ewid. 378, obręb Nochowo), którym jest Burmistrz Śremu.</w:t>
      </w:r>
    </w:p>
    <w:p w14:paraId="2F6EBDFE" w14:textId="77777777" w:rsidR="00C725C5" w:rsidRPr="00C725C5" w:rsidRDefault="00C725C5" w:rsidP="00C725C5">
      <w:pPr>
        <w:widowControl w:val="0"/>
        <w:autoSpaceDE w:val="0"/>
        <w:spacing w:after="120" w:line="240" w:lineRule="auto"/>
        <w:ind w:firstLine="567"/>
        <w:jc w:val="both"/>
        <w:rPr>
          <w:rFonts w:cstheme="minorHAnsi"/>
          <w:sz w:val="28"/>
        </w:rPr>
      </w:pPr>
      <w:r w:rsidRPr="00C725C5">
        <w:rPr>
          <w:rFonts w:cstheme="minorHAnsi"/>
          <w:sz w:val="28"/>
        </w:rPr>
        <w:t xml:space="preserve">Zgodnie z utrwaloną linią orzecznictwa sądowo-administracyjnego (vide: wyrok NSA z dnia 12.03.2019 r. sygn. akt II OSK 1024/17; wyrok WSA w Poznaniu z dnia 19.09.2019 r. sygn. akt IV SA/Po 417/19) stronami w 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w:t>
      </w:r>
    </w:p>
    <w:p w14:paraId="467B7FDB" w14:textId="77777777" w:rsidR="00C725C5" w:rsidRPr="00C725C5" w:rsidRDefault="00C725C5" w:rsidP="00C725C5">
      <w:pPr>
        <w:widowControl w:val="0"/>
        <w:autoSpaceDE w:val="0"/>
        <w:spacing w:after="120" w:line="240" w:lineRule="auto"/>
        <w:ind w:firstLine="567"/>
        <w:jc w:val="both"/>
        <w:rPr>
          <w:rFonts w:cstheme="minorHAnsi"/>
          <w:sz w:val="28"/>
        </w:rPr>
      </w:pPr>
      <w:r w:rsidRPr="00C725C5">
        <w:rPr>
          <w:rFonts w:cstheme="minorHAnsi"/>
          <w:sz w:val="28"/>
        </w:rPr>
        <w:t>Zakres tego oddziaływania pozwala na ustalenie kręgu osób, które mają interes prawny w sprawie. W myśl wyroku Wojewódzkiego Sądu Administracyjnego w Poznaniu z dnia 17.01.2019 r. sygn. akt II SA/Po 671/18: „Tylko ograniczenia w zagospodarowaniu nieruchomości wynikające z konkretnego przepisu prawa dają podstawę do uczestnictwa w charakterze strony w postępowaniu administracyjnym dotyczącym konkretnej inwestycji. Natomiast ograniczenia, które nie są wynikiem istnienia przepisów prawnych nie dają podstawy do uznania danego podmiotu za stronę postępowania w tego typu sprawie, wówczas bowiem istnieje interes faktyczny, a nie interes prawny”.</w:t>
      </w:r>
    </w:p>
    <w:p w14:paraId="0AE4D273" w14:textId="77777777" w:rsidR="00C725C5" w:rsidRPr="00C725C5" w:rsidRDefault="00C725C5" w:rsidP="00C725C5">
      <w:pPr>
        <w:widowControl w:val="0"/>
        <w:autoSpaceDE w:val="0"/>
        <w:spacing w:after="120" w:line="240" w:lineRule="auto"/>
        <w:ind w:firstLine="567"/>
        <w:jc w:val="both"/>
        <w:rPr>
          <w:rFonts w:cstheme="minorHAnsi"/>
          <w:sz w:val="28"/>
          <w:szCs w:val="28"/>
        </w:rPr>
      </w:pPr>
      <w:r w:rsidRPr="00C725C5">
        <w:rPr>
          <w:rFonts w:cstheme="minorHAnsi"/>
          <w:sz w:val="28"/>
        </w:rPr>
        <w:t>Zakresem oddziaływania planowanej inwestycji objęty jest teren: działka o nr ewid. 413, obręb Nochowo.</w:t>
      </w:r>
    </w:p>
    <w:p w14:paraId="076A29BF" w14:textId="78E27323" w:rsidR="00C725C5" w:rsidRDefault="00C725C5" w:rsidP="00C725C5">
      <w:pPr>
        <w:widowControl w:val="0"/>
        <w:autoSpaceDE w:val="0"/>
        <w:spacing w:after="120" w:line="240" w:lineRule="auto"/>
        <w:ind w:firstLine="567"/>
        <w:jc w:val="both"/>
        <w:rPr>
          <w:sz w:val="28"/>
        </w:rPr>
      </w:pPr>
      <w:r w:rsidRPr="00C725C5">
        <w:rPr>
          <w:sz w:val="28"/>
        </w:rPr>
        <w:t>Biorąc powyższe pod uwagę za strony postępowania zostali uznani: właściciel</w:t>
      </w:r>
      <w:r w:rsidRPr="00C725C5">
        <w:rPr>
          <w:rFonts w:cs="Calibri"/>
          <w:sz w:val="28"/>
        </w:rPr>
        <w:t xml:space="preserve"> działki objętej wnioskiem, będący jednocześnie wnioskodawcą</w:t>
      </w:r>
      <w:r w:rsidRPr="00C725C5">
        <w:rPr>
          <w:sz w:val="28"/>
        </w:rPr>
        <w:t>.</w:t>
      </w:r>
    </w:p>
    <w:p w14:paraId="22680B50" w14:textId="77777777" w:rsidR="00064317" w:rsidRPr="00C725C5" w:rsidRDefault="00064317" w:rsidP="00C725C5">
      <w:pPr>
        <w:widowControl w:val="0"/>
        <w:autoSpaceDE w:val="0"/>
        <w:spacing w:after="120" w:line="240" w:lineRule="auto"/>
        <w:ind w:firstLine="567"/>
        <w:jc w:val="both"/>
        <w:rPr>
          <w:rFonts w:cstheme="minorHAnsi"/>
          <w:sz w:val="28"/>
          <w:szCs w:val="28"/>
        </w:rPr>
      </w:pPr>
    </w:p>
    <w:p w14:paraId="0ED03F0F" w14:textId="77777777" w:rsidR="00C725C5" w:rsidRPr="00C725C5" w:rsidRDefault="00C725C5" w:rsidP="00C725C5">
      <w:pPr>
        <w:tabs>
          <w:tab w:val="left" w:pos="851"/>
        </w:tabs>
        <w:spacing w:after="120" w:line="240" w:lineRule="auto"/>
        <w:ind w:firstLine="567"/>
        <w:jc w:val="both"/>
        <w:rPr>
          <w:rFonts w:cstheme="minorHAnsi"/>
          <w:sz w:val="28"/>
        </w:rPr>
      </w:pPr>
      <w:r w:rsidRPr="00C725C5">
        <w:rPr>
          <w:rFonts w:cstheme="minorHAnsi"/>
          <w:sz w:val="28"/>
        </w:rPr>
        <w:lastRenderedPageBreak/>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660FDE8A" w14:textId="77777777" w:rsidR="00C725C5" w:rsidRPr="00C725C5" w:rsidRDefault="00C725C5" w:rsidP="00C725C5">
      <w:pPr>
        <w:tabs>
          <w:tab w:val="left" w:pos="851"/>
        </w:tabs>
        <w:spacing w:after="120" w:line="240" w:lineRule="auto"/>
        <w:ind w:firstLine="567"/>
        <w:jc w:val="both"/>
        <w:rPr>
          <w:rFonts w:cstheme="minorHAnsi"/>
          <w:sz w:val="28"/>
          <w:szCs w:val="28"/>
        </w:rPr>
      </w:pPr>
      <w:r w:rsidRPr="00C725C5">
        <w:rPr>
          <w:rFonts w:cstheme="minorHAnsi"/>
          <w:sz w:val="28"/>
          <w:szCs w:val="28"/>
        </w:rPr>
        <w:t xml:space="preserve">Stosownie do art. 56, w związku z art. 64 u.p.z.p. nie można odmówić ustalenia warunków zabudowy, jeżeli zamierzenie inwestycyjne jest zgodne z przepisami odrębnymi. </w:t>
      </w:r>
    </w:p>
    <w:p w14:paraId="09D947E7" w14:textId="77777777" w:rsidR="00C725C5" w:rsidRPr="00C725C5" w:rsidRDefault="00C725C5" w:rsidP="00C725C5">
      <w:pPr>
        <w:tabs>
          <w:tab w:val="left" w:pos="851"/>
        </w:tabs>
        <w:spacing w:after="120" w:line="240" w:lineRule="auto"/>
        <w:ind w:firstLine="567"/>
        <w:jc w:val="both"/>
        <w:rPr>
          <w:rFonts w:cstheme="minorHAnsi"/>
          <w:sz w:val="28"/>
          <w:szCs w:val="28"/>
        </w:rPr>
      </w:pPr>
      <w:r w:rsidRPr="00C725C5">
        <w:rPr>
          <w:rFonts w:cstheme="minorHAnsi"/>
          <w:sz w:val="28"/>
          <w:szCs w:val="28"/>
        </w:rPr>
        <w:t>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u.p.z.p.</w:t>
      </w:r>
    </w:p>
    <w:p w14:paraId="6FA80E61" w14:textId="77777777" w:rsidR="00C725C5" w:rsidRPr="00C725C5" w:rsidRDefault="00C725C5" w:rsidP="00C725C5">
      <w:pPr>
        <w:spacing w:after="120" w:line="240" w:lineRule="auto"/>
        <w:jc w:val="center"/>
        <w:rPr>
          <w:rFonts w:cstheme="minorHAnsi"/>
          <w:sz w:val="28"/>
          <w:szCs w:val="28"/>
        </w:rPr>
      </w:pPr>
      <w:r w:rsidRPr="00C725C5">
        <w:rPr>
          <w:rFonts w:cstheme="minorHAnsi"/>
          <w:sz w:val="28"/>
          <w:szCs w:val="28"/>
        </w:rPr>
        <w:t>W związku z powyższym orzeczono jak w sentencji.</w:t>
      </w:r>
    </w:p>
    <w:p w14:paraId="1D3C988D" w14:textId="77777777" w:rsidR="00C725C5" w:rsidRPr="00C725C5" w:rsidRDefault="00C725C5" w:rsidP="00C725C5">
      <w:pPr>
        <w:spacing w:after="120" w:line="240" w:lineRule="auto"/>
        <w:jc w:val="center"/>
        <w:rPr>
          <w:rFonts w:cstheme="minorHAnsi"/>
          <w:sz w:val="28"/>
          <w:szCs w:val="28"/>
        </w:rPr>
      </w:pPr>
    </w:p>
    <w:p w14:paraId="38B50FB2" w14:textId="77777777" w:rsidR="00C725C5" w:rsidRPr="00C725C5" w:rsidRDefault="00C725C5" w:rsidP="00C725C5">
      <w:pPr>
        <w:spacing w:after="120" w:line="240" w:lineRule="auto"/>
        <w:jc w:val="center"/>
        <w:rPr>
          <w:rFonts w:cstheme="minorHAnsi"/>
          <w:sz w:val="28"/>
          <w:szCs w:val="28"/>
        </w:rPr>
      </w:pPr>
      <w:r w:rsidRPr="00C725C5">
        <w:rPr>
          <w:rFonts w:cstheme="minorHAnsi"/>
          <w:sz w:val="28"/>
          <w:szCs w:val="28"/>
        </w:rPr>
        <w:t>Pouczenie</w:t>
      </w:r>
    </w:p>
    <w:p w14:paraId="1527FB87" w14:textId="77777777" w:rsidR="00C725C5" w:rsidRPr="00C725C5" w:rsidRDefault="00C725C5" w:rsidP="00C725C5">
      <w:pPr>
        <w:spacing w:after="120" w:line="240" w:lineRule="auto"/>
        <w:ind w:firstLine="567"/>
        <w:jc w:val="both"/>
        <w:rPr>
          <w:rFonts w:cstheme="minorHAnsi"/>
          <w:sz w:val="28"/>
          <w:szCs w:val="28"/>
        </w:rPr>
      </w:pPr>
      <w:r w:rsidRPr="00C725C5">
        <w:rPr>
          <w:rFonts w:cstheme="minorHAnsi"/>
          <w:sz w:val="28"/>
          <w:szCs w:val="28"/>
        </w:rPr>
        <w:t>Od niniejszej decyzji służy stronom prawo wniesienia odwołania do Samorządowego Kolegium Odwoławczego w Poznaniu, za moim pośrednictwem, w terminie 14 dni od dnia doręczenia.</w:t>
      </w:r>
    </w:p>
    <w:p w14:paraId="39E9380B" w14:textId="77777777" w:rsidR="00C725C5" w:rsidRPr="00C725C5" w:rsidRDefault="00C725C5" w:rsidP="00C725C5">
      <w:pPr>
        <w:spacing w:after="120" w:line="240" w:lineRule="auto"/>
        <w:ind w:firstLine="567"/>
        <w:jc w:val="both"/>
        <w:rPr>
          <w:rFonts w:cstheme="minorHAnsi"/>
          <w:sz w:val="28"/>
          <w:szCs w:val="28"/>
        </w:rPr>
      </w:pPr>
      <w:r w:rsidRPr="00C725C5">
        <w:rPr>
          <w:rFonts w:cstheme="minorHAnsi"/>
          <w:sz w:val="28"/>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4317DB35" w14:textId="77777777" w:rsidR="00C725C5" w:rsidRPr="00C725C5" w:rsidRDefault="00C725C5" w:rsidP="00C725C5">
      <w:pPr>
        <w:spacing w:after="120" w:line="240" w:lineRule="auto"/>
        <w:ind w:firstLine="567"/>
        <w:jc w:val="both"/>
        <w:rPr>
          <w:rFonts w:cstheme="minorHAnsi"/>
          <w:sz w:val="28"/>
          <w:szCs w:val="28"/>
        </w:rPr>
      </w:pPr>
      <w:r w:rsidRPr="00C725C5">
        <w:rPr>
          <w:rFonts w:cstheme="minorHAnsi"/>
          <w:sz w:val="28"/>
          <w:szCs w:val="28"/>
        </w:rPr>
        <w:t>Z dniem doręczenia organowi administracji publicznej oświadczenia o zrzeczeniu się prawa do wniesienia odwołania przez ostatnią ze stron postępowania, decyzja staje się ostateczna i prawomocna.</w:t>
      </w:r>
    </w:p>
    <w:p w14:paraId="05415899" w14:textId="77777777" w:rsidR="00C725C5" w:rsidRPr="00C725C5" w:rsidRDefault="00C725C5" w:rsidP="00C725C5">
      <w:pPr>
        <w:spacing w:after="120" w:line="240" w:lineRule="auto"/>
        <w:ind w:firstLine="567"/>
        <w:jc w:val="both"/>
        <w:rPr>
          <w:rFonts w:cstheme="minorHAnsi"/>
          <w:sz w:val="28"/>
          <w:szCs w:val="28"/>
        </w:rPr>
      </w:pPr>
      <w:r w:rsidRPr="00C725C5">
        <w:rPr>
          <w:rFonts w:cstheme="minorHAnsi"/>
          <w:sz w:val="28"/>
          <w:szCs w:val="28"/>
        </w:rPr>
        <w:t xml:space="preserve">W przypadku niewydania przez Burmistrza Śremu decyzji o warunkach zabudowy w terminie 90 dni od dnia złożenia wniosku o wydanie takiej decyzji, podmiotowi, który wystąpił z wnioskiem o ustalenie warunków zabudowy, przysługuje prawo do wniesienia żądania wymierzenia kary pieniężnej. Żądanie </w:t>
      </w:r>
      <w:r w:rsidRPr="00C725C5">
        <w:rPr>
          <w:rFonts w:cstheme="minorHAnsi"/>
          <w:sz w:val="28"/>
          <w:szCs w:val="28"/>
          <w:shd w:val="clear" w:color="auto" w:fill="FFFFFF"/>
        </w:rPr>
        <w:t>wnosi się za pośrednictwem Burmistrza Śremu.</w:t>
      </w:r>
    </w:p>
    <w:p w14:paraId="2B055963" w14:textId="77777777" w:rsidR="00064317" w:rsidRDefault="00064317" w:rsidP="00C725C5">
      <w:pPr>
        <w:spacing w:after="120" w:line="240" w:lineRule="auto"/>
        <w:jc w:val="center"/>
        <w:rPr>
          <w:rFonts w:cstheme="minorHAnsi"/>
          <w:sz w:val="28"/>
          <w:szCs w:val="28"/>
        </w:rPr>
      </w:pPr>
    </w:p>
    <w:p w14:paraId="2D0B9353" w14:textId="77777777" w:rsidR="00064317" w:rsidRDefault="00064317" w:rsidP="00C725C5">
      <w:pPr>
        <w:spacing w:after="120" w:line="240" w:lineRule="auto"/>
        <w:jc w:val="center"/>
        <w:rPr>
          <w:rFonts w:cstheme="minorHAnsi"/>
          <w:sz w:val="28"/>
          <w:szCs w:val="28"/>
        </w:rPr>
      </w:pPr>
    </w:p>
    <w:p w14:paraId="4A1DDA39" w14:textId="77777777" w:rsidR="00064317" w:rsidRDefault="00064317" w:rsidP="00C725C5">
      <w:pPr>
        <w:spacing w:after="120" w:line="240" w:lineRule="auto"/>
        <w:jc w:val="center"/>
        <w:rPr>
          <w:rFonts w:cstheme="minorHAnsi"/>
          <w:sz w:val="28"/>
          <w:szCs w:val="28"/>
        </w:rPr>
      </w:pPr>
    </w:p>
    <w:p w14:paraId="7F581395" w14:textId="77777777" w:rsidR="00064317" w:rsidRDefault="00064317" w:rsidP="00C725C5">
      <w:pPr>
        <w:spacing w:after="120" w:line="240" w:lineRule="auto"/>
        <w:jc w:val="center"/>
        <w:rPr>
          <w:rFonts w:cstheme="minorHAnsi"/>
          <w:sz w:val="28"/>
          <w:szCs w:val="28"/>
        </w:rPr>
      </w:pPr>
    </w:p>
    <w:p w14:paraId="36F09EFA" w14:textId="7649914C" w:rsidR="00C725C5" w:rsidRPr="00C725C5" w:rsidRDefault="00C725C5" w:rsidP="00C725C5">
      <w:pPr>
        <w:spacing w:after="120" w:line="240" w:lineRule="auto"/>
        <w:jc w:val="center"/>
        <w:rPr>
          <w:rFonts w:cstheme="minorHAnsi"/>
          <w:sz w:val="28"/>
          <w:szCs w:val="28"/>
        </w:rPr>
      </w:pPr>
      <w:r w:rsidRPr="00C725C5">
        <w:rPr>
          <w:rFonts w:cstheme="minorHAnsi"/>
          <w:sz w:val="28"/>
          <w:szCs w:val="28"/>
        </w:rPr>
        <w:lastRenderedPageBreak/>
        <w:t>Informacja</w:t>
      </w:r>
    </w:p>
    <w:p w14:paraId="480FBBE7" w14:textId="77777777" w:rsidR="00C725C5" w:rsidRPr="00C725C5" w:rsidRDefault="00C725C5" w:rsidP="00C725C5">
      <w:pPr>
        <w:spacing w:after="120" w:line="240" w:lineRule="auto"/>
        <w:ind w:firstLine="567"/>
        <w:jc w:val="both"/>
        <w:rPr>
          <w:rFonts w:cstheme="minorHAnsi"/>
          <w:sz w:val="28"/>
          <w:szCs w:val="28"/>
        </w:rPr>
      </w:pPr>
      <w:r w:rsidRPr="00C725C5">
        <w:rPr>
          <w:rFonts w:cstheme="minorHAnsi"/>
          <w:sz w:val="28"/>
          <w:szCs w:val="28"/>
        </w:rPr>
        <w:t>Stosownie do art. 63 pkt 2 u.p.z.p. decyzja o warunkach zabudowy nie rodzi praw do terenu oraz nie narusza prawa własności i uprawnień osób trzecich.</w:t>
      </w:r>
    </w:p>
    <w:p w14:paraId="1EA87A04" w14:textId="77777777" w:rsidR="00C725C5" w:rsidRPr="00C725C5" w:rsidRDefault="00C725C5" w:rsidP="00C725C5">
      <w:pPr>
        <w:spacing w:after="120" w:line="240" w:lineRule="auto"/>
        <w:ind w:firstLine="567"/>
        <w:jc w:val="both"/>
        <w:rPr>
          <w:rFonts w:cstheme="minorHAnsi"/>
          <w:sz w:val="28"/>
          <w:szCs w:val="28"/>
        </w:rPr>
      </w:pPr>
      <w:r w:rsidRPr="00C725C5">
        <w:rPr>
          <w:rFonts w:cstheme="minorHAnsi"/>
          <w:sz w:val="28"/>
          <w:szCs w:val="28"/>
        </w:rPr>
        <w:t>Stosownie do art. 65 u.p.z.p. w drodze decyzji, stwierdza się wygaśnięcie decyzji o warunkach zabudowy albo decyzji o lokalizacji inwestycji celu publicznego, jeżeli:</w:t>
      </w:r>
    </w:p>
    <w:p w14:paraId="405DB0E9" w14:textId="77777777" w:rsidR="00C725C5" w:rsidRPr="00C725C5" w:rsidRDefault="00C725C5" w:rsidP="00C725C5">
      <w:pPr>
        <w:widowControl w:val="0"/>
        <w:numPr>
          <w:ilvl w:val="1"/>
          <w:numId w:val="20"/>
        </w:numPr>
        <w:tabs>
          <w:tab w:val="left" w:pos="993"/>
        </w:tabs>
        <w:autoSpaceDE w:val="0"/>
        <w:autoSpaceDN w:val="0"/>
        <w:adjustRightInd w:val="0"/>
        <w:spacing w:after="120" w:line="240" w:lineRule="auto"/>
        <w:ind w:left="0" w:firstLine="567"/>
        <w:jc w:val="both"/>
        <w:rPr>
          <w:rFonts w:cstheme="minorHAnsi"/>
          <w:sz w:val="28"/>
          <w:szCs w:val="28"/>
        </w:rPr>
      </w:pPr>
      <w:r w:rsidRPr="00C725C5">
        <w:rPr>
          <w:rFonts w:cstheme="minorHAnsi"/>
          <w:sz w:val="28"/>
          <w:szCs w:val="28"/>
        </w:rPr>
        <w:t>inny wnioskodawca uzyskał pozwolenie na budowę;</w:t>
      </w:r>
    </w:p>
    <w:p w14:paraId="6558C318" w14:textId="77777777" w:rsidR="00C725C5" w:rsidRPr="00C725C5" w:rsidRDefault="00C725C5" w:rsidP="00C725C5">
      <w:pPr>
        <w:widowControl w:val="0"/>
        <w:numPr>
          <w:ilvl w:val="1"/>
          <w:numId w:val="20"/>
        </w:numPr>
        <w:tabs>
          <w:tab w:val="left" w:pos="993"/>
        </w:tabs>
        <w:autoSpaceDE w:val="0"/>
        <w:autoSpaceDN w:val="0"/>
        <w:adjustRightInd w:val="0"/>
        <w:spacing w:after="120" w:line="240" w:lineRule="auto"/>
        <w:ind w:left="0" w:firstLine="567"/>
        <w:jc w:val="both"/>
        <w:rPr>
          <w:rFonts w:cstheme="minorHAnsi"/>
          <w:sz w:val="28"/>
          <w:szCs w:val="28"/>
        </w:rPr>
      </w:pPr>
      <w:r w:rsidRPr="00C725C5">
        <w:rPr>
          <w:rFonts w:cstheme="minorHAnsi"/>
          <w:sz w:val="28"/>
          <w:szCs w:val="28"/>
        </w:rPr>
        <w:t>dla tego terenu uchwalono plan miejscowy, którego ustalenia są inne niż w wydanej decyzji.</w:t>
      </w:r>
    </w:p>
    <w:p w14:paraId="19415181" w14:textId="77777777" w:rsidR="00C725C5" w:rsidRPr="00C725C5" w:rsidRDefault="00C725C5" w:rsidP="00C725C5">
      <w:pPr>
        <w:widowControl w:val="0"/>
        <w:autoSpaceDE w:val="0"/>
        <w:autoSpaceDN w:val="0"/>
        <w:adjustRightInd w:val="0"/>
        <w:spacing w:after="120" w:line="240" w:lineRule="auto"/>
        <w:ind w:right="-1"/>
        <w:jc w:val="both"/>
        <w:rPr>
          <w:rFonts w:cstheme="minorHAnsi"/>
          <w:sz w:val="28"/>
          <w:szCs w:val="28"/>
        </w:rPr>
      </w:pPr>
    </w:p>
    <w:p w14:paraId="3F9E270F" w14:textId="77777777" w:rsidR="00064317" w:rsidRPr="00064317" w:rsidRDefault="00064317" w:rsidP="00064317">
      <w:pPr>
        <w:spacing w:after="0" w:line="240" w:lineRule="auto"/>
        <w:ind w:left="3538"/>
        <w:jc w:val="center"/>
        <w:rPr>
          <w:rFonts w:cs="Calibri"/>
          <w:sz w:val="28"/>
        </w:rPr>
      </w:pPr>
      <w:r w:rsidRPr="00064317">
        <w:rPr>
          <w:rFonts w:cs="Calibri"/>
          <w:sz w:val="28"/>
        </w:rPr>
        <w:t>(-) z up. BURMISTRZA</w:t>
      </w:r>
    </w:p>
    <w:p w14:paraId="314D3A40" w14:textId="77777777" w:rsidR="00064317" w:rsidRPr="00064317" w:rsidRDefault="00064317" w:rsidP="00064317">
      <w:pPr>
        <w:spacing w:after="0" w:line="240" w:lineRule="auto"/>
        <w:ind w:left="3538"/>
        <w:jc w:val="center"/>
        <w:rPr>
          <w:rFonts w:cs="Calibri"/>
          <w:sz w:val="28"/>
        </w:rPr>
      </w:pPr>
      <w:r w:rsidRPr="00064317">
        <w:rPr>
          <w:rFonts w:cs="Calibri"/>
          <w:sz w:val="28"/>
        </w:rPr>
        <w:t>Katarzyna Bednarowicz</w:t>
      </w:r>
    </w:p>
    <w:p w14:paraId="7AC06DE2" w14:textId="77777777" w:rsidR="00064317" w:rsidRPr="00064317" w:rsidRDefault="00064317" w:rsidP="00064317">
      <w:pPr>
        <w:spacing w:after="0" w:line="240" w:lineRule="auto"/>
        <w:ind w:left="3538"/>
        <w:jc w:val="center"/>
        <w:rPr>
          <w:rFonts w:cs="Calibri"/>
          <w:sz w:val="28"/>
        </w:rPr>
      </w:pPr>
      <w:r w:rsidRPr="00064317">
        <w:rPr>
          <w:rFonts w:cs="Calibri"/>
          <w:sz w:val="28"/>
        </w:rPr>
        <w:t>naczelnik Pionu Gospodarowania</w:t>
      </w:r>
    </w:p>
    <w:p w14:paraId="43445FA0" w14:textId="77777777" w:rsidR="00064317" w:rsidRPr="00064317" w:rsidRDefault="00064317" w:rsidP="00064317">
      <w:pPr>
        <w:spacing w:after="0" w:line="240" w:lineRule="auto"/>
        <w:ind w:left="3538"/>
        <w:jc w:val="center"/>
        <w:rPr>
          <w:rFonts w:cs="Calibri"/>
          <w:sz w:val="28"/>
        </w:rPr>
      </w:pPr>
      <w:r w:rsidRPr="00064317">
        <w:rPr>
          <w:rFonts w:cs="Calibri"/>
          <w:sz w:val="28"/>
        </w:rPr>
        <w:t>Przestrzenią i Środowiskiem</w:t>
      </w:r>
    </w:p>
    <w:p w14:paraId="311565F3" w14:textId="77777777" w:rsidR="00064317" w:rsidRPr="00064317" w:rsidRDefault="00064317" w:rsidP="00064317">
      <w:pPr>
        <w:spacing w:after="0" w:line="240" w:lineRule="auto"/>
        <w:ind w:left="3538"/>
        <w:jc w:val="center"/>
        <w:rPr>
          <w:rFonts w:cs="Calibri"/>
          <w:sz w:val="28"/>
        </w:rPr>
      </w:pPr>
      <w:r w:rsidRPr="00064317">
        <w:rPr>
          <w:rFonts w:cs="Calibri"/>
          <w:sz w:val="28"/>
        </w:rPr>
        <w:t>/dokument podpisany elektronicznie/</w:t>
      </w:r>
    </w:p>
    <w:p w14:paraId="79E076E9" w14:textId="77777777" w:rsidR="00C725C5" w:rsidRPr="00C725C5" w:rsidRDefault="00C725C5" w:rsidP="00C725C5">
      <w:pPr>
        <w:widowControl w:val="0"/>
        <w:autoSpaceDE w:val="0"/>
        <w:autoSpaceDN w:val="0"/>
        <w:adjustRightInd w:val="0"/>
        <w:spacing w:after="120" w:line="240" w:lineRule="auto"/>
        <w:ind w:right="-1"/>
        <w:jc w:val="both"/>
        <w:rPr>
          <w:rFonts w:cstheme="minorHAnsi"/>
          <w:sz w:val="28"/>
          <w:szCs w:val="28"/>
        </w:rPr>
      </w:pPr>
    </w:p>
    <w:p w14:paraId="333EB990" w14:textId="77777777" w:rsidR="00C725C5" w:rsidRPr="00C725C5" w:rsidRDefault="00C725C5" w:rsidP="00C725C5">
      <w:pPr>
        <w:widowControl w:val="0"/>
        <w:autoSpaceDE w:val="0"/>
        <w:autoSpaceDN w:val="0"/>
        <w:adjustRightInd w:val="0"/>
        <w:spacing w:after="120" w:line="240" w:lineRule="auto"/>
        <w:ind w:right="-1"/>
        <w:jc w:val="both"/>
        <w:rPr>
          <w:rFonts w:cstheme="minorHAnsi"/>
          <w:sz w:val="28"/>
          <w:szCs w:val="28"/>
        </w:rPr>
      </w:pPr>
      <w:r w:rsidRPr="00C725C5">
        <w:rPr>
          <w:rFonts w:cstheme="minorHAnsi"/>
          <w:sz w:val="28"/>
          <w:szCs w:val="28"/>
        </w:rPr>
        <w:t>Załączniki:</w:t>
      </w:r>
    </w:p>
    <w:p w14:paraId="086198F7" w14:textId="77777777" w:rsidR="00C725C5" w:rsidRPr="00C725C5" w:rsidRDefault="00C725C5" w:rsidP="00C725C5">
      <w:pPr>
        <w:numPr>
          <w:ilvl w:val="0"/>
          <w:numId w:val="21"/>
        </w:numPr>
        <w:spacing w:after="120" w:line="240" w:lineRule="auto"/>
        <w:ind w:right="-1"/>
        <w:jc w:val="both"/>
        <w:rPr>
          <w:rFonts w:cstheme="minorHAnsi"/>
          <w:sz w:val="28"/>
          <w:szCs w:val="28"/>
        </w:rPr>
      </w:pPr>
      <w:r w:rsidRPr="00C725C5">
        <w:rPr>
          <w:rFonts w:cstheme="minorHAnsi"/>
          <w:sz w:val="28"/>
          <w:szCs w:val="28"/>
        </w:rPr>
        <w:t>załącznik nr 1 – część graficzna decyzji,</w:t>
      </w:r>
    </w:p>
    <w:p w14:paraId="2335F26E" w14:textId="77777777" w:rsidR="00C725C5" w:rsidRPr="00C725C5" w:rsidRDefault="00C725C5" w:rsidP="00C725C5">
      <w:pPr>
        <w:numPr>
          <w:ilvl w:val="0"/>
          <w:numId w:val="21"/>
        </w:numPr>
        <w:spacing w:after="120" w:line="240" w:lineRule="auto"/>
        <w:ind w:right="-1"/>
        <w:jc w:val="both"/>
        <w:rPr>
          <w:rFonts w:cstheme="minorHAnsi"/>
          <w:sz w:val="28"/>
          <w:szCs w:val="28"/>
        </w:rPr>
      </w:pPr>
      <w:r w:rsidRPr="00C725C5">
        <w:rPr>
          <w:rFonts w:cstheme="minorHAnsi"/>
          <w:sz w:val="28"/>
          <w:szCs w:val="28"/>
        </w:rPr>
        <w:t>załącznik nr 2 – część tekstowa wyników analizy funkcji oraz cech zabudowy i zagospodarowania terenu.</w:t>
      </w:r>
    </w:p>
    <w:p w14:paraId="67A2305D" w14:textId="77777777" w:rsidR="00C725C5" w:rsidRPr="00C725C5" w:rsidRDefault="00C725C5" w:rsidP="00C725C5">
      <w:pPr>
        <w:spacing w:after="0" w:line="240" w:lineRule="auto"/>
        <w:jc w:val="both"/>
        <w:rPr>
          <w:rFonts w:cstheme="minorHAnsi"/>
          <w:sz w:val="28"/>
          <w:szCs w:val="28"/>
        </w:rPr>
      </w:pPr>
    </w:p>
    <w:p w14:paraId="542647C9" w14:textId="77777777" w:rsidR="00C725C5" w:rsidRPr="00C725C5" w:rsidRDefault="00C725C5" w:rsidP="00C725C5">
      <w:pPr>
        <w:spacing w:after="0" w:line="240" w:lineRule="auto"/>
        <w:jc w:val="both"/>
        <w:rPr>
          <w:rFonts w:cstheme="minorHAnsi"/>
          <w:sz w:val="28"/>
          <w:szCs w:val="28"/>
        </w:rPr>
      </w:pPr>
      <w:r w:rsidRPr="00C725C5">
        <w:rPr>
          <w:rFonts w:cstheme="minorHAnsi"/>
          <w:sz w:val="28"/>
          <w:szCs w:val="28"/>
        </w:rPr>
        <w:t>Sprawę prowadzi:</w:t>
      </w:r>
    </w:p>
    <w:p w14:paraId="5B9CC85A" w14:textId="77777777" w:rsidR="00C725C5" w:rsidRPr="00C725C5" w:rsidRDefault="00C725C5" w:rsidP="00C725C5">
      <w:pPr>
        <w:spacing w:after="0" w:line="240" w:lineRule="auto"/>
        <w:jc w:val="both"/>
        <w:rPr>
          <w:rFonts w:cstheme="minorHAnsi"/>
          <w:sz w:val="28"/>
          <w:szCs w:val="28"/>
        </w:rPr>
      </w:pPr>
      <w:r w:rsidRPr="00C725C5">
        <w:rPr>
          <w:rFonts w:cstheme="minorHAnsi"/>
          <w:sz w:val="28"/>
          <w:szCs w:val="28"/>
        </w:rPr>
        <w:t>Monika Grzegorek</w:t>
      </w:r>
      <w:r w:rsidRPr="00C725C5">
        <w:rPr>
          <w:rFonts w:cstheme="minorHAnsi"/>
          <w:sz w:val="28"/>
          <w:szCs w:val="28"/>
        </w:rPr>
        <w:tab/>
      </w:r>
    </w:p>
    <w:p w14:paraId="28BF18D6" w14:textId="77777777" w:rsidR="00C725C5" w:rsidRPr="00C725C5" w:rsidRDefault="00C725C5" w:rsidP="00C725C5">
      <w:pPr>
        <w:spacing w:after="0" w:line="240" w:lineRule="auto"/>
        <w:jc w:val="both"/>
        <w:rPr>
          <w:rFonts w:cstheme="minorHAnsi"/>
          <w:sz w:val="28"/>
          <w:szCs w:val="28"/>
        </w:rPr>
      </w:pPr>
      <w:r w:rsidRPr="00C725C5">
        <w:rPr>
          <w:rFonts w:cstheme="minorHAnsi"/>
          <w:sz w:val="28"/>
          <w:szCs w:val="28"/>
        </w:rPr>
        <w:t>inspektor</w:t>
      </w:r>
    </w:p>
    <w:p w14:paraId="4628920C" w14:textId="77777777" w:rsidR="00C725C5" w:rsidRPr="00C725C5" w:rsidRDefault="00C725C5" w:rsidP="00C725C5">
      <w:pPr>
        <w:spacing w:after="0" w:line="240" w:lineRule="auto"/>
        <w:jc w:val="both"/>
        <w:rPr>
          <w:rFonts w:cstheme="minorHAnsi"/>
          <w:sz w:val="28"/>
          <w:szCs w:val="28"/>
        </w:rPr>
      </w:pPr>
      <w:r w:rsidRPr="00C725C5">
        <w:rPr>
          <w:rFonts w:cstheme="minorHAnsi"/>
          <w:sz w:val="28"/>
          <w:szCs w:val="28"/>
        </w:rPr>
        <w:t xml:space="preserve">tel. 61 28 47 123 </w:t>
      </w:r>
    </w:p>
    <w:p w14:paraId="1D77BB11" w14:textId="77777777" w:rsidR="00C725C5" w:rsidRPr="00C725C5" w:rsidRDefault="00C725C5" w:rsidP="00C725C5">
      <w:pPr>
        <w:spacing w:after="120" w:line="240" w:lineRule="auto"/>
        <w:ind w:left="567"/>
        <w:jc w:val="both"/>
        <w:rPr>
          <w:rFonts w:cstheme="minorHAnsi"/>
          <w:sz w:val="28"/>
          <w:szCs w:val="28"/>
        </w:rPr>
      </w:pPr>
    </w:p>
    <w:p w14:paraId="15503373" w14:textId="77777777" w:rsidR="00C725C5" w:rsidRPr="00C725C5" w:rsidRDefault="00C725C5" w:rsidP="00C725C5">
      <w:pPr>
        <w:spacing w:after="120" w:line="240" w:lineRule="auto"/>
        <w:jc w:val="both"/>
        <w:rPr>
          <w:rFonts w:cstheme="minorHAnsi"/>
          <w:sz w:val="28"/>
          <w:szCs w:val="28"/>
        </w:rPr>
      </w:pPr>
      <w:r w:rsidRPr="00C725C5">
        <w:rPr>
          <w:rFonts w:cstheme="minorHAnsi"/>
          <w:sz w:val="28"/>
          <w:szCs w:val="28"/>
        </w:rPr>
        <w:t>Otrzymują:</w:t>
      </w:r>
    </w:p>
    <w:p w14:paraId="676DF1FF" w14:textId="5A7AB4B1" w:rsidR="00C725C5" w:rsidRPr="00C725C5" w:rsidRDefault="00C725C5" w:rsidP="009537E4">
      <w:pPr>
        <w:numPr>
          <w:ilvl w:val="0"/>
          <w:numId w:val="37"/>
        </w:numPr>
        <w:spacing w:after="120" w:line="240" w:lineRule="auto"/>
        <w:contextualSpacing/>
        <w:jc w:val="both"/>
        <w:rPr>
          <w:rFonts w:cstheme="minorHAnsi"/>
          <w:sz w:val="28"/>
          <w:szCs w:val="28"/>
        </w:rPr>
      </w:pPr>
      <w:r w:rsidRPr="00C725C5">
        <w:rPr>
          <w:rFonts w:cstheme="minorHAnsi"/>
          <w:sz w:val="28"/>
          <w:szCs w:val="28"/>
        </w:rPr>
        <w:t xml:space="preserve">Strona postępowania: </w:t>
      </w:r>
      <w:r w:rsidR="00A108DE">
        <w:rPr>
          <w:rFonts w:cstheme="minorHAnsi"/>
          <w:sz w:val="28"/>
          <w:szCs w:val="28"/>
        </w:rPr>
        <w:t>…….</w:t>
      </w:r>
    </w:p>
    <w:p w14:paraId="7FE9A9D6" w14:textId="77777777" w:rsidR="00C725C5" w:rsidRPr="00C725C5" w:rsidRDefault="00C725C5" w:rsidP="00C725C5">
      <w:pPr>
        <w:numPr>
          <w:ilvl w:val="0"/>
          <w:numId w:val="37"/>
        </w:numPr>
        <w:spacing w:after="120" w:line="240" w:lineRule="auto"/>
        <w:contextualSpacing/>
        <w:jc w:val="both"/>
        <w:rPr>
          <w:rFonts w:cstheme="minorHAnsi"/>
          <w:sz w:val="28"/>
          <w:szCs w:val="28"/>
        </w:rPr>
      </w:pPr>
      <w:r w:rsidRPr="00C725C5">
        <w:rPr>
          <w:rFonts w:cstheme="minorHAnsi"/>
          <w:sz w:val="28"/>
          <w:szCs w:val="28"/>
        </w:rPr>
        <w:t>aa</w:t>
      </w:r>
    </w:p>
    <w:p w14:paraId="42256DA7" w14:textId="77777777" w:rsidR="00C725C5" w:rsidRPr="00C725C5" w:rsidRDefault="00C725C5" w:rsidP="00C725C5">
      <w:pPr>
        <w:spacing w:after="120" w:line="240" w:lineRule="auto"/>
        <w:jc w:val="both"/>
        <w:rPr>
          <w:rFonts w:cstheme="minorHAnsi"/>
          <w:sz w:val="28"/>
          <w:szCs w:val="28"/>
        </w:rPr>
      </w:pPr>
    </w:p>
    <w:p w14:paraId="30EC83B3" w14:textId="77777777" w:rsidR="00C725C5" w:rsidRPr="00C725C5" w:rsidRDefault="00C725C5" w:rsidP="00C725C5">
      <w:pPr>
        <w:spacing w:after="120" w:line="240" w:lineRule="auto"/>
        <w:jc w:val="both"/>
        <w:rPr>
          <w:rFonts w:cstheme="minorHAnsi"/>
          <w:sz w:val="28"/>
          <w:szCs w:val="28"/>
        </w:rPr>
      </w:pPr>
      <w:r w:rsidRPr="00C725C5">
        <w:rPr>
          <w:rFonts w:cstheme="minorHAnsi"/>
          <w:sz w:val="28"/>
          <w:szCs w:val="28"/>
        </w:rPr>
        <w:t>Decyzja zwolniona od opłaty skarbowej zgodnie z załącznikiem do ustawy z dnia 16 listopada 2006 r. o opłacie skarbowej (Dz. U. z 2022 r. poz. 2142, 1812 i 2236) część I ust. 8.</w:t>
      </w:r>
    </w:p>
    <w:p w14:paraId="2365211F" w14:textId="7C85304F" w:rsidR="00C725C5" w:rsidRDefault="00C725C5">
      <w:pPr>
        <w:rPr>
          <w:rFonts w:ascii="Calibri" w:eastAsia="SimSun" w:hAnsi="Calibri" w:cs="Calibri"/>
          <w:color w:val="000000"/>
          <w:sz w:val="28"/>
          <w:szCs w:val="28"/>
          <w:lang w:eastAsia="hi-IN" w:bidi="hi-IN"/>
        </w:rPr>
      </w:pPr>
      <w:r>
        <w:rPr>
          <w:rFonts w:ascii="Calibri" w:eastAsia="SimSun" w:hAnsi="Calibri" w:cs="Calibri"/>
          <w:color w:val="000000"/>
          <w:sz w:val="28"/>
          <w:szCs w:val="28"/>
          <w:lang w:eastAsia="hi-IN" w:bidi="hi-IN"/>
        </w:rPr>
        <w:br w:type="page"/>
      </w:r>
    </w:p>
    <w:p w14:paraId="564CBB71" w14:textId="77777777" w:rsidR="00CF2D34" w:rsidRDefault="00CF2D34" w:rsidP="00C725C5">
      <w:pPr>
        <w:spacing w:after="0" w:line="240" w:lineRule="auto"/>
        <w:rPr>
          <w:rFonts w:eastAsia="Calibri" w:cstheme="minorHAnsi"/>
          <w:sz w:val="28"/>
          <w:szCs w:val="28"/>
        </w:rPr>
      </w:pPr>
      <w:r>
        <w:rPr>
          <w:rFonts w:eastAsia="Calibri" w:cstheme="minorHAnsi"/>
          <w:noProof/>
          <w:sz w:val="28"/>
          <w:szCs w:val="28"/>
        </w:rPr>
        <w:lastRenderedPageBreak/>
        <w:drawing>
          <wp:inline distT="0" distB="0" distL="0" distR="0" wp14:anchorId="44E556C4" wp14:editId="66B6A556">
            <wp:extent cx="6067425" cy="8264597"/>
            <wp:effectExtent l="0" t="0" r="0" b="317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8">
                      <a:extLst>
                        <a:ext uri="{28A0092B-C50C-407E-A947-70E740481C1C}">
                          <a14:useLocalDpi xmlns:a14="http://schemas.microsoft.com/office/drawing/2010/main" val="0"/>
                        </a:ext>
                      </a:extLst>
                    </a:blip>
                    <a:stretch>
                      <a:fillRect/>
                    </a:stretch>
                  </pic:blipFill>
                  <pic:spPr>
                    <a:xfrm>
                      <a:off x="0" y="0"/>
                      <a:ext cx="6070076" cy="8268208"/>
                    </a:xfrm>
                    <a:prstGeom prst="rect">
                      <a:avLst/>
                    </a:prstGeom>
                  </pic:spPr>
                </pic:pic>
              </a:graphicData>
            </a:graphic>
          </wp:inline>
        </w:drawing>
      </w:r>
    </w:p>
    <w:p w14:paraId="50265EAB" w14:textId="77777777" w:rsidR="00CF2D34" w:rsidRDefault="00CF2D34" w:rsidP="00C725C5">
      <w:pPr>
        <w:spacing w:after="0" w:line="240" w:lineRule="auto"/>
        <w:rPr>
          <w:rFonts w:eastAsia="Calibri" w:cstheme="minorHAnsi"/>
          <w:sz w:val="28"/>
          <w:szCs w:val="28"/>
        </w:rPr>
      </w:pPr>
    </w:p>
    <w:p w14:paraId="13BE19FD" w14:textId="77777777" w:rsidR="00CF2D34" w:rsidRDefault="00CF2D34" w:rsidP="00C725C5">
      <w:pPr>
        <w:spacing w:after="0" w:line="240" w:lineRule="auto"/>
        <w:rPr>
          <w:rFonts w:eastAsia="Calibri" w:cstheme="minorHAnsi"/>
          <w:sz w:val="28"/>
          <w:szCs w:val="28"/>
        </w:rPr>
      </w:pPr>
    </w:p>
    <w:p w14:paraId="29162D49" w14:textId="6B0AADE5" w:rsidR="0089750C" w:rsidRPr="00C725C5" w:rsidRDefault="0089750C" w:rsidP="00C725C5">
      <w:pPr>
        <w:spacing w:after="0" w:line="240" w:lineRule="auto"/>
        <w:rPr>
          <w:rFonts w:ascii="Calibri" w:eastAsia="SimSun" w:hAnsi="Calibri" w:cs="Calibri"/>
          <w:color w:val="000000"/>
          <w:sz w:val="28"/>
          <w:szCs w:val="28"/>
          <w:lang w:eastAsia="hi-IN" w:bidi="hi-IN"/>
        </w:rPr>
      </w:pPr>
      <w:r w:rsidRPr="0089750C">
        <w:rPr>
          <w:rFonts w:eastAsia="Calibri" w:cstheme="minorHAnsi"/>
          <w:sz w:val="28"/>
          <w:szCs w:val="28"/>
        </w:rPr>
        <w:lastRenderedPageBreak/>
        <w:t>PPSPP.6730.</w:t>
      </w:r>
      <w:r w:rsidR="009537E4">
        <w:rPr>
          <w:rFonts w:eastAsia="Calibri" w:cstheme="minorHAnsi"/>
          <w:sz w:val="28"/>
          <w:szCs w:val="28"/>
        </w:rPr>
        <w:t>5</w:t>
      </w:r>
      <w:r w:rsidRPr="0089750C">
        <w:rPr>
          <w:rFonts w:eastAsia="Calibri" w:cstheme="minorHAnsi"/>
          <w:sz w:val="28"/>
          <w:szCs w:val="28"/>
        </w:rPr>
        <w:t>.2022.GMON</w:t>
      </w:r>
    </w:p>
    <w:p w14:paraId="51CE249D" w14:textId="77777777" w:rsidR="009537E4" w:rsidRDefault="009537E4" w:rsidP="009537E4">
      <w:pPr>
        <w:spacing w:after="120" w:line="240" w:lineRule="auto"/>
        <w:jc w:val="center"/>
        <w:rPr>
          <w:rFonts w:eastAsia="Calibri" w:cstheme="minorHAnsi"/>
          <w:sz w:val="28"/>
          <w:szCs w:val="28"/>
        </w:rPr>
      </w:pPr>
    </w:p>
    <w:p w14:paraId="6EED99E4" w14:textId="5E49D71C" w:rsidR="009537E4" w:rsidRPr="009537E4" w:rsidRDefault="009537E4" w:rsidP="009537E4">
      <w:pPr>
        <w:spacing w:after="120" w:line="240" w:lineRule="auto"/>
        <w:jc w:val="center"/>
        <w:rPr>
          <w:rFonts w:eastAsia="Calibri" w:cstheme="minorHAnsi"/>
          <w:sz w:val="28"/>
          <w:szCs w:val="28"/>
        </w:rPr>
      </w:pPr>
      <w:r w:rsidRPr="009537E4">
        <w:rPr>
          <w:rFonts w:eastAsia="Calibri" w:cstheme="minorHAnsi"/>
          <w:sz w:val="28"/>
          <w:szCs w:val="28"/>
        </w:rPr>
        <w:t>Wyniki analizy funkcji oraz cech zabudowy i zagospodarowania terenu w zakresie warunków, o których mowa w art. 61 ust. 1 – 5 ustawy z dnia 27 marca 2003 r. o planowaniu i zagospodarowaniu przestrzennym</w:t>
      </w:r>
    </w:p>
    <w:p w14:paraId="2C35AA27" w14:textId="77777777" w:rsidR="009537E4" w:rsidRPr="009537E4" w:rsidRDefault="009537E4" w:rsidP="009537E4">
      <w:pPr>
        <w:spacing w:after="120" w:line="240" w:lineRule="auto"/>
        <w:rPr>
          <w:rFonts w:eastAsia="Calibri" w:cstheme="minorHAnsi"/>
          <w:sz w:val="28"/>
          <w:szCs w:val="28"/>
        </w:rPr>
      </w:pPr>
    </w:p>
    <w:p w14:paraId="21CD6A6B" w14:textId="77777777" w:rsidR="009537E4" w:rsidRPr="009537E4" w:rsidRDefault="009537E4" w:rsidP="009537E4">
      <w:pPr>
        <w:spacing w:after="120" w:line="240" w:lineRule="auto"/>
        <w:ind w:firstLine="567"/>
        <w:jc w:val="both"/>
        <w:rPr>
          <w:rFonts w:eastAsia="Calibri" w:cstheme="minorHAnsi"/>
          <w:sz w:val="28"/>
          <w:szCs w:val="28"/>
        </w:rPr>
      </w:pPr>
      <w:r w:rsidRPr="009537E4">
        <w:rPr>
          <w:rFonts w:eastAsia="Calibri" w:cstheme="minorHAnsi"/>
          <w:sz w:val="28"/>
          <w:szCs w:val="28"/>
        </w:rPr>
        <w:t>Spełnienie warunków dopuszczających wydanie decyzji o warunkach zabudowy, których mowa w art. 61 ust. 1 ustawy z dnia 27 marca 2003 r. o planowaniu i zagospodarowaniu przestrzennym przedstawiono w poniższej tabeli.</w:t>
      </w:r>
    </w:p>
    <w:tbl>
      <w:tblPr>
        <w:tblStyle w:val="Tabela-Siatka"/>
        <w:tblW w:w="0" w:type="auto"/>
        <w:tblInd w:w="108" w:type="dxa"/>
        <w:tblLook w:val="04A0" w:firstRow="1" w:lastRow="0" w:firstColumn="1" w:lastColumn="0" w:noHBand="0" w:noVBand="1"/>
      </w:tblPr>
      <w:tblGrid>
        <w:gridCol w:w="705"/>
        <w:gridCol w:w="6136"/>
        <w:gridCol w:w="1828"/>
      </w:tblGrid>
      <w:tr w:rsidR="009537E4" w:rsidRPr="009537E4" w14:paraId="114FF5B0" w14:textId="77777777" w:rsidTr="00CF3299">
        <w:tc>
          <w:tcPr>
            <w:tcW w:w="6946" w:type="dxa"/>
            <w:gridSpan w:val="2"/>
            <w:tcBorders>
              <w:top w:val="single" w:sz="4" w:space="0" w:color="auto"/>
              <w:left w:val="single" w:sz="4" w:space="0" w:color="auto"/>
              <w:bottom w:val="single" w:sz="4" w:space="0" w:color="auto"/>
              <w:right w:val="dotted" w:sz="4" w:space="0" w:color="auto"/>
            </w:tcBorders>
            <w:vAlign w:val="center"/>
            <w:hideMark/>
          </w:tcPr>
          <w:p w14:paraId="607852F3" w14:textId="77777777" w:rsidR="009537E4" w:rsidRPr="009537E4" w:rsidRDefault="009537E4" w:rsidP="009537E4">
            <w:pPr>
              <w:spacing w:after="120"/>
              <w:jc w:val="both"/>
              <w:rPr>
                <w:rFonts w:asciiTheme="minorHAnsi" w:hAnsiTheme="minorHAnsi" w:cstheme="minorHAnsi"/>
                <w:sz w:val="24"/>
                <w:szCs w:val="24"/>
              </w:rPr>
            </w:pPr>
            <w:r w:rsidRPr="009537E4">
              <w:rPr>
                <w:rFonts w:asciiTheme="minorHAnsi" w:hAnsiTheme="minorHAnsi" w:cstheme="minorHAnsi"/>
                <w:sz w:val="24"/>
                <w:szCs w:val="24"/>
              </w:rPr>
              <w:t>Punkt i treść warunku, o którym mowa w art. 61 ust. 1</w:t>
            </w:r>
          </w:p>
        </w:tc>
        <w:tc>
          <w:tcPr>
            <w:tcW w:w="1843" w:type="dxa"/>
            <w:tcBorders>
              <w:top w:val="single" w:sz="4" w:space="0" w:color="auto"/>
              <w:left w:val="dotted" w:sz="4" w:space="0" w:color="auto"/>
              <w:bottom w:val="single" w:sz="4" w:space="0" w:color="auto"/>
              <w:right w:val="single" w:sz="4" w:space="0" w:color="auto"/>
            </w:tcBorders>
            <w:vAlign w:val="center"/>
            <w:hideMark/>
          </w:tcPr>
          <w:p w14:paraId="03132A71" w14:textId="77777777" w:rsidR="009537E4" w:rsidRPr="009537E4" w:rsidRDefault="009537E4" w:rsidP="009537E4">
            <w:pPr>
              <w:spacing w:after="120"/>
              <w:jc w:val="center"/>
              <w:rPr>
                <w:rFonts w:asciiTheme="minorHAnsi" w:hAnsiTheme="minorHAnsi" w:cstheme="minorHAnsi"/>
                <w:sz w:val="24"/>
                <w:szCs w:val="24"/>
              </w:rPr>
            </w:pPr>
            <w:r w:rsidRPr="009537E4">
              <w:rPr>
                <w:rFonts w:asciiTheme="minorHAnsi" w:hAnsiTheme="minorHAnsi" w:cstheme="minorHAnsi"/>
                <w:sz w:val="24"/>
                <w:szCs w:val="24"/>
              </w:rPr>
              <w:t>Spełnienie warunku</w:t>
            </w:r>
          </w:p>
        </w:tc>
      </w:tr>
      <w:tr w:rsidR="009537E4" w:rsidRPr="009537E4" w14:paraId="1031D5D9" w14:textId="77777777" w:rsidTr="00CF3299">
        <w:tc>
          <w:tcPr>
            <w:tcW w:w="709" w:type="dxa"/>
            <w:tcBorders>
              <w:top w:val="single" w:sz="4" w:space="0" w:color="auto"/>
              <w:left w:val="single" w:sz="4" w:space="0" w:color="auto"/>
              <w:bottom w:val="single" w:sz="2" w:space="0" w:color="auto"/>
              <w:right w:val="dotted" w:sz="4" w:space="0" w:color="auto"/>
            </w:tcBorders>
            <w:vAlign w:val="center"/>
            <w:hideMark/>
          </w:tcPr>
          <w:p w14:paraId="4391231A" w14:textId="77777777" w:rsidR="009537E4" w:rsidRPr="009537E4" w:rsidRDefault="009537E4" w:rsidP="009537E4">
            <w:pPr>
              <w:spacing w:after="120"/>
              <w:jc w:val="center"/>
              <w:rPr>
                <w:rFonts w:asciiTheme="minorHAnsi" w:hAnsiTheme="minorHAnsi" w:cstheme="minorHAnsi"/>
                <w:sz w:val="24"/>
                <w:szCs w:val="24"/>
              </w:rPr>
            </w:pPr>
            <w:r w:rsidRPr="009537E4">
              <w:rPr>
                <w:rFonts w:asciiTheme="minorHAnsi" w:hAnsiTheme="minorHAnsi" w:cstheme="minorHAnsi"/>
                <w:sz w:val="24"/>
                <w:szCs w:val="24"/>
              </w:rPr>
              <w:t>pkt 1</w:t>
            </w:r>
          </w:p>
        </w:tc>
        <w:tc>
          <w:tcPr>
            <w:tcW w:w="6237" w:type="dxa"/>
            <w:tcBorders>
              <w:top w:val="single" w:sz="4" w:space="0" w:color="auto"/>
              <w:left w:val="dotted" w:sz="4" w:space="0" w:color="auto"/>
              <w:bottom w:val="single" w:sz="2" w:space="0" w:color="auto"/>
              <w:right w:val="dotted" w:sz="4" w:space="0" w:color="auto"/>
            </w:tcBorders>
            <w:hideMark/>
          </w:tcPr>
          <w:p w14:paraId="31FC75D6" w14:textId="77777777" w:rsidR="009537E4" w:rsidRPr="009537E4" w:rsidRDefault="009537E4" w:rsidP="009537E4">
            <w:pPr>
              <w:spacing w:after="120"/>
              <w:jc w:val="both"/>
              <w:rPr>
                <w:rFonts w:asciiTheme="minorHAnsi" w:hAnsiTheme="minorHAnsi" w:cstheme="minorHAnsi"/>
                <w:sz w:val="24"/>
                <w:szCs w:val="24"/>
              </w:rPr>
            </w:pPr>
            <w:r w:rsidRPr="009537E4">
              <w:rPr>
                <w:rFonts w:asciiTheme="minorHAnsi" w:hAnsiTheme="minorHAnsi"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43" w:type="dxa"/>
            <w:tcBorders>
              <w:top w:val="single" w:sz="4" w:space="0" w:color="auto"/>
              <w:left w:val="dotted" w:sz="4" w:space="0" w:color="auto"/>
              <w:bottom w:val="single" w:sz="2" w:space="0" w:color="auto"/>
              <w:right w:val="single" w:sz="4" w:space="0" w:color="auto"/>
            </w:tcBorders>
            <w:vAlign w:val="center"/>
            <w:hideMark/>
          </w:tcPr>
          <w:p w14:paraId="3D4160F8" w14:textId="77777777" w:rsidR="009537E4" w:rsidRPr="009537E4" w:rsidRDefault="009537E4" w:rsidP="009537E4">
            <w:pPr>
              <w:spacing w:after="120"/>
              <w:jc w:val="center"/>
              <w:rPr>
                <w:rFonts w:asciiTheme="minorHAnsi" w:hAnsiTheme="minorHAnsi" w:cstheme="minorHAnsi"/>
                <w:sz w:val="24"/>
                <w:szCs w:val="24"/>
              </w:rPr>
            </w:pPr>
            <w:r w:rsidRPr="009537E4">
              <w:rPr>
                <w:rFonts w:asciiTheme="minorHAnsi" w:hAnsiTheme="minorHAnsi" w:cstheme="minorHAnsi"/>
                <w:sz w:val="24"/>
                <w:szCs w:val="24"/>
              </w:rPr>
              <w:t>nie dotyczy</w:t>
            </w:r>
          </w:p>
        </w:tc>
      </w:tr>
      <w:tr w:rsidR="009537E4" w:rsidRPr="009537E4" w14:paraId="6B066472" w14:textId="77777777" w:rsidTr="00CF3299">
        <w:tc>
          <w:tcPr>
            <w:tcW w:w="709" w:type="dxa"/>
            <w:tcBorders>
              <w:top w:val="single" w:sz="2" w:space="0" w:color="auto"/>
              <w:left w:val="single" w:sz="4" w:space="0" w:color="auto"/>
              <w:bottom w:val="single" w:sz="2" w:space="0" w:color="auto"/>
              <w:right w:val="dotted" w:sz="4" w:space="0" w:color="auto"/>
            </w:tcBorders>
            <w:vAlign w:val="center"/>
            <w:hideMark/>
          </w:tcPr>
          <w:p w14:paraId="62E5B1CF" w14:textId="77777777" w:rsidR="009537E4" w:rsidRPr="009537E4" w:rsidRDefault="009537E4" w:rsidP="009537E4">
            <w:pPr>
              <w:spacing w:after="120"/>
              <w:jc w:val="center"/>
              <w:rPr>
                <w:rFonts w:asciiTheme="minorHAnsi" w:hAnsiTheme="minorHAnsi" w:cstheme="minorHAnsi"/>
                <w:sz w:val="24"/>
                <w:szCs w:val="24"/>
              </w:rPr>
            </w:pPr>
            <w:r w:rsidRPr="009537E4">
              <w:rPr>
                <w:rFonts w:asciiTheme="minorHAnsi" w:hAnsiTheme="minorHAnsi" w:cstheme="minorHAnsi"/>
                <w:sz w:val="24"/>
                <w:szCs w:val="24"/>
              </w:rPr>
              <w:t>pkt 2</w:t>
            </w:r>
          </w:p>
        </w:tc>
        <w:tc>
          <w:tcPr>
            <w:tcW w:w="6237" w:type="dxa"/>
            <w:tcBorders>
              <w:top w:val="single" w:sz="2" w:space="0" w:color="auto"/>
              <w:left w:val="dotted" w:sz="4" w:space="0" w:color="auto"/>
              <w:bottom w:val="single" w:sz="2" w:space="0" w:color="auto"/>
              <w:right w:val="dotted" w:sz="4" w:space="0" w:color="auto"/>
            </w:tcBorders>
            <w:hideMark/>
          </w:tcPr>
          <w:p w14:paraId="20E33315" w14:textId="77777777" w:rsidR="009537E4" w:rsidRPr="009537E4" w:rsidRDefault="009537E4" w:rsidP="009537E4">
            <w:pPr>
              <w:spacing w:after="120"/>
              <w:jc w:val="both"/>
              <w:rPr>
                <w:rFonts w:asciiTheme="minorHAnsi" w:eastAsia="Times New Roman" w:hAnsiTheme="minorHAnsi" w:cstheme="minorHAnsi"/>
                <w:sz w:val="24"/>
                <w:szCs w:val="24"/>
                <w:lang w:eastAsia="pl-PL"/>
              </w:rPr>
            </w:pPr>
            <w:bookmarkStart w:id="0" w:name="mip44711609"/>
            <w:bookmarkEnd w:id="0"/>
            <w:r w:rsidRPr="009537E4">
              <w:rPr>
                <w:rFonts w:asciiTheme="minorHAnsi" w:eastAsia="Times New Roman" w:hAnsiTheme="minorHAnsi" w:cstheme="minorHAnsi"/>
                <w:sz w:val="24"/>
                <w:szCs w:val="24"/>
                <w:lang w:eastAsia="pl-PL"/>
              </w:rPr>
              <w:t>teren ma dostęp do drogi publicznej</w:t>
            </w:r>
          </w:p>
        </w:tc>
        <w:tc>
          <w:tcPr>
            <w:tcW w:w="1843" w:type="dxa"/>
            <w:tcBorders>
              <w:top w:val="single" w:sz="2" w:space="0" w:color="auto"/>
              <w:left w:val="dotted" w:sz="4" w:space="0" w:color="auto"/>
              <w:bottom w:val="single" w:sz="2" w:space="0" w:color="auto"/>
              <w:right w:val="single" w:sz="4" w:space="0" w:color="auto"/>
            </w:tcBorders>
            <w:vAlign w:val="center"/>
            <w:hideMark/>
          </w:tcPr>
          <w:p w14:paraId="472B8126" w14:textId="77777777" w:rsidR="009537E4" w:rsidRPr="009537E4" w:rsidRDefault="009537E4" w:rsidP="009537E4">
            <w:pPr>
              <w:spacing w:after="120"/>
              <w:jc w:val="center"/>
              <w:rPr>
                <w:rFonts w:asciiTheme="minorHAnsi" w:hAnsiTheme="minorHAnsi" w:cstheme="minorHAnsi"/>
                <w:sz w:val="24"/>
                <w:szCs w:val="24"/>
              </w:rPr>
            </w:pPr>
            <w:r w:rsidRPr="009537E4">
              <w:rPr>
                <w:rFonts w:asciiTheme="minorHAnsi" w:hAnsiTheme="minorHAnsi" w:cstheme="minorHAnsi"/>
                <w:sz w:val="24"/>
                <w:szCs w:val="24"/>
              </w:rPr>
              <w:t>tak</w:t>
            </w:r>
          </w:p>
        </w:tc>
      </w:tr>
      <w:tr w:rsidR="009537E4" w:rsidRPr="009537E4" w14:paraId="5D2AB764" w14:textId="77777777" w:rsidTr="00CF3299">
        <w:tc>
          <w:tcPr>
            <w:tcW w:w="709" w:type="dxa"/>
            <w:tcBorders>
              <w:top w:val="single" w:sz="2" w:space="0" w:color="auto"/>
              <w:left w:val="single" w:sz="4" w:space="0" w:color="auto"/>
              <w:bottom w:val="single" w:sz="2" w:space="0" w:color="auto"/>
              <w:right w:val="dotted" w:sz="4" w:space="0" w:color="auto"/>
            </w:tcBorders>
            <w:vAlign w:val="center"/>
            <w:hideMark/>
          </w:tcPr>
          <w:p w14:paraId="6F485ADA" w14:textId="77777777" w:rsidR="009537E4" w:rsidRPr="009537E4" w:rsidRDefault="009537E4" w:rsidP="009537E4">
            <w:pPr>
              <w:spacing w:after="120"/>
              <w:jc w:val="center"/>
              <w:rPr>
                <w:rFonts w:asciiTheme="minorHAnsi" w:hAnsiTheme="minorHAnsi" w:cstheme="minorHAnsi"/>
                <w:sz w:val="24"/>
                <w:szCs w:val="24"/>
              </w:rPr>
            </w:pPr>
            <w:r w:rsidRPr="009537E4">
              <w:rPr>
                <w:rFonts w:asciiTheme="minorHAnsi" w:hAnsiTheme="minorHAnsi" w:cstheme="minorHAnsi"/>
                <w:sz w:val="24"/>
                <w:szCs w:val="24"/>
              </w:rPr>
              <w:t>pkt 3</w:t>
            </w:r>
          </w:p>
        </w:tc>
        <w:tc>
          <w:tcPr>
            <w:tcW w:w="6237" w:type="dxa"/>
            <w:tcBorders>
              <w:top w:val="single" w:sz="2" w:space="0" w:color="auto"/>
              <w:left w:val="dotted" w:sz="4" w:space="0" w:color="auto"/>
              <w:bottom w:val="single" w:sz="2" w:space="0" w:color="auto"/>
              <w:right w:val="dotted" w:sz="4" w:space="0" w:color="auto"/>
            </w:tcBorders>
            <w:hideMark/>
          </w:tcPr>
          <w:p w14:paraId="45D25DB3" w14:textId="77777777" w:rsidR="009537E4" w:rsidRPr="009537E4" w:rsidRDefault="009537E4" w:rsidP="009537E4">
            <w:pPr>
              <w:spacing w:after="120"/>
              <w:jc w:val="both"/>
              <w:rPr>
                <w:rFonts w:asciiTheme="minorHAnsi" w:hAnsiTheme="minorHAnsi" w:cstheme="minorHAnsi"/>
                <w:sz w:val="24"/>
                <w:szCs w:val="24"/>
              </w:rPr>
            </w:pPr>
            <w:r w:rsidRPr="009537E4">
              <w:rPr>
                <w:rFonts w:asciiTheme="minorHAnsi" w:hAnsiTheme="minorHAnsi" w:cstheme="minorHAnsi"/>
                <w:sz w:val="24"/>
                <w:szCs w:val="24"/>
              </w:rPr>
              <w:t>istniejące lub projektowane uzbrojenie terenu jest wystarczające dla zamierzenia budowlanego</w:t>
            </w:r>
          </w:p>
        </w:tc>
        <w:tc>
          <w:tcPr>
            <w:tcW w:w="1843" w:type="dxa"/>
            <w:tcBorders>
              <w:top w:val="single" w:sz="2" w:space="0" w:color="auto"/>
              <w:left w:val="dotted" w:sz="4" w:space="0" w:color="auto"/>
              <w:bottom w:val="single" w:sz="2" w:space="0" w:color="auto"/>
              <w:right w:val="single" w:sz="4" w:space="0" w:color="auto"/>
            </w:tcBorders>
            <w:vAlign w:val="center"/>
            <w:hideMark/>
          </w:tcPr>
          <w:p w14:paraId="32616349" w14:textId="77777777" w:rsidR="009537E4" w:rsidRPr="009537E4" w:rsidRDefault="009537E4" w:rsidP="009537E4">
            <w:pPr>
              <w:spacing w:after="120"/>
              <w:jc w:val="center"/>
              <w:rPr>
                <w:rFonts w:asciiTheme="minorHAnsi" w:hAnsiTheme="minorHAnsi" w:cstheme="minorHAnsi"/>
                <w:sz w:val="24"/>
                <w:szCs w:val="24"/>
              </w:rPr>
            </w:pPr>
            <w:r w:rsidRPr="009537E4">
              <w:rPr>
                <w:rFonts w:asciiTheme="minorHAnsi" w:hAnsiTheme="minorHAnsi" w:cstheme="minorHAnsi"/>
                <w:sz w:val="24"/>
                <w:szCs w:val="24"/>
              </w:rPr>
              <w:t>tak</w:t>
            </w:r>
          </w:p>
        </w:tc>
      </w:tr>
      <w:tr w:rsidR="009537E4" w:rsidRPr="009537E4" w14:paraId="6BF84ABA" w14:textId="77777777" w:rsidTr="00CF3299">
        <w:tc>
          <w:tcPr>
            <w:tcW w:w="709" w:type="dxa"/>
            <w:tcBorders>
              <w:top w:val="single" w:sz="2" w:space="0" w:color="auto"/>
              <w:left w:val="single" w:sz="4" w:space="0" w:color="auto"/>
              <w:bottom w:val="single" w:sz="2" w:space="0" w:color="auto"/>
              <w:right w:val="dotted" w:sz="4" w:space="0" w:color="auto"/>
            </w:tcBorders>
            <w:vAlign w:val="center"/>
            <w:hideMark/>
          </w:tcPr>
          <w:p w14:paraId="4ACA694B" w14:textId="77777777" w:rsidR="009537E4" w:rsidRPr="009537E4" w:rsidRDefault="009537E4" w:rsidP="009537E4">
            <w:pPr>
              <w:spacing w:after="120"/>
              <w:jc w:val="center"/>
              <w:rPr>
                <w:rFonts w:asciiTheme="minorHAnsi" w:hAnsiTheme="minorHAnsi" w:cstheme="minorHAnsi"/>
                <w:sz w:val="24"/>
                <w:szCs w:val="24"/>
              </w:rPr>
            </w:pPr>
            <w:r w:rsidRPr="009537E4">
              <w:rPr>
                <w:rFonts w:asciiTheme="minorHAnsi" w:hAnsiTheme="minorHAnsi" w:cstheme="minorHAnsi"/>
                <w:sz w:val="24"/>
                <w:szCs w:val="24"/>
              </w:rPr>
              <w:t>pkt 4</w:t>
            </w:r>
          </w:p>
        </w:tc>
        <w:tc>
          <w:tcPr>
            <w:tcW w:w="6237" w:type="dxa"/>
            <w:tcBorders>
              <w:top w:val="single" w:sz="2" w:space="0" w:color="auto"/>
              <w:left w:val="dotted" w:sz="4" w:space="0" w:color="auto"/>
              <w:bottom w:val="single" w:sz="2" w:space="0" w:color="auto"/>
              <w:right w:val="dotted" w:sz="4" w:space="0" w:color="auto"/>
            </w:tcBorders>
            <w:hideMark/>
          </w:tcPr>
          <w:p w14:paraId="523646A6" w14:textId="77777777" w:rsidR="009537E4" w:rsidRPr="009537E4" w:rsidRDefault="009537E4" w:rsidP="009537E4">
            <w:pPr>
              <w:spacing w:after="120"/>
              <w:jc w:val="both"/>
              <w:rPr>
                <w:rFonts w:asciiTheme="minorHAnsi" w:hAnsiTheme="minorHAnsi" w:cstheme="minorHAnsi"/>
                <w:sz w:val="24"/>
                <w:szCs w:val="24"/>
              </w:rPr>
            </w:pPr>
            <w:r w:rsidRPr="009537E4">
              <w:rPr>
                <w:rFonts w:asciiTheme="minorHAnsi" w:hAnsiTheme="minorHAnsi" w:cstheme="minorHAnsi"/>
                <w:sz w:val="24"/>
                <w:szCs w:val="24"/>
              </w:rPr>
              <w:t>teren nie wymaga</w:t>
            </w:r>
            <w:r w:rsidRPr="009537E4">
              <w:rPr>
                <w:rFonts w:asciiTheme="minorHAnsi" w:hAnsiTheme="minorHAnsi" w:cstheme="minorHAnsi"/>
                <w:i/>
                <w:sz w:val="24"/>
                <w:szCs w:val="24"/>
              </w:rPr>
              <w:t xml:space="preserve"> </w:t>
            </w:r>
            <w:r w:rsidRPr="009537E4">
              <w:rPr>
                <w:rFonts w:asciiTheme="minorHAnsi" w:hAnsiTheme="minorHAnsi"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43" w:type="dxa"/>
            <w:tcBorders>
              <w:top w:val="single" w:sz="2" w:space="0" w:color="auto"/>
              <w:left w:val="dotted" w:sz="4" w:space="0" w:color="auto"/>
              <w:bottom w:val="single" w:sz="2" w:space="0" w:color="auto"/>
              <w:right w:val="single" w:sz="4" w:space="0" w:color="auto"/>
            </w:tcBorders>
            <w:vAlign w:val="center"/>
            <w:hideMark/>
          </w:tcPr>
          <w:p w14:paraId="0741376F" w14:textId="77777777" w:rsidR="009537E4" w:rsidRPr="009537E4" w:rsidRDefault="009537E4" w:rsidP="009537E4">
            <w:pPr>
              <w:spacing w:after="120"/>
              <w:jc w:val="center"/>
              <w:rPr>
                <w:rFonts w:asciiTheme="minorHAnsi" w:hAnsiTheme="minorHAnsi" w:cstheme="minorHAnsi"/>
                <w:sz w:val="24"/>
                <w:szCs w:val="24"/>
              </w:rPr>
            </w:pPr>
            <w:r w:rsidRPr="009537E4">
              <w:rPr>
                <w:rFonts w:asciiTheme="minorHAnsi" w:hAnsiTheme="minorHAnsi" w:cstheme="minorHAnsi"/>
                <w:sz w:val="24"/>
                <w:szCs w:val="24"/>
              </w:rPr>
              <w:t xml:space="preserve">tak </w:t>
            </w:r>
          </w:p>
        </w:tc>
      </w:tr>
      <w:tr w:rsidR="009537E4" w:rsidRPr="009537E4" w14:paraId="3C130610" w14:textId="77777777" w:rsidTr="00CF3299">
        <w:tc>
          <w:tcPr>
            <w:tcW w:w="709" w:type="dxa"/>
            <w:tcBorders>
              <w:top w:val="single" w:sz="2" w:space="0" w:color="auto"/>
              <w:left w:val="single" w:sz="4" w:space="0" w:color="auto"/>
              <w:bottom w:val="single" w:sz="2" w:space="0" w:color="auto"/>
              <w:right w:val="dotted" w:sz="4" w:space="0" w:color="auto"/>
            </w:tcBorders>
            <w:vAlign w:val="center"/>
            <w:hideMark/>
          </w:tcPr>
          <w:p w14:paraId="2F57C49F" w14:textId="77777777" w:rsidR="009537E4" w:rsidRPr="009537E4" w:rsidRDefault="009537E4" w:rsidP="009537E4">
            <w:pPr>
              <w:spacing w:after="120"/>
              <w:jc w:val="center"/>
              <w:rPr>
                <w:rFonts w:asciiTheme="minorHAnsi" w:hAnsiTheme="minorHAnsi" w:cstheme="minorHAnsi"/>
                <w:sz w:val="24"/>
                <w:szCs w:val="24"/>
              </w:rPr>
            </w:pPr>
            <w:r w:rsidRPr="009537E4">
              <w:rPr>
                <w:rFonts w:asciiTheme="minorHAnsi" w:hAnsiTheme="minorHAnsi" w:cstheme="minorHAnsi"/>
                <w:sz w:val="24"/>
                <w:szCs w:val="24"/>
              </w:rPr>
              <w:t>pkt 5</w:t>
            </w:r>
          </w:p>
        </w:tc>
        <w:tc>
          <w:tcPr>
            <w:tcW w:w="6237" w:type="dxa"/>
            <w:tcBorders>
              <w:top w:val="single" w:sz="2" w:space="0" w:color="auto"/>
              <w:left w:val="dotted" w:sz="4" w:space="0" w:color="auto"/>
              <w:bottom w:val="single" w:sz="2" w:space="0" w:color="auto"/>
              <w:right w:val="dotted" w:sz="4" w:space="0" w:color="auto"/>
            </w:tcBorders>
            <w:hideMark/>
          </w:tcPr>
          <w:p w14:paraId="551ED5C3" w14:textId="77777777" w:rsidR="009537E4" w:rsidRPr="009537E4" w:rsidRDefault="009537E4" w:rsidP="009537E4">
            <w:pPr>
              <w:spacing w:after="120"/>
              <w:jc w:val="both"/>
              <w:rPr>
                <w:rFonts w:asciiTheme="minorHAnsi" w:hAnsiTheme="minorHAnsi" w:cstheme="minorHAnsi"/>
                <w:sz w:val="24"/>
                <w:szCs w:val="24"/>
              </w:rPr>
            </w:pPr>
            <w:r w:rsidRPr="009537E4">
              <w:rPr>
                <w:rFonts w:asciiTheme="minorHAnsi" w:hAnsiTheme="minorHAnsi" w:cstheme="minorHAnsi"/>
                <w:sz w:val="24"/>
                <w:szCs w:val="24"/>
              </w:rPr>
              <w:t>decyzja jest zgodna z przepisami odrębnymi</w:t>
            </w:r>
          </w:p>
        </w:tc>
        <w:tc>
          <w:tcPr>
            <w:tcW w:w="1843" w:type="dxa"/>
            <w:tcBorders>
              <w:top w:val="single" w:sz="2" w:space="0" w:color="auto"/>
              <w:left w:val="dotted" w:sz="4" w:space="0" w:color="auto"/>
              <w:bottom w:val="single" w:sz="2" w:space="0" w:color="auto"/>
              <w:right w:val="single" w:sz="4" w:space="0" w:color="auto"/>
            </w:tcBorders>
            <w:vAlign w:val="center"/>
            <w:hideMark/>
          </w:tcPr>
          <w:p w14:paraId="1AFB770E" w14:textId="77777777" w:rsidR="009537E4" w:rsidRPr="009537E4" w:rsidRDefault="009537E4" w:rsidP="009537E4">
            <w:pPr>
              <w:spacing w:after="120"/>
              <w:jc w:val="center"/>
              <w:rPr>
                <w:rFonts w:asciiTheme="minorHAnsi" w:hAnsiTheme="minorHAnsi" w:cstheme="minorHAnsi"/>
                <w:sz w:val="24"/>
                <w:szCs w:val="24"/>
              </w:rPr>
            </w:pPr>
            <w:r w:rsidRPr="009537E4">
              <w:rPr>
                <w:rFonts w:asciiTheme="minorHAnsi" w:hAnsiTheme="minorHAnsi" w:cstheme="minorHAnsi"/>
                <w:sz w:val="24"/>
                <w:szCs w:val="24"/>
              </w:rPr>
              <w:t xml:space="preserve">tak </w:t>
            </w:r>
          </w:p>
        </w:tc>
      </w:tr>
      <w:tr w:rsidR="009537E4" w:rsidRPr="009537E4" w14:paraId="095797E2" w14:textId="77777777" w:rsidTr="00CF3299">
        <w:tc>
          <w:tcPr>
            <w:tcW w:w="709" w:type="dxa"/>
            <w:tcBorders>
              <w:top w:val="single" w:sz="2" w:space="0" w:color="auto"/>
              <w:left w:val="single" w:sz="4" w:space="0" w:color="auto"/>
              <w:bottom w:val="single" w:sz="4" w:space="0" w:color="auto"/>
              <w:right w:val="dotted" w:sz="4" w:space="0" w:color="auto"/>
            </w:tcBorders>
            <w:vAlign w:val="center"/>
          </w:tcPr>
          <w:p w14:paraId="40DC7392" w14:textId="77777777" w:rsidR="009537E4" w:rsidRPr="009537E4" w:rsidRDefault="009537E4" w:rsidP="009537E4">
            <w:pPr>
              <w:spacing w:after="120"/>
              <w:jc w:val="center"/>
              <w:rPr>
                <w:rFonts w:asciiTheme="minorHAnsi" w:hAnsiTheme="minorHAnsi" w:cstheme="minorHAnsi"/>
                <w:sz w:val="24"/>
                <w:szCs w:val="24"/>
              </w:rPr>
            </w:pPr>
            <w:r w:rsidRPr="009537E4">
              <w:rPr>
                <w:rFonts w:asciiTheme="minorHAnsi" w:hAnsiTheme="minorHAnsi" w:cstheme="minorHAnsi"/>
                <w:sz w:val="24"/>
                <w:szCs w:val="24"/>
              </w:rPr>
              <w:t>pkt 6</w:t>
            </w:r>
          </w:p>
        </w:tc>
        <w:tc>
          <w:tcPr>
            <w:tcW w:w="6237" w:type="dxa"/>
            <w:tcBorders>
              <w:top w:val="single" w:sz="2" w:space="0" w:color="auto"/>
              <w:left w:val="dotted" w:sz="4" w:space="0" w:color="auto"/>
              <w:bottom w:val="single" w:sz="4" w:space="0" w:color="auto"/>
              <w:right w:val="dotted" w:sz="4" w:space="0" w:color="auto"/>
            </w:tcBorders>
          </w:tcPr>
          <w:p w14:paraId="644A871F" w14:textId="77777777" w:rsidR="009537E4" w:rsidRPr="009537E4" w:rsidRDefault="009537E4" w:rsidP="009537E4">
            <w:pPr>
              <w:spacing w:after="120"/>
              <w:jc w:val="both"/>
              <w:rPr>
                <w:rFonts w:asciiTheme="minorHAnsi" w:hAnsiTheme="minorHAnsi" w:cstheme="minorHAnsi"/>
                <w:sz w:val="24"/>
                <w:szCs w:val="24"/>
              </w:rPr>
            </w:pPr>
            <w:r w:rsidRPr="009537E4">
              <w:rPr>
                <w:rFonts w:asciiTheme="minorHAnsi" w:hAnsiTheme="minorHAnsi" w:cstheme="minorHAnsi"/>
                <w:sz w:val="24"/>
                <w:szCs w:val="24"/>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43" w:type="dxa"/>
            <w:tcBorders>
              <w:top w:val="single" w:sz="2" w:space="0" w:color="auto"/>
              <w:left w:val="dotted" w:sz="4" w:space="0" w:color="auto"/>
              <w:bottom w:val="single" w:sz="4" w:space="0" w:color="auto"/>
              <w:right w:val="single" w:sz="4" w:space="0" w:color="auto"/>
            </w:tcBorders>
            <w:vAlign w:val="center"/>
          </w:tcPr>
          <w:p w14:paraId="1A2E9D5C" w14:textId="77777777" w:rsidR="009537E4" w:rsidRPr="009537E4" w:rsidRDefault="009537E4" w:rsidP="009537E4">
            <w:pPr>
              <w:spacing w:after="120"/>
              <w:jc w:val="center"/>
              <w:rPr>
                <w:rFonts w:asciiTheme="minorHAnsi" w:hAnsiTheme="minorHAnsi" w:cstheme="minorHAnsi"/>
                <w:sz w:val="24"/>
                <w:szCs w:val="24"/>
              </w:rPr>
            </w:pPr>
            <w:r w:rsidRPr="009537E4">
              <w:rPr>
                <w:rFonts w:asciiTheme="minorHAnsi" w:hAnsiTheme="minorHAnsi" w:cstheme="minorHAnsi"/>
                <w:sz w:val="24"/>
                <w:szCs w:val="24"/>
              </w:rPr>
              <w:t>tak</w:t>
            </w:r>
          </w:p>
        </w:tc>
      </w:tr>
    </w:tbl>
    <w:p w14:paraId="006A7B31" w14:textId="77777777" w:rsidR="009537E4" w:rsidRPr="009537E4" w:rsidRDefault="009537E4" w:rsidP="009537E4">
      <w:pPr>
        <w:spacing w:after="120" w:line="240" w:lineRule="auto"/>
        <w:rPr>
          <w:rFonts w:eastAsia="Calibri" w:cstheme="minorHAnsi"/>
          <w:sz w:val="28"/>
          <w:szCs w:val="28"/>
        </w:rPr>
      </w:pPr>
    </w:p>
    <w:p w14:paraId="1004C239" w14:textId="77777777" w:rsidR="009537E4" w:rsidRPr="009537E4" w:rsidRDefault="009537E4" w:rsidP="009537E4">
      <w:pPr>
        <w:spacing w:after="0" w:line="240" w:lineRule="auto"/>
        <w:ind w:firstLine="567"/>
        <w:rPr>
          <w:rFonts w:eastAsia="Calibri" w:cs="Times New Roman"/>
          <w:sz w:val="28"/>
        </w:rPr>
      </w:pPr>
      <w:r w:rsidRPr="009537E4">
        <w:rPr>
          <w:rFonts w:eastAsia="Calibri" w:cs="Times New Roman"/>
          <w:sz w:val="28"/>
        </w:rPr>
        <w:br w:type="page"/>
      </w:r>
    </w:p>
    <w:p w14:paraId="219BB9C2" w14:textId="77777777" w:rsidR="009537E4" w:rsidRPr="009537E4" w:rsidRDefault="009537E4" w:rsidP="009537E4">
      <w:pPr>
        <w:spacing w:after="120" w:line="240" w:lineRule="auto"/>
        <w:ind w:firstLine="567"/>
        <w:jc w:val="both"/>
        <w:rPr>
          <w:rFonts w:eastAsia="Calibri" w:cs="Times New Roman"/>
          <w:sz w:val="28"/>
        </w:rPr>
      </w:pPr>
      <w:r w:rsidRPr="009537E4">
        <w:rPr>
          <w:rFonts w:eastAsia="Calibri" w:cs="Times New Roman"/>
          <w:sz w:val="28"/>
        </w:rPr>
        <w:lastRenderedPageBreak/>
        <w:t>Zgodnie z art. 61 ust. 4 ustawy z dnia 27 marca 2003 r. o planowaniu i zagospodarowaniu przestrzennym, przepisów art. 61 ust. 1 pkt 1 nie stosuje się do zabudowy zagrodowej, w przypadku gdy powierzchnia gospodarstwa rolnego związanego z tą zabudową przekracza średnią powierzchnię gospodarstwa rolnego w danej gminie.</w:t>
      </w:r>
    </w:p>
    <w:p w14:paraId="6E321D87" w14:textId="77777777" w:rsidR="009537E4" w:rsidRPr="009537E4" w:rsidRDefault="009537E4" w:rsidP="009537E4">
      <w:pPr>
        <w:spacing w:after="120" w:line="240" w:lineRule="auto"/>
        <w:ind w:firstLine="567"/>
        <w:jc w:val="both"/>
        <w:rPr>
          <w:rFonts w:eastAsia="Calibri" w:cs="Times New Roman"/>
          <w:sz w:val="28"/>
        </w:rPr>
      </w:pPr>
      <w:r w:rsidRPr="009537E4">
        <w:rPr>
          <w:rFonts w:eastAsia="Calibri" w:cs="Times New Roman"/>
          <w:sz w:val="28"/>
        </w:rPr>
        <w:t>Inwestycja planowana jest w ramach istniejącej zabudowy zagrodowej, w przypadku której powierzchnia gospodarstwa rolnego związanego z tą zabudową wynosi zgodnie z informacją zawartą we wniosku przez inwestora 29,4516 ha, czyli przekracza średnią powierzchnię gospodarstwa rolnego w gminie Śrem, gdzie średnia powierzchnia gospodarstwa w gminie wynosi 14,5119 ha.</w:t>
      </w:r>
    </w:p>
    <w:p w14:paraId="13A3C8A2" w14:textId="77777777" w:rsidR="009537E4" w:rsidRPr="009537E4" w:rsidRDefault="009537E4" w:rsidP="009537E4">
      <w:pPr>
        <w:spacing w:after="120" w:line="240" w:lineRule="auto"/>
        <w:ind w:firstLine="567"/>
        <w:jc w:val="both"/>
        <w:rPr>
          <w:rFonts w:eastAsia="Calibri" w:cs="Times New Roman"/>
          <w:sz w:val="28"/>
        </w:rPr>
      </w:pPr>
      <w:r w:rsidRPr="009537E4">
        <w:rPr>
          <w:rFonts w:eastAsia="Calibri" w:cs="Times New Roman"/>
          <w:sz w:val="28"/>
        </w:rPr>
        <w:tab/>
        <w:t>Podsumowując, planowana inwestycja spełnia łącznie wszystkie warunki określone w art. 61 ust. 1 pkt 2 – 6 ustawy z dnia 27 marca 2003 r. o planowaniu i zagospodarowaniu przestrzennym, zatem wydanie decyzji o warunkach zabudowy jest możliwe.</w:t>
      </w:r>
    </w:p>
    <w:p w14:paraId="52D40802" w14:textId="77777777" w:rsidR="0089750C" w:rsidRPr="0089750C" w:rsidRDefault="0089750C" w:rsidP="0089750C">
      <w:pPr>
        <w:spacing w:after="120" w:line="240" w:lineRule="auto"/>
        <w:rPr>
          <w:rFonts w:eastAsia="Calibri" w:cstheme="minorHAnsi"/>
          <w:sz w:val="28"/>
          <w:szCs w:val="28"/>
        </w:rPr>
      </w:pPr>
    </w:p>
    <w:sectPr w:rsidR="0089750C" w:rsidRPr="0089750C" w:rsidSect="00FA372D">
      <w:headerReference w:type="default" r:id="rId9"/>
      <w:footerReference w:type="even" r:id="rId10"/>
      <w:footerReference w:type="default" r:id="rId11"/>
      <w:headerReference w:type="first" r:id="rId12"/>
      <w:footerReference w:type="first" r:id="rId13"/>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253D7" w14:textId="77777777" w:rsidR="007178DB" w:rsidRDefault="007178DB" w:rsidP="00053E5A">
      <w:pPr>
        <w:spacing w:after="0" w:line="240" w:lineRule="auto"/>
      </w:pPr>
      <w:r>
        <w:separator/>
      </w:r>
    </w:p>
  </w:endnote>
  <w:endnote w:type="continuationSeparator" w:id="0">
    <w:p w14:paraId="3DE6DB5F" w14:textId="77777777" w:rsidR="007178DB" w:rsidRDefault="007178DB"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6A18E29C" w:rsidR="00722E64" w:rsidRDefault="00000000" w:rsidP="00722E64">
    <w:pPr>
      <w:pStyle w:val="Stopka"/>
      <w:jc w:val="center"/>
    </w:pPr>
    <w:sdt>
      <w:sdtPr>
        <w:id w:val="906035972"/>
        <w:docPartObj>
          <w:docPartGallery w:val="Page Numbers (Top of Page)"/>
          <w:docPartUnique/>
        </w:docPartObj>
      </w:sdtPr>
      <w:sdtContent/>
    </w:sdt>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5C797" w14:textId="77777777" w:rsidR="007178DB" w:rsidRDefault="007178DB" w:rsidP="00053E5A">
      <w:pPr>
        <w:spacing w:after="0" w:line="240" w:lineRule="auto"/>
      </w:pPr>
      <w:r>
        <w:separator/>
      </w:r>
    </w:p>
  </w:footnote>
  <w:footnote w:type="continuationSeparator" w:id="0">
    <w:p w14:paraId="2571C7D6" w14:textId="77777777" w:rsidR="007178DB" w:rsidRDefault="007178DB" w:rsidP="00053E5A">
      <w:pPr>
        <w:spacing w:after="0" w:line="240" w:lineRule="auto"/>
      </w:pPr>
      <w:r>
        <w:continuationSeparator/>
      </w:r>
    </w:p>
  </w:footnote>
  <w:footnote w:id="1">
    <w:p w14:paraId="1C9B2F14" w14:textId="77777777" w:rsidR="00C725C5" w:rsidRPr="00EE5F25" w:rsidRDefault="00C725C5" w:rsidP="00C725C5">
      <w:pPr>
        <w:pStyle w:val="Tekstprzypisudolnego"/>
        <w:rPr>
          <w:sz w:val="28"/>
          <w:szCs w:val="28"/>
        </w:rPr>
      </w:pPr>
      <w:r w:rsidRPr="00EE5F25">
        <w:rPr>
          <w:rStyle w:val="Odwoanieprzypisudolnego"/>
          <w:sz w:val="28"/>
          <w:szCs w:val="28"/>
        </w:rPr>
        <w:footnoteRef/>
      </w:r>
      <w:r w:rsidRPr="00EE5F25">
        <w:rPr>
          <w:sz w:val="28"/>
          <w:szCs w:val="28"/>
        </w:rPr>
        <w:t xml:space="preserve"> </w:t>
      </w:r>
      <w:r w:rsidRPr="009A075B">
        <w:rPr>
          <w:sz w:val="28"/>
          <w:szCs w:val="28"/>
        </w:rPr>
        <w:t>Powierzchnia zabudowy oznacza łączną powierzchnię terenu wyznaczoną przez rzut prostokątny nadziemnych zewnętrznych ścian wszystkich budynków w stanie wykończonym oraz zewnętrznych krawędzi wiat mierzonych po zewnętrznym obrysie krawędzi dachu na powierzchnię działki budowlanej.</w:t>
      </w:r>
    </w:p>
  </w:footnote>
  <w:footnote w:id="2">
    <w:p w14:paraId="0869C6CB" w14:textId="77777777" w:rsidR="00C725C5" w:rsidRPr="00EE5F25" w:rsidRDefault="00C725C5" w:rsidP="00C725C5">
      <w:pPr>
        <w:pStyle w:val="Tekstprzypisudolnego"/>
        <w:rPr>
          <w:sz w:val="28"/>
          <w:szCs w:val="28"/>
        </w:rPr>
      </w:pPr>
      <w:r w:rsidRPr="00EE5F25">
        <w:rPr>
          <w:rStyle w:val="Odwoanieprzypisudolnego"/>
          <w:sz w:val="28"/>
          <w:szCs w:val="28"/>
        </w:rPr>
        <w:footnoteRef/>
      </w:r>
      <w:r w:rsidRPr="00EE5F25">
        <w:rPr>
          <w:sz w:val="28"/>
          <w:szCs w:val="28"/>
        </w:rPr>
        <w:t xml:space="preserve"> </w:t>
      </w:r>
      <w:r w:rsidRPr="008645DF">
        <w:rPr>
          <w:sz w:val="28"/>
          <w:szCs w:val="28"/>
        </w:rPr>
        <w:t>Stosownie do art. 61 ust. 5a zdanie drugie u.p.z.p. przez front terenu należy rozumieć tę część granicy działki budowlanej, która przylega do drogi publicznej lub wewnętrznej, z której odbywa się główny wjazd na działkę. Front działki został oznaczony w załączniku nr 1 do decyzji.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0"/>
        </w:tabs>
        <w:ind w:left="720" w:hanging="360"/>
      </w:pPr>
      <w:rPr>
        <w:sz w:val="28"/>
      </w:rPr>
    </w:lvl>
  </w:abstractNum>
  <w:abstractNum w:abstractNumId="1" w15:restartNumberingAfterBreak="0">
    <w:nsid w:val="078063BC"/>
    <w:multiLevelType w:val="hybridMultilevel"/>
    <w:tmpl w:val="13C830C6"/>
    <w:lvl w:ilvl="0" w:tplc="0415000F">
      <w:start w:val="1"/>
      <w:numFmt w:val="decimal"/>
      <w:lvlText w:val="%1."/>
      <w:lvlJc w:val="left"/>
      <w:pPr>
        <w:ind w:left="9008" w:hanging="360"/>
      </w:pPr>
    </w:lvl>
    <w:lvl w:ilvl="1" w:tplc="04150019" w:tentative="1">
      <w:start w:val="1"/>
      <w:numFmt w:val="lowerLetter"/>
      <w:lvlText w:val="%2."/>
      <w:lvlJc w:val="left"/>
      <w:pPr>
        <w:ind w:left="9728" w:hanging="360"/>
      </w:pPr>
    </w:lvl>
    <w:lvl w:ilvl="2" w:tplc="0415001B" w:tentative="1">
      <w:start w:val="1"/>
      <w:numFmt w:val="lowerRoman"/>
      <w:lvlText w:val="%3."/>
      <w:lvlJc w:val="right"/>
      <w:pPr>
        <w:ind w:left="10448" w:hanging="180"/>
      </w:pPr>
    </w:lvl>
    <w:lvl w:ilvl="3" w:tplc="0415000F" w:tentative="1">
      <w:start w:val="1"/>
      <w:numFmt w:val="decimal"/>
      <w:lvlText w:val="%4."/>
      <w:lvlJc w:val="left"/>
      <w:pPr>
        <w:ind w:left="11168" w:hanging="360"/>
      </w:pPr>
    </w:lvl>
    <w:lvl w:ilvl="4" w:tplc="04150019" w:tentative="1">
      <w:start w:val="1"/>
      <w:numFmt w:val="lowerLetter"/>
      <w:lvlText w:val="%5."/>
      <w:lvlJc w:val="left"/>
      <w:pPr>
        <w:ind w:left="11888" w:hanging="360"/>
      </w:pPr>
    </w:lvl>
    <w:lvl w:ilvl="5" w:tplc="0415001B" w:tentative="1">
      <w:start w:val="1"/>
      <w:numFmt w:val="lowerRoman"/>
      <w:lvlText w:val="%6."/>
      <w:lvlJc w:val="right"/>
      <w:pPr>
        <w:ind w:left="12608" w:hanging="180"/>
      </w:pPr>
    </w:lvl>
    <w:lvl w:ilvl="6" w:tplc="0415000F" w:tentative="1">
      <w:start w:val="1"/>
      <w:numFmt w:val="decimal"/>
      <w:lvlText w:val="%7."/>
      <w:lvlJc w:val="left"/>
      <w:pPr>
        <w:ind w:left="13328" w:hanging="360"/>
      </w:pPr>
    </w:lvl>
    <w:lvl w:ilvl="7" w:tplc="04150019" w:tentative="1">
      <w:start w:val="1"/>
      <w:numFmt w:val="lowerLetter"/>
      <w:lvlText w:val="%8."/>
      <w:lvlJc w:val="left"/>
      <w:pPr>
        <w:ind w:left="14048" w:hanging="360"/>
      </w:pPr>
    </w:lvl>
    <w:lvl w:ilvl="8" w:tplc="0415001B" w:tentative="1">
      <w:start w:val="1"/>
      <w:numFmt w:val="lowerRoman"/>
      <w:lvlText w:val="%9."/>
      <w:lvlJc w:val="right"/>
      <w:pPr>
        <w:ind w:left="14768" w:hanging="180"/>
      </w:pPr>
    </w:lvl>
  </w:abstractNum>
  <w:abstractNum w:abstractNumId="2" w15:restartNumberingAfterBreak="0">
    <w:nsid w:val="09DC604E"/>
    <w:multiLevelType w:val="hybridMultilevel"/>
    <w:tmpl w:val="BE902E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13ECA"/>
    <w:multiLevelType w:val="hybridMultilevel"/>
    <w:tmpl w:val="517694D4"/>
    <w:lvl w:ilvl="0" w:tplc="0316D3D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4962FD"/>
    <w:multiLevelType w:val="hybridMultilevel"/>
    <w:tmpl w:val="7304E0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9F7510A"/>
    <w:multiLevelType w:val="hybridMultilevel"/>
    <w:tmpl w:val="35601E7E"/>
    <w:lvl w:ilvl="0" w:tplc="3544BBF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C5145A"/>
    <w:multiLevelType w:val="hybridMultilevel"/>
    <w:tmpl w:val="661475BA"/>
    <w:lvl w:ilvl="0" w:tplc="04150017">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73002F"/>
    <w:multiLevelType w:val="hybridMultilevel"/>
    <w:tmpl w:val="F5CC18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1A8307B"/>
    <w:multiLevelType w:val="hybridMultilevel"/>
    <w:tmpl w:val="49DA9930"/>
    <w:lvl w:ilvl="0" w:tplc="68DC4C16">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1CB71C3"/>
    <w:multiLevelType w:val="hybridMultilevel"/>
    <w:tmpl w:val="31CCEA32"/>
    <w:lvl w:ilvl="0" w:tplc="7A520BE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6452FE8"/>
    <w:multiLevelType w:val="hybridMultilevel"/>
    <w:tmpl w:val="30F2235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3BD33D84"/>
    <w:multiLevelType w:val="hybridMultilevel"/>
    <w:tmpl w:val="7048E2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F3C17F5"/>
    <w:multiLevelType w:val="hybridMultilevel"/>
    <w:tmpl w:val="87DC81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0D85FD3"/>
    <w:multiLevelType w:val="hybridMultilevel"/>
    <w:tmpl w:val="EC7AC3AC"/>
    <w:lvl w:ilvl="0" w:tplc="E6B8B576">
      <w:start w:val="1"/>
      <w:numFmt w:val="decimal"/>
      <w:lvlText w:val="%1)"/>
      <w:lvlJc w:val="left"/>
      <w:pPr>
        <w:ind w:left="36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11202F5"/>
    <w:multiLevelType w:val="hybridMultilevel"/>
    <w:tmpl w:val="8C60A8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1F9398B"/>
    <w:multiLevelType w:val="hybridMultilevel"/>
    <w:tmpl w:val="2B0610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944FC3"/>
    <w:multiLevelType w:val="hybridMultilevel"/>
    <w:tmpl w:val="EC7AC3AC"/>
    <w:lvl w:ilvl="0" w:tplc="FFFFFFFF">
      <w:start w:val="1"/>
      <w:numFmt w:val="decimal"/>
      <w:lvlText w:val="%1)"/>
      <w:lvlJc w:val="left"/>
      <w:pPr>
        <w:ind w:left="720" w:hanging="360"/>
      </w:pPr>
      <w:rPr>
        <w:rFonts w:hint="default"/>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9BC0535"/>
    <w:multiLevelType w:val="hybridMultilevel"/>
    <w:tmpl w:val="C932284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DE16DF7"/>
    <w:multiLevelType w:val="hybridMultilevel"/>
    <w:tmpl w:val="E8988CB4"/>
    <w:lvl w:ilvl="0" w:tplc="6136C572">
      <w:start w:val="1"/>
      <w:numFmt w:val="lowerLetter"/>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5" w15:restartNumberingAfterBreak="0">
    <w:nsid w:val="571B600A"/>
    <w:multiLevelType w:val="hybridMultilevel"/>
    <w:tmpl w:val="773CD0D4"/>
    <w:lvl w:ilvl="0" w:tplc="E6B8B576">
      <w:start w:val="1"/>
      <w:numFmt w:val="decimal"/>
      <w:lvlText w:val="%1)"/>
      <w:lvlJc w:val="left"/>
      <w:pPr>
        <w:ind w:left="720" w:hanging="360"/>
      </w:pPr>
      <w:rPr>
        <w:rFonts w:hint="default"/>
        <w:sz w:val="2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7DF51D5"/>
    <w:multiLevelType w:val="hybridMultilevel"/>
    <w:tmpl w:val="63DA41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8725F1A"/>
    <w:multiLevelType w:val="hybridMultilevel"/>
    <w:tmpl w:val="545CDBAE"/>
    <w:lvl w:ilvl="0" w:tplc="7A520BEE">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5D5D08C5"/>
    <w:multiLevelType w:val="hybridMultilevel"/>
    <w:tmpl w:val="A16EABF4"/>
    <w:lvl w:ilvl="0" w:tplc="5E160D1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15:restartNumberingAfterBreak="0">
    <w:nsid w:val="5E0E1C86"/>
    <w:multiLevelType w:val="hybridMultilevel"/>
    <w:tmpl w:val="A4026408"/>
    <w:lvl w:ilvl="0" w:tplc="E41EF806">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2831689"/>
    <w:multiLevelType w:val="hybridMultilevel"/>
    <w:tmpl w:val="0ED2F1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70339F"/>
    <w:multiLevelType w:val="hybridMultilevel"/>
    <w:tmpl w:val="504C09E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5"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EA83BD4"/>
    <w:multiLevelType w:val="hybridMultilevel"/>
    <w:tmpl w:val="015C73D0"/>
    <w:lvl w:ilvl="0" w:tplc="7A520BEE">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065761913">
    <w:abstractNumId w:val="30"/>
  </w:num>
  <w:num w:numId="2" w16cid:durableId="791441155">
    <w:abstractNumId w:val="36"/>
  </w:num>
  <w:num w:numId="3" w16cid:durableId="1685013734">
    <w:abstractNumId w:val="6"/>
  </w:num>
  <w:num w:numId="4" w16cid:durableId="1890143465">
    <w:abstractNumId w:val="22"/>
  </w:num>
  <w:num w:numId="5" w16cid:durableId="1075736888">
    <w:abstractNumId w:val="14"/>
  </w:num>
  <w:num w:numId="6" w16cid:durableId="176115080">
    <w:abstractNumId w:val="28"/>
  </w:num>
  <w:num w:numId="7" w16cid:durableId="12848814">
    <w:abstractNumId w:val="1"/>
  </w:num>
  <w:num w:numId="8" w16cid:durableId="2087652467">
    <w:abstractNumId w:val="29"/>
  </w:num>
  <w:num w:numId="9" w16cid:durableId="360126515">
    <w:abstractNumId w:val="5"/>
  </w:num>
  <w:num w:numId="10" w16cid:durableId="1499423351">
    <w:abstractNumId w:val="35"/>
  </w:num>
  <w:num w:numId="11" w16cid:durableId="1225141481">
    <w:abstractNumId w:val="38"/>
  </w:num>
  <w:num w:numId="12" w16cid:durableId="1051997355">
    <w:abstractNumId w:val="31"/>
  </w:num>
  <w:num w:numId="13" w16cid:durableId="541795384">
    <w:abstractNumId w:val="8"/>
  </w:num>
  <w:num w:numId="14" w16cid:durableId="1065951457">
    <w:abstractNumId w:val="32"/>
  </w:num>
  <w:num w:numId="15" w16cid:durableId="557590702">
    <w:abstractNumId w:val="23"/>
  </w:num>
  <w:num w:numId="16" w16cid:durableId="1590042002">
    <w:abstractNumId w:val="33"/>
  </w:num>
  <w:num w:numId="17" w16cid:durableId="249048317">
    <w:abstractNumId w:val="7"/>
  </w:num>
  <w:num w:numId="18" w16cid:durableId="242423531">
    <w:abstractNumId w:val="25"/>
  </w:num>
  <w:num w:numId="19" w16cid:durableId="1659647614">
    <w:abstractNumId w:val="17"/>
  </w:num>
  <w:num w:numId="20" w16cid:durableId="81408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39650676">
    <w:abstractNumId w:val="37"/>
  </w:num>
  <w:num w:numId="22" w16cid:durableId="465125434">
    <w:abstractNumId w:val="3"/>
  </w:num>
  <w:num w:numId="23" w16cid:durableId="686059005">
    <w:abstractNumId w:val="19"/>
  </w:num>
  <w:num w:numId="24" w16cid:durableId="1363476634">
    <w:abstractNumId w:val="13"/>
  </w:num>
  <w:num w:numId="25" w16cid:durableId="809597814">
    <w:abstractNumId w:val="16"/>
  </w:num>
  <w:num w:numId="26" w16cid:durableId="641809101">
    <w:abstractNumId w:val="2"/>
  </w:num>
  <w:num w:numId="27" w16cid:durableId="2020423896">
    <w:abstractNumId w:val="34"/>
  </w:num>
  <w:num w:numId="28" w16cid:durableId="1808624023">
    <w:abstractNumId w:val="9"/>
  </w:num>
  <w:num w:numId="29" w16cid:durableId="232351413">
    <w:abstractNumId w:val="26"/>
  </w:num>
  <w:num w:numId="30" w16cid:durableId="2131821498">
    <w:abstractNumId w:val="11"/>
  </w:num>
  <w:num w:numId="31" w16cid:durableId="923027610">
    <w:abstractNumId w:val="4"/>
  </w:num>
  <w:num w:numId="32" w16cid:durableId="2122647191">
    <w:abstractNumId w:val="20"/>
  </w:num>
  <w:num w:numId="33" w16cid:durableId="116920636">
    <w:abstractNumId w:val="15"/>
  </w:num>
  <w:num w:numId="34" w16cid:durableId="1721322801">
    <w:abstractNumId w:val="0"/>
  </w:num>
  <w:num w:numId="35" w16cid:durableId="410665437">
    <w:abstractNumId w:val="12"/>
  </w:num>
  <w:num w:numId="36" w16cid:durableId="1841314822">
    <w:abstractNumId w:val="21"/>
  </w:num>
  <w:num w:numId="37" w16cid:durableId="2111314978">
    <w:abstractNumId w:val="18"/>
  </w:num>
  <w:num w:numId="38" w16cid:durableId="102462270">
    <w:abstractNumId w:val="10"/>
  </w:num>
  <w:num w:numId="39" w16cid:durableId="1767340072">
    <w:abstractNumId w:val="39"/>
  </w:num>
  <w:num w:numId="40" w16cid:durableId="15962814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064317"/>
    <w:rsid w:val="00076915"/>
    <w:rsid w:val="000C0935"/>
    <w:rsid w:val="0010000E"/>
    <w:rsid w:val="001E45F7"/>
    <w:rsid w:val="00250690"/>
    <w:rsid w:val="00296D46"/>
    <w:rsid w:val="002B73BE"/>
    <w:rsid w:val="003036BE"/>
    <w:rsid w:val="003625F3"/>
    <w:rsid w:val="004519AC"/>
    <w:rsid w:val="004649AD"/>
    <w:rsid w:val="00474856"/>
    <w:rsid w:val="0048459B"/>
    <w:rsid w:val="004922DB"/>
    <w:rsid w:val="004A7188"/>
    <w:rsid w:val="00525346"/>
    <w:rsid w:val="00547B25"/>
    <w:rsid w:val="0055257A"/>
    <w:rsid w:val="00575C7A"/>
    <w:rsid w:val="00582CAF"/>
    <w:rsid w:val="005A07CF"/>
    <w:rsid w:val="005B4C37"/>
    <w:rsid w:val="005E5887"/>
    <w:rsid w:val="006A6F3E"/>
    <w:rsid w:val="007178DB"/>
    <w:rsid w:val="00722E64"/>
    <w:rsid w:val="00775A53"/>
    <w:rsid w:val="007C7130"/>
    <w:rsid w:val="008015EF"/>
    <w:rsid w:val="00801B47"/>
    <w:rsid w:val="0081559F"/>
    <w:rsid w:val="008232AE"/>
    <w:rsid w:val="00825443"/>
    <w:rsid w:val="00883567"/>
    <w:rsid w:val="0089750C"/>
    <w:rsid w:val="008A4EA9"/>
    <w:rsid w:val="008E67C0"/>
    <w:rsid w:val="00917C21"/>
    <w:rsid w:val="009537E4"/>
    <w:rsid w:val="009614DC"/>
    <w:rsid w:val="009937A8"/>
    <w:rsid w:val="009F694E"/>
    <w:rsid w:val="00A108DE"/>
    <w:rsid w:val="00A85478"/>
    <w:rsid w:val="00B46641"/>
    <w:rsid w:val="00BD0979"/>
    <w:rsid w:val="00BE76D1"/>
    <w:rsid w:val="00C636CE"/>
    <w:rsid w:val="00C725C5"/>
    <w:rsid w:val="00C74A10"/>
    <w:rsid w:val="00CF1B03"/>
    <w:rsid w:val="00CF2D34"/>
    <w:rsid w:val="00D91D83"/>
    <w:rsid w:val="00DC53DB"/>
    <w:rsid w:val="00E07577"/>
    <w:rsid w:val="00E43A7B"/>
    <w:rsid w:val="00E560F8"/>
    <w:rsid w:val="00EF21FC"/>
    <w:rsid w:val="00EF4456"/>
    <w:rsid w:val="00F11BA4"/>
    <w:rsid w:val="00FA372D"/>
    <w:rsid w:val="00FA4478"/>
    <w:rsid w:val="00FF50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 w:type="paragraph" w:styleId="Akapitzlist">
    <w:name w:val="List Paragraph"/>
    <w:basedOn w:val="Normalny"/>
    <w:uiPriority w:val="34"/>
    <w:qFormat/>
    <w:rsid w:val="00E07577"/>
    <w:pPr>
      <w:ind w:left="720"/>
      <w:contextualSpacing/>
    </w:pPr>
  </w:style>
  <w:style w:type="paragraph" w:styleId="Tekstprzypisudolnego">
    <w:name w:val="footnote text"/>
    <w:basedOn w:val="Normalny"/>
    <w:link w:val="TekstprzypisudolnegoZnak"/>
    <w:uiPriority w:val="99"/>
    <w:semiHidden/>
    <w:unhideWhenUsed/>
    <w:rsid w:val="0047485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474856"/>
    <w:rPr>
      <w:sz w:val="20"/>
      <w:szCs w:val="20"/>
    </w:rPr>
  </w:style>
  <w:style w:type="character" w:styleId="Odwoanieprzypisudolnego">
    <w:name w:val="footnote reference"/>
    <w:basedOn w:val="Domylnaczcionkaakapitu"/>
    <w:uiPriority w:val="99"/>
    <w:semiHidden/>
    <w:unhideWhenUsed/>
    <w:rsid w:val="00474856"/>
    <w:rPr>
      <w:vertAlign w:val="superscript"/>
    </w:rPr>
  </w:style>
  <w:style w:type="table" w:styleId="Tabela-Siatka">
    <w:name w:val="Table Grid"/>
    <w:basedOn w:val="Standardowy"/>
    <w:uiPriority w:val="59"/>
    <w:rsid w:val="0089750C"/>
    <w:pPr>
      <w:spacing w:after="0" w:line="240" w:lineRule="auto"/>
    </w:pPr>
    <w:rPr>
      <w:rFonts w:ascii="Times New Roman" w:eastAsia="Calibri" w:hAnsi="Times New Roman" w:cs="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605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4223</Words>
  <Characters>25341</Characters>
  <Application>Microsoft Office Word</Application>
  <DocSecurity>0</DocSecurity>
  <Lines>211</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7</cp:revision>
  <cp:lastPrinted>2020-02-11T13:09:00Z</cp:lastPrinted>
  <dcterms:created xsi:type="dcterms:W3CDTF">2022-12-15T11:00:00Z</dcterms:created>
  <dcterms:modified xsi:type="dcterms:W3CDTF">2022-12-16T08:17:00Z</dcterms:modified>
</cp:coreProperties>
</file>