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DB7013" w:rsidRDefault="005E5887">
      <w:pPr>
        <w:rPr>
          <w:rFonts w:cstheme="minorHAnsi"/>
          <w:sz w:val="28"/>
          <w:szCs w:val="28"/>
        </w:rPr>
      </w:pPr>
    </w:p>
    <w:p w14:paraId="2981DBF3"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6BB286EF"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E02B50">
        <w:rPr>
          <w:rFonts w:eastAsia="Calibri" w:cstheme="minorHAnsi"/>
          <w:sz w:val="28"/>
          <w:szCs w:val="28"/>
        </w:rPr>
        <w:t>16</w:t>
      </w:r>
      <w:r w:rsidR="0026640C">
        <w:rPr>
          <w:rFonts w:eastAsia="Calibri" w:cstheme="minorHAnsi"/>
          <w:sz w:val="28"/>
          <w:szCs w:val="28"/>
        </w:rPr>
        <w:t xml:space="preserve"> lutego</w:t>
      </w:r>
      <w:r w:rsidRPr="00676AE8">
        <w:rPr>
          <w:rFonts w:eastAsia="Calibri" w:cstheme="minorHAnsi"/>
          <w:sz w:val="28"/>
          <w:szCs w:val="28"/>
        </w:rPr>
        <w:t xml:space="preserve"> 2023 roku</w:t>
      </w:r>
    </w:p>
    <w:p w14:paraId="59433AED" w14:textId="26B0B3F9"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PPSOŚ.6220.2</w:t>
      </w:r>
      <w:r w:rsidR="00F73B95">
        <w:rPr>
          <w:rFonts w:eastAsia="Calibri" w:cstheme="minorHAnsi"/>
          <w:sz w:val="28"/>
          <w:szCs w:val="28"/>
        </w:rPr>
        <w:t>3</w:t>
      </w:r>
      <w:r w:rsidRPr="00676AE8">
        <w:rPr>
          <w:rFonts w:eastAsia="Calibri" w:cstheme="minorHAnsi"/>
          <w:sz w:val="28"/>
          <w:szCs w:val="28"/>
        </w:rPr>
        <w:t>.2022.BM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6153587E" w14:textId="77777777" w:rsidR="0026640C" w:rsidRPr="006463C1" w:rsidRDefault="0026640C" w:rsidP="0026640C">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 nałożeniu obowiązku przeprowadzenia oceny oddziaływania przedsięwzięcia na środowisko</w:t>
      </w:r>
    </w:p>
    <w:p w14:paraId="4F689542" w14:textId="4CF831F8" w:rsidR="0026640C" w:rsidRPr="0026640C" w:rsidRDefault="0026640C" w:rsidP="0026640C">
      <w:pPr>
        <w:spacing w:after="120" w:line="240" w:lineRule="auto"/>
        <w:ind w:firstLine="708"/>
        <w:jc w:val="both"/>
        <w:rPr>
          <w:rFonts w:cstheme="minorHAnsi"/>
          <w:sz w:val="28"/>
          <w:szCs w:val="28"/>
        </w:rPr>
      </w:pPr>
      <w:r w:rsidRPr="0026640C">
        <w:rPr>
          <w:rFonts w:cstheme="minorHAnsi"/>
          <w:sz w:val="28"/>
          <w:szCs w:val="28"/>
        </w:rPr>
        <w:t>Na podstawie art. 73 ust. 1 i art. 74 ust. 3 ustawy z dnia 3</w:t>
      </w:r>
      <w:r>
        <w:rPr>
          <w:rFonts w:cstheme="minorHAnsi"/>
          <w:sz w:val="28"/>
          <w:szCs w:val="28"/>
        </w:rPr>
        <w:t> </w:t>
      </w:r>
      <w:r w:rsidRPr="0026640C">
        <w:rPr>
          <w:rFonts w:cstheme="minorHAnsi"/>
          <w:sz w:val="28"/>
          <w:szCs w:val="28"/>
        </w:rPr>
        <w:t>października</w:t>
      </w:r>
      <w:r>
        <w:rPr>
          <w:rFonts w:cstheme="minorHAnsi"/>
          <w:sz w:val="28"/>
          <w:szCs w:val="28"/>
        </w:rPr>
        <w:t> </w:t>
      </w:r>
      <w:r w:rsidRPr="0026640C">
        <w:rPr>
          <w:rFonts w:cstheme="minorHAnsi"/>
          <w:sz w:val="28"/>
          <w:szCs w:val="28"/>
        </w:rPr>
        <w:t xml:space="preserve">2008 r. o udostępnianiu informacji o środowisku i jego ochronie, udziale społeczeństwa w ochronie środowiska oraz o ocenach oddziaływania na środowisko (Dz. U. z 2022 r. poz. 1029, 1260, 1261, 1783, 1846, 2687 i 2185) zawiadamiam strony postępowania o nałożeniu przez Burmistrza Śremu, na mocy postanowienia z </w:t>
      </w:r>
      <w:r>
        <w:rPr>
          <w:rFonts w:cstheme="minorHAnsi"/>
          <w:sz w:val="28"/>
          <w:szCs w:val="28"/>
        </w:rPr>
        <w:t>16 lutego 2023</w:t>
      </w:r>
      <w:r w:rsidRPr="0026640C">
        <w:rPr>
          <w:rFonts w:cstheme="minorHAnsi"/>
          <w:sz w:val="28"/>
          <w:szCs w:val="28"/>
        </w:rPr>
        <w:t xml:space="preserve"> r., obowiązku przeprowadzenia oceny oddziaływania na środowisko dla planowanego przedsięwzięcia </w:t>
      </w:r>
      <w:r w:rsidR="00F73B95" w:rsidRPr="0026640C">
        <w:rPr>
          <w:rFonts w:cstheme="minorHAnsi"/>
          <w:sz w:val="28"/>
          <w:szCs w:val="28"/>
        </w:rPr>
        <w:t>Wielkopolskiego Zarządu Dróg Wojewódzkich w Poznaniu, ul.</w:t>
      </w:r>
      <w:r>
        <w:rPr>
          <w:rFonts w:cstheme="minorHAnsi"/>
          <w:sz w:val="28"/>
          <w:szCs w:val="28"/>
        </w:rPr>
        <w:t> </w:t>
      </w:r>
      <w:r w:rsidR="00F73B95" w:rsidRPr="0026640C">
        <w:rPr>
          <w:rFonts w:cstheme="minorHAnsi"/>
          <w:sz w:val="28"/>
          <w:szCs w:val="28"/>
        </w:rPr>
        <w:t xml:space="preserve">Wilczak 51, </w:t>
      </w:r>
      <w:r w:rsidRPr="0026640C">
        <w:rPr>
          <w:rFonts w:cstheme="minorHAnsi"/>
          <w:sz w:val="28"/>
          <w:szCs w:val="28"/>
        </w:rPr>
        <w:t>61-623 Poznań</w:t>
      </w:r>
      <w:r w:rsidR="00BD2D28" w:rsidRPr="0026640C">
        <w:rPr>
          <w:rFonts w:cstheme="minorHAnsi"/>
          <w:sz w:val="28"/>
          <w:szCs w:val="28"/>
        </w:rPr>
        <w:t xml:space="preserve">, </w:t>
      </w:r>
      <w:r w:rsidR="00F73B95" w:rsidRPr="0026640C">
        <w:rPr>
          <w:rFonts w:cstheme="minorHAnsi"/>
          <w:sz w:val="28"/>
          <w:szCs w:val="28"/>
        </w:rPr>
        <w:t>pod nazwą: „Budowa Dróg Wojewódzkich nr</w:t>
      </w:r>
      <w:r>
        <w:rPr>
          <w:rFonts w:cstheme="minorHAnsi"/>
          <w:sz w:val="28"/>
          <w:szCs w:val="28"/>
        </w:rPr>
        <w:t> </w:t>
      </w:r>
      <w:r w:rsidR="00F73B95" w:rsidRPr="0026640C">
        <w:rPr>
          <w:rFonts w:cstheme="minorHAnsi"/>
          <w:sz w:val="28"/>
          <w:szCs w:val="28"/>
        </w:rPr>
        <w:t>432 oraz 436 obwodnica m. Śrem – Etap III”, projektowanego na działkach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77/7, obręb Pysząca.</w:t>
      </w:r>
      <w:r w:rsidRPr="0026640C">
        <w:rPr>
          <w:sz w:val="28"/>
          <w:szCs w:val="28"/>
        </w:rPr>
        <w:t xml:space="preserve"> </w:t>
      </w:r>
      <w:r w:rsidRPr="0026640C">
        <w:rPr>
          <w:rFonts w:cstheme="minorHAnsi"/>
          <w:sz w:val="28"/>
          <w:szCs w:val="28"/>
        </w:rPr>
        <w:t>Na postanowienie służy stronom zażalenie. Z treścią postanowienia można zapoznać się w Urzędzie Miejskim w Śremie (ul. Plac 20</w:t>
      </w:r>
      <w:r>
        <w:rPr>
          <w:rFonts w:cstheme="minorHAnsi"/>
          <w:sz w:val="28"/>
          <w:szCs w:val="28"/>
        </w:rPr>
        <w:t> </w:t>
      </w:r>
      <w:r w:rsidRPr="0026640C">
        <w:rPr>
          <w:rFonts w:cstheme="minorHAnsi"/>
          <w:sz w:val="28"/>
          <w:szCs w:val="28"/>
        </w:rPr>
        <w:t xml:space="preserve">Października 1, pok. 33), w godzinach od 7:00 do 15:00 lub w Biuletynie Informacji Publicznej (http://umsrem.bip.eur.pl/public/?id=223389). </w:t>
      </w:r>
    </w:p>
    <w:p w14:paraId="76B0CE74" w14:textId="77777777" w:rsidR="0026640C" w:rsidRDefault="0026640C">
      <w:pPr>
        <w:rPr>
          <w:rFonts w:cstheme="minorHAnsi"/>
          <w:sz w:val="28"/>
          <w:szCs w:val="28"/>
        </w:rPr>
      </w:pPr>
      <w:r>
        <w:rPr>
          <w:rFonts w:cstheme="minorHAnsi"/>
          <w:sz w:val="28"/>
          <w:szCs w:val="28"/>
        </w:rPr>
        <w:br w:type="page"/>
      </w:r>
    </w:p>
    <w:p w14:paraId="7A32E149" w14:textId="1FA0CBA2" w:rsidR="0026640C" w:rsidRPr="0026640C" w:rsidRDefault="0026640C" w:rsidP="0026640C">
      <w:pPr>
        <w:spacing w:after="120" w:line="240" w:lineRule="auto"/>
        <w:ind w:firstLine="708"/>
        <w:jc w:val="both"/>
        <w:rPr>
          <w:rFonts w:cstheme="minorHAnsi"/>
          <w:sz w:val="28"/>
          <w:szCs w:val="28"/>
        </w:rPr>
      </w:pPr>
      <w:r w:rsidRPr="0026640C">
        <w:rPr>
          <w:rFonts w:cstheme="minorHAnsi"/>
          <w:sz w:val="28"/>
          <w:szCs w:val="28"/>
        </w:rPr>
        <w:lastRenderedPageBreak/>
        <w:t>Jednocześnie zawiadamiam, że z przyczyny wskazanej powyżej, przedmiotowa sprawa nie może zostać załatwiona w ustawowym terminie, w</w:t>
      </w:r>
      <w:r>
        <w:rPr>
          <w:rFonts w:cstheme="minorHAnsi"/>
          <w:sz w:val="28"/>
          <w:szCs w:val="28"/>
        </w:rPr>
        <w:t> </w:t>
      </w:r>
      <w:r w:rsidRPr="0026640C">
        <w:rPr>
          <w:rFonts w:cstheme="minorHAnsi"/>
          <w:sz w:val="28"/>
          <w:szCs w:val="28"/>
        </w:rPr>
        <w:t xml:space="preserve">związku z czym, zgodnie z art. 36 ustawy z dnia 14 czerwca 1960 r. - Kodeks postępowania administracyjnego (Dz. U. z 2022 r. poz. 2000, 2185 i 1855), zwanej dalej K.p.a., wyznaczam nowy termin załatwienia sprawy do </w:t>
      </w:r>
      <w:r>
        <w:rPr>
          <w:rFonts w:cstheme="minorHAnsi"/>
          <w:sz w:val="28"/>
          <w:szCs w:val="28"/>
        </w:rPr>
        <w:t>15 marca 2023</w:t>
      </w:r>
      <w:r w:rsidRPr="0026640C">
        <w:rPr>
          <w:rFonts w:cstheme="minorHAnsi"/>
          <w:sz w:val="28"/>
          <w:szCs w:val="28"/>
        </w:rPr>
        <w:t xml:space="preserve"> r., przy czym termin ten nie jest ostateczny i może ulec zmianie.</w:t>
      </w:r>
    </w:p>
    <w:p w14:paraId="60487270" w14:textId="4648FCBF" w:rsidR="0026640C" w:rsidRPr="0026640C" w:rsidRDefault="0026640C" w:rsidP="004707E0">
      <w:pPr>
        <w:spacing w:after="120" w:line="240" w:lineRule="auto"/>
        <w:ind w:firstLine="708"/>
        <w:jc w:val="both"/>
        <w:rPr>
          <w:rFonts w:cstheme="minorHAnsi"/>
          <w:sz w:val="28"/>
          <w:szCs w:val="28"/>
        </w:rPr>
      </w:pPr>
      <w:r w:rsidRPr="0026640C">
        <w:rPr>
          <w:rFonts w:cstheme="minorHAnsi"/>
          <w:sz w:val="28"/>
          <w:szCs w:val="28"/>
        </w:rPr>
        <w:t>Stosownie do art. 37 K.p.a. stronie służy prawo do wniesienia ponaglenia do Samorządowego Kolegium Odwoławczego w Poznaniu, za moim pośrednictwem.</w:t>
      </w:r>
    </w:p>
    <w:p w14:paraId="565B143E" w14:textId="784541B0" w:rsidR="0026640C" w:rsidRDefault="0026640C" w:rsidP="0026640C">
      <w:pPr>
        <w:spacing w:after="120" w:line="240" w:lineRule="auto"/>
        <w:ind w:firstLine="708"/>
        <w:jc w:val="both"/>
        <w:rPr>
          <w:rFonts w:cstheme="minorHAnsi"/>
          <w:sz w:val="28"/>
          <w:szCs w:val="28"/>
        </w:rPr>
      </w:pPr>
      <w:r w:rsidRPr="0026640C">
        <w:rPr>
          <w:rFonts w:cstheme="minorHAnsi"/>
          <w:sz w:val="28"/>
          <w:szCs w:val="28"/>
        </w:rPr>
        <w:t>Zawiadomienie przez obwieszczenie uważa się za dokonane po 14</w:t>
      </w:r>
      <w:r w:rsidR="004707E0">
        <w:rPr>
          <w:rFonts w:cstheme="minorHAnsi"/>
          <w:sz w:val="28"/>
          <w:szCs w:val="28"/>
        </w:rPr>
        <w:t> </w:t>
      </w:r>
      <w:r w:rsidRPr="0026640C">
        <w:rPr>
          <w:rFonts w:cstheme="minorHAnsi"/>
          <w:sz w:val="28"/>
          <w:szCs w:val="28"/>
        </w:rPr>
        <w:t>dniach od dnia publicznego ogłoszenia stosownie do art. 49 K.p.a.</w:t>
      </w:r>
    </w:p>
    <w:p w14:paraId="13F5F414" w14:textId="77777777" w:rsidR="004707E0" w:rsidRPr="0026640C" w:rsidRDefault="004707E0" w:rsidP="0026640C">
      <w:pPr>
        <w:spacing w:after="120" w:line="240" w:lineRule="auto"/>
        <w:ind w:firstLine="708"/>
        <w:jc w:val="both"/>
        <w:rPr>
          <w:rFonts w:cstheme="minorHAnsi"/>
          <w:sz w:val="28"/>
          <w:szCs w:val="28"/>
        </w:rPr>
      </w:pPr>
    </w:p>
    <w:p w14:paraId="20A51D9D" w14:textId="7F247B64" w:rsidR="00BD2D28" w:rsidRPr="0026640C" w:rsidRDefault="00BD2D28" w:rsidP="004707E0">
      <w:pPr>
        <w:spacing w:after="120" w:line="240" w:lineRule="auto"/>
        <w:ind w:left="3540"/>
        <w:jc w:val="center"/>
        <w:rPr>
          <w:rFonts w:eastAsia="Times New Roman" w:cstheme="minorHAnsi"/>
          <w:sz w:val="28"/>
          <w:szCs w:val="28"/>
          <w:lang w:eastAsia="pl-PL"/>
        </w:rPr>
      </w:pPr>
      <w:r w:rsidRPr="0026640C">
        <w:rPr>
          <w:rFonts w:eastAsia="Times New Roman" w:cstheme="minorHAnsi"/>
          <w:sz w:val="28"/>
          <w:szCs w:val="28"/>
          <w:lang w:eastAsia="pl-PL"/>
        </w:rPr>
        <w:t>Adam Lewandowski</w:t>
      </w:r>
    </w:p>
    <w:p w14:paraId="796DCAED" w14:textId="77777777" w:rsidR="00BD2D28" w:rsidRPr="0026640C" w:rsidRDefault="00BD2D28" w:rsidP="004707E0">
      <w:pPr>
        <w:spacing w:after="120" w:line="240" w:lineRule="auto"/>
        <w:ind w:left="3540"/>
        <w:jc w:val="center"/>
        <w:rPr>
          <w:rFonts w:eastAsia="Times New Roman" w:cstheme="minorHAnsi"/>
          <w:i/>
          <w:sz w:val="28"/>
          <w:szCs w:val="28"/>
          <w:lang w:eastAsia="pl-PL"/>
        </w:rPr>
      </w:pPr>
      <w:r w:rsidRPr="0026640C">
        <w:rPr>
          <w:rFonts w:eastAsia="Times New Roman" w:cstheme="minorHAnsi"/>
          <w:sz w:val="28"/>
          <w:szCs w:val="28"/>
          <w:lang w:eastAsia="pl-PL"/>
        </w:rPr>
        <w:t>Burmistrz Śremu</w:t>
      </w:r>
    </w:p>
    <w:p w14:paraId="040EDD76" w14:textId="77777777" w:rsidR="00BD2D28" w:rsidRPr="0026640C" w:rsidRDefault="00BD2D28" w:rsidP="00BD2D28">
      <w:pPr>
        <w:spacing w:after="120" w:line="240" w:lineRule="auto"/>
        <w:jc w:val="both"/>
        <w:rPr>
          <w:rFonts w:eastAsia="Times New Roman" w:cstheme="minorHAnsi"/>
          <w:sz w:val="28"/>
          <w:szCs w:val="28"/>
          <w:lang w:eastAsia="pl-PL"/>
        </w:rPr>
      </w:pPr>
    </w:p>
    <w:p w14:paraId="4952B8FB" w14:textId="1437B3E3" w:rsidR="00BD2D28" w:rsidRPr="0026640C"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 xml:space="preserve">Wywieszono: </w:t>
      </w:r>
      <w:r w:rsidR="004707E0">
        <w:rPr>
          <w:rFonts w:eastAsia="Times New Roman" w:cstheme="minorHAnsi"/>
          <w:sz w:val="28"/>
          <w:szCs w:val="28"/>
          <w:lang w:eastAsia="pl-PL"/>
        </w:rPr>
        <w:t>17.02</w:t>
      </w:r>
      <w:r w:rsidR="00906B66" w:rsidRPr="0026640C">
        <w:rPr>
          <w:rFonts w:eastAsia="Times New Roman" w:cstheme="minorHAnsi"/>
          <w:sz w:val="28"/>
          <w:szCs w:val="28"/>
          <w:lang w:eastAsia="pl-PL"/>
        </w:rPr>
        <w:t>.2023 r.</w:t>
      </w:r>
    </w:p>
    <w:p w14:paraId="058F491B" w14:textId="77777777" w:rsidR="00BD2D28" w:rsidRPr="0026640C"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Zdjęto:</w:t>
      </w:r>
    </w:p>
    <w:p w14:paraId="64F45511" w14:textId="77777777" w:rsidR="00BD2D28" w:rsidRPr="00676AE8" w:rsidRDefault="00BD2D28" w:rsidP="00BD2D28">
      <w:pPr>
        <w:rPr>
          <w:rFonts w:cstheme="minorHAnsi"/>
          <w:bCs/>
          <w:sz w:val="28"/>
          <w:szCs w:val="28"/>
        </w:rPr>
      </w:pPr>
      <w:r w:rsidRPr="00676AE8">
        <w:rPr>
          <w:rFonts w:cstheme="minorHAnsi"/>
          <w:bCs/>
          <w:sz w:val="28"/>
          <w:szCs w:val="28"/>
        </w:rPr>
        <w:br w:type="page"/>
      </w:r>
    </w:p>
    <w:p w14:paraId="667DD92B" w14:textId="77777777" w:rsidR="004707E0" w:rsidRPr="004707E0" w:rsidRDefault="004707E0" w:rsidP="004707E0">
      <w:pPr>
        <w:tabs>
          <w:tab w:val="left" w:pos="1985"/>
        </w:tabs>
        <w:spacing w:after="0" w:line="240" w:lineRule="auto"/>
        <w:ind w:right="5810"/>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lastRenderedPageBreak/>
        <w:t>Burmistrz Śremu</w:t>
      </w:r>
    </w:p>
    <w:p w14:paraId="050127CF" w14:textId="77777777" w:rsidR="004707E0" w:rsidRPr="004707E0" w:rsidRDefault="004707E0" w:rsidP="004707E0">
      <w:pPr>
        <w:tabs>
          <w:tab w:val="left" w:pos="1985"/>
        </w:tabs>
        <w:spacing w:after="0" w:line="240" w:lineRule="auto"/>
        <w:ind w:right="5810"/>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ul. Plac 20 Października 1</w:t>
      </w:r>
    </w:p>
    <w:p w14:paraId="1860D3DE" w14:textId="77777777" w:rsidR="004707E0" w:rsidRPr="004707E0" w:rsidRDefault="004707E0" w:rsidP="004707E0">
      <w:pPr>
        <w:tabs>
          <w:tab w:val="left" w:pos="1985"/>
        </w:tabs>
        <w:spacing w:after="0" w:line="240" w:lineRule="auto"/>
        <w:ind w:right="5810"/>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63-100 Śrem</w:t>
      </w:r>
    </w:p>
    <w:p w14:paraId="55ACB0CE" w14:textId="77777777" w:rsidR="004707E0" w:rsidRPr="004707E0" w:rsidRDefault="004707E0" w:rsidP="004707E0">
      <w:pPr>
        <w:tabs>
          <w:tab w:val="left" w:pos="1985"/>
        </w:tabs>
        <w:spacing w:after="120" w:line="240" w:lineRule="auto"/>
        <w:jc w:val="right"/>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Śrem, 16 lutego 2023 roku</w:t>
      </w:r>
    </w:p>
    <w:p w14:paraId="5D07C1C6" w14:textId="77777777" w:rsidR="004707E0" w:rsidRPr="004707E0" w:rsidRDefault="004707E0" w:rsidP="004707E0">
      <w:pPr>
        <w:spacing w:after="12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PPSOŚ.6220.23.2022.BM</w:t>
      </w:r>
    </w:p>
    <w:p w14:paraId="0DA1BB33" w14:textId="77777777" w:rsidR="004707E0" w:rsidRPr="004707E0" w:rsidRDefault="004707E0" w:rsidP="004707E0">
      <w:pPr>
        <w:spacing w:after="120" w:line="240" w:lineRule="auto"/>
        <w:jc w:val="center"/>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Postanowienie</w:t>
      </w:r>
    </w:p>
    <w:p w14:paraId="10974715"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Na podstawie art. 63 ust. 1 i 4, art. 66 i art. 68 ust. 2 pkt 2 lit. b ustawy z dnia 3 października 2008 r. o udostępnianiu informacji o środowisku i jego ochronie, udziale społeczeństwa w ochronie środowiska oraz o ocenach oddziaływania na środowisko (Dz. U. z 2022 r. poz. 1029, 1260, 1261, 1783, 1846, 2687 i 2185), zwanej dalej ustawą oraz art. 123 § 1 ustawy z dnia 14 czerwca 1960 r. – Kodeks postępowania administracyjnego (Dz. U. z 2022 r. poz. 2000, 2185 i 1855), zwanej dalej K.p.a.,</w:t>
      </w:r>
    </w:p>
    <w:p w14:paraId="168EA2E9" w14:textId="77777777" w:rsidR="004707E0" w:rsidRPr="004707E0" w:rsidRDefault="004707E0" w:rsidP="004707E0">
      <w:pPr>
        <w:spacing w:after="120" w:line="240" w:lineRule="auto"/>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po rozpatrzeniu</w:t>
      </w:r>
    </w:p>
    <w:p w14:paraId="790C738C" w14:textId="77777777" w:rsidR="004707E0" w:rsidRPr="004707E0" w:rsidRDefault="004707E0" w:rsidP="004707E0">
      <w:pPr>
        <w:spacing w:after="12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 xml:space="preserve">wniosku </w:t>
      </w:r>
      <w:r w:rsidRPr="004707E0">
        <w:rPr>
          <w:rFonts w:ascii="Calibri" w:eastAsia="Calibri" w:hAnsi="Calibri" w:cs="Calibri"/>
          <w:sz w:val="28"/>
          <w:szCs w:val="28"/>
        </w:rPr>
        <w:t>Wielkopolskiego Zarządu Dróg Wojewódzkich w Poznaniu, ul. Wilczak 51, 61-623 Poznań, o wydanie decyzji o środowiskowych uwarunkowaniach dla planowanego przedsięwzięcia pod nazwą: „Budowa Dróg Wojewódzkich nr 432 oraz 436 obwodnica m. Śrem – Etap III”, projektowanego na działkach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77/7, obręb Pysząca</w:t>
      </w:r>
      <w:r w:rsidRPr="004707E0">
        <w:rPr>
          <w:rFonts w:ascii="Calibri" w:eastAsia="Times New Roman" w:hAnsi="Calibri" w:cs="Calibri"/>
          <w:sz w:val="28"/>
          <w:szCs w:val="28"/>
          <w:lang w:eastAsia="pl-PL"/>
        </w:rPr>
        <w:t>,</w:t>
      </w:r>
    </w:p>
    <w:p w14:paraId="6DB9B6D2" w14:textId="77777777" w:rsidR="004707E0" w:rsidRPr="004707E0" w:rsidRDefault="004707E0" w:rsidP="004707E0">
      <w:pPr>
        <w:spacing w:after="120" w:line="240" w:lineRule="auto"/>
        <w:jc w:val="center"/>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postanawiam</w:t>
      </w:r>
    </w:p>
    <w:p w14:paraId="08A784F6" w14:textId="77777777" w:rsidR="004707E0" w:rsidRPr="004707E0" w:rsidRDefault="004707E0" w:rsidP="004707E0">
      <w:pPr>
        <w:spacing w:after="120" w:line="240" w:lineRule="auto"/>
        <w:jc w:val="both"/>
        <w:rPr>
          <w:rFonts w:ascii="Calibri" w:eastAsia="Times New Roman" w:hAnsi="Calibri" w:cs="Calibri"/>
          <w:sz w:val="28"/>
          <w:szCs w:val="28"/>
          <w:lang w:eastAsia="pl-PL"/>
        </w:rPr>
      </w:pPr>
      <w:r w:rsidRPr="004707E0">
        <w:rPr>
          <w:rFonts w:ascii="Calibri" w:eastAsia="Times New Roman" w:hAnsi="Calibri" w:cs="Calibri"/>
          <w:b/>
          <w:sz w:val="28"/>
          <w:szCs w:val="28"/>
          <w:lang w:eastAsia="pl-PL"/>
        </w:rPr>
        <w:t>nałożyć na Wielkopolski Zarząd Dróg Wojewódzkich w Poznaniu, ul. Wilczak 51, 61-623 Poznań obowiązek przeprowadzenia oceny oddziaływania na środowisko</w:t>
      </w:r>
      <w:r w:rsidRPr="004707E0">
        <w:rPr>
          <w:rFonts w:ascii="Calibri" w:eastAsia="Times New Roman" w:hAnsi="Calibri" w:cs="Calibri"/>
          <w:bCs/>
          <w:sz w:val="28"/>
          <w:szCs w:val="28"/>
          <w:lang w:eastAsia="pl-PL"/>
        </w:rPr>
        <w:t xml:space="preserve"> dla wyżej wymienionego planowanego przedsięwzięcia </w:t>
      </w:r>
      <w:r w:rsidRPr="004707E0">
        <w:rPr>
          <w:rFonts w:ascii="Calibri" w:eastAsia="Times New Roman" w:hAnsi="Calibri" w:cs="Calibri"/>
          <w:b/>
          <w:sz w:val="28"/>
          <w:szCs w:val="28"/>
          <w:lang w:eastAsia="pl-PL"/>
        </w:rPr>
        <w:t>oraz ustalić zakres raportu</w:t>
      </w:r>
      <w:r w:rsidRPr="004707E0">
        <w:rPr>
          <w:rFonts w:ascii="Calibri" w:eastAsia="Times New Roman" w:hAnsi="Calibri" w:cs="Calibri"/>
          <w:sz w:val="28"/>
          <w:szCs w:val="28"/>
          <w:lang w:eastAsia="pl-PL"/>
        </w:rPr>
        <w:t>, spełniającego wymogi art. 66 ustawy, w szczególności zawierającego analizę podanych niżej zagadnień:</w:t>
      </w:r>
    </w:p>
    <w:p w14:paraId="1DA48FC9"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br w:type="page"/>
      </w:r>
    </w:p>
    <w:p w14:paraId="4D2CD142" w14:textId="77777777" w:rsidR="004707E0" w:rsidRPr="004707E0" w:rsidRDefault="004707E0" w:rsidP="004707E0">
      <w:pPr>
        <w:numPr>
          <w:ilvl w:val="0"/>
          <w:numId w:val="2"/>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lastRenderedPageBreak/>
        <w:t>W zakresie ochrony przed hałasem i wibracjami:</w:t>
      </w:r>
    </w:p>
    <w:p w14:paraId="4B64B681"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określić parametry eksploatacyjne i technologiczne przedsięwzięcia mające wpływ na wielkość emisji hałasu w roku oddania przedsięwzięcia do użytkowania oraz na dalsze lata prognozy, w tym: natężenie, strukturę i prędkość ruchu z podziałem na porę dnia (od godziny 6:00 do godziny 22:00) i nocy (od godziny 22:00 do godziny 6:00), rodzaj nawierzchni, niweletę drogi; uzasadnić przyjętą prognozę natężenia ruchu w oparciu o najnowszy Generalny Pomiar Ruchu (GPR) oraz uwarunkowania przestrzenne;</w:t>
      </w:r>
    </w:p>
    <w:p w14:paraId="71BA516C"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określić zagospodarowanie i przeznaczenie terenu zgodnie z art. 113 i art. 115 ustawy z dnia 27 kwietnia 2001 r. -Prawo ochrony środowiska (Dz. U. z 2022 r. poz. 2556 i 2687) oraz rozporządzeniem Ministra Środowiska z dnia 14 czerwca 2007 r. w sprawie dopuszczalnych poziomów hałasu w środowisku (Dz. U. z 2014 r. poz. 112). Rejony występowania terenów wymagających ochrony akustycznej zaznaczyć na mapie i wyróżnić ze względu na uwarunkowania akustyczne. Przy określaniu zagospodarowania i przeznaczenia terenu uwzględnić informacje wynikające z miejscowych planów zagospodarowania przestrzennego oraz faktyczne zagospodarowanie terenu;</w:t>
      </w:r>
    </w:p>
    <w:p w14:paraId="13D27EEB"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informacje dotyczące przyjętego modelu obliczeniowego propagacji hałasu;</w:t>
      </w:r>
    </w:p>
    <w:p w14:paraId="0D5BB964"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określić wartości poziomów hałasu na granicy najbliższych terenów wymagających ochrony przed hałasem zlokalizowanych wzdłuż przedsięwzięcia oraz przed elewacją budynków mieszkalnych i budynków o innej funkcji chronionej, w przyjętych okresach prognozy z uwzględnieniem oddziaływania planowanego przedsięwzięcia (także przebudowy istniejących odcinków dróg). Należy uwzględnić położenie budynków względem obecnej granicy pasa drogowego i odnieść się również do dopuszczalnych poziomów hałasu określonych w normach obowiązujących dla wnętrz budynków;</w:t>
      </w:r>
    </w:p>
    <w:p w14:paraId="12E3F7C4"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br w:type="page"/>
      </w:r>
    </w:p>
    <w:p w14:paraId="4EA4C3CA"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lastRenderedPageBreak/>
        <w:t>określić oddziaływanie planowanego przedsięwzięcia na środowisko, w postaci czytelnych map z izoliniami poziomu dźwięku odpowiadającymi dopuszczalnym poziomom hałasu, zgodnie z rozporządzeniem w sprawie dopuszczalnych poziomów hałasu w środowisku, zróżnicowanych ze względu na rodzaj terenu. Uwzględnić należy sytuację, przed i po zastosowaniu ewentualnych zabezpieczeń, w przyjętych okresach prognozy. Ponadto, na mapach akustycznych przedstawić: kilometraż drogi (co 20 m), lokalizację granic terenów wymagających ochrony akustycznej (z uwzględnieniem faktycznego zagospodarowania i przeznaczenia terenów w miejscowych planach zagospodarowania przestrzennego), budynki mieszkalne lub o innej funkcji wymagającej ochrony akustycznej oraz pozostałe budynki, lokalizację punktów obliczeniowych (na granicy terenów chronionych oraz przed elewacją budynków). W obliczeniach uwzględnić wysokość, na której wyznaczono izolinie oraz punkty obliczeniowe, w zależności od ich lokalizacji;</w:t>
      </w:r>
    </w:p>
    <w:p w14:paraId="21F7EEF5"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dołączyć wydruki komputerowe zawierające pełne dane wejściowe do programu modelującego rozprzestrzenianie się hałasu w środowisku. W obliczeniach przeanalizować najniekorzystniejsze występujące w praktyce momenty eksploatacji przedmiotowej drogi – czyli na przykład najbardziej niekorzystne szesnaście i osiem godzin, odpowiednio dla pory dnia i nocy, pod względem ilości przejeżdżających podczas ich trwania pojazdów i ich typów;</w:t>
      </w:r>
    </w:p>
    <w:p w14:paraId="3F96E6ED"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 przypadku wystąpienia przekroczeń akustycznych standardów jakości środowiska określić środki organizacyjne, techniczne lub technologiczne ograniczające emisję hałasu co najmniej do poziomów dopuszczalnych;</w:t>
      </w:r>
    </w:p>
    <w:p w14:paraId="1B25D53C"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w punktach skumulowane oddziaływanie planowanego przedsięwzięcia z innymi, planowanymi i istniejącymi przedsięwzięciami w ramach tego samego rodzaju źródła hałasu (drogi, linie kolejowe), określając poziom hałasu od przedmiotowego przedsięwzięcia, poziom hałasu od planowanych i istniejących innych przedsięwzięć oraz poziom hałasu od wszystkich przedsięwzięć;</w:t>
      </w:r>
    </w:p>
    <w:p w14:paraId="15722F0C" w14:textId="77777777" w:rsidR="004707E0" w:rsidRPr="004707E0" w:rsidRDefault="004707E0" w:rsidP="004707E0">
      <w:pPr>
        <w:numPr>
          <w:ilvl w:val="0"/>
          <w:numId w:val="6"/>
        </w:numPr>
        <w:spacing w:after="120" w:line="240" w:lineRule="auto"/>
        <w:ind w:left="426"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dokonać oceny pośredniego oddziaływania planowanego przedsięwzięcia jako zmiany istniejących warunków akustycznych na terenach, na których oddziaływanie pośrednie może mieć znaczenie;</w:t>
      </w:r>
    </w:p>
    <w:p w14:paraId="5883A770" w14:textId="77777777" w:rsidR="004707E0" w:rsidRPr="004707E0" w:rsidRDefault="004707E0" w:rsidP="004707E0">
      <w:pPr>
        <w:numPr>
          <w:ilvl w:val="0"/>
          <w:numId w:val="6"/>
        </w:numPr>
        <w:spacing w:after="120" w:line="240" w:lineRule="auto"/>
        <w:ind w:left="567" w:hanging="425"/>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założenia do ewentualnej analizy porealizacyjnej, w tym lokalizację przekroju pomiarowego, warunki wykonania pomiarów, terminy oraz krotność wykonywania pomiarów;</w:t>
      </w:r>
    </w:p>
    <w:p w14:paraId="4DBB69D9" w14:textId="77777777" w:rsidR="004707E0" w:rsidRPr="004707E0" w:rsidRDefault="004707E0" w:rsidP="004707E0">
      <w:pPr>
        <w:numPr>
          <w:ilvl w:val="0"/>
          <w:numId w:val="6"/>
        </w:numPr>
        <w:spacing w:after="120" w:line="240" w:lineRule="auto"/>
        <w:ind w:left="567" w:hanging="425"/>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lastRenderedPageBreak/>
        <w:t>dokonać oceny oddziaływania akustycznego na etapie budowy wraz ze wskazaniem środków minimalizujących zagrożenia przed nadmierną emisją hałasu na tym etapie;</w:t>
      </w:r>
    </w:p>
    <w:p w14:paraId="29D894D5" w14:textId="77777777" w:rsidR="004707E0" w:rsidRPr="004707E0" w:rsidRDefault="004707E0" w:rsidP="004707E0">
      <w:pPr>
        <w:numPr>
          <w:ilvl w:val="0"/>
          <w:numId w:val="6"/>
        </w:numPr>
        <w:spacing w:after="120" w:line="240" w:lineRule="auto"/>
        <w:ind w:left="567" w:hanging="425"/>
        <w:contextualSpacing/>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dokonać oceny oddziaływania wibroakustycznego przedsięwzięcia na etapie budowy oraz eksploatacji. Jeśli zostaną zastosowane zabezpieczenia w celu obniżenia przenoszenia drgań w wyniku eksploatacji przedmiotowego przedsięwzięcia, wskazać na jakich odcinkach zostaną zrealizowane wraz z podaniem kilometrażu oraz szczegółowej charakterystyki parametrów technicznych i skuteczności tych zabezpieczeń. Oddzielnie przedstawić charakterystykę zastosowanych zabezpieczeń, opisując właściwości każdego z nich i uwarunkowania związane z wyborem tego, a nie innego rozwiązania.</w:t>
      </w:r>
    </w:p>
    <w:p w14:paraId="74D2718A" w14:textId="77777777" w:rsidR="004707E0" w:rsidRPr="004707E0" w:rsidRDefault="004707E0" w:rsidP="004707E0">
      <w:pPr>
        <w:numPr>
          <w:ilvl w:val="0"/>
          <w:numId w:val="2"/>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 zakresie ochrony powietrza:</w:t>
      </w:r>
    </w:p>
    <w:p w14:paraId="485AA3E2" w14:textId="77777777" w:rsidR="004707E0" w:rsidRPr="004707E0" w:rsidRDefault="004707E0" w:rsidP="004707E0">
      <w:pPr>
        <w:spacing w:after="120" w:line="240" w:lineRule="auto"/>
        <w:ind w:left="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analizę oddziaływania przedsięwzięcia na stan jakości powietrza podczas jego realizacji i eksploatacji.</w:t>
      </w:r>
    </w:p>
    <w:p w14:paraId="584DEC8B" w14:textId="77777777" w:rsidR="004707E0" w:rsidRPr="004707E0" w:rsidRDefault="004707E0" w:rsidP="004707E0">
      <w:pPr>
        <w:numPr>
          <w:ilvl w:val="0"/>
          <w:numId w:val="2"/>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 zakresie gospodarki wodno-ściekowej i hydrogeologii:</w:t>
      </w:r>
    </w:p>
    <w:p w14:paraId="4078695D" w14:textId="77777777" w:rsidR="004707E0" w:rsidRPr="004707E0" w:rsidRDefault="004707E0" w:rsidP="004707E0">
      <w:pPr>
        <w:numPr>
          <w:ilvl w:val="0"/>
          <w:numId w:val="4"/>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opisać warunki gruntowo-wodne na obszarze realizacji przedsięwzięcia;</w:t>
      </w:r>
    </w:p>
    <w:p w14:paraId="666ED898" w14:textId="77777777" w:rsidR="004707E0" w:rsidRPr="004707E0" w:rsidRDefault="004707E0" w:rsidP="004707E0">
      <w:pPr>
        <w:numPr>
          <w:ilvl w:val="0"/>
          <w:numId w:val="4"/>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rozwiązania techniczno-organizacyjne mające na celu ograniczenie negatywnego oddziaływania przedsięwzięcia na środowisko gruntowo-wodne na etapie jego realizacji, w tym sposób zabezpieczenia placów budowy, baz surowcowo-materiałowych i parków maszyn oraz proponowane miejsca ich lokalizacji;</w:t>
      </w:r>
    </w:p>
    <w:p w14:paraId="457827D2" w14:textId="77777777" w:rsidR="004707E0" w:rsidRPr="004707E0" w:rsidRDefault="004707E0" w:rsidP="004707E0">
      <w:pPr>
        <w:numPr>
          <w:ilvl w:val="0"/>
          <w:numId w:val="4"/>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przeprowadzić analizę stężeń zanieczyszczeń w wodach opadowych i roztopowych z uwzględnieniem natężenia ruchu w perspektywie kolejnych lat;</w:t>
      </w:r>
    </w:p>
    <w:p w14:paraId="2D9C6CA5" w14:textId="77777777" w:rsidR="004707E0" w:rsidRPr="004707E0" w:rsidRDefault="004707E0" w:rsidP="004707E0">
      <w:pPr>
        <w:numPr>
          <w:ilvl w:val="0"/>
          <w:numId w:val="4"/>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wskazać rodzaj, ilość i przewidywaną lokalizację urządzeń podczyszczających (z zawiesiny ogólnej i węglowodorów ropopochodnych) oraz ich parametrów obliczonych na podstawie wielkości spływu wód opadowych i roztopowych z obszaru realizacji przedsięwzięcia w przypadku gdy będą one wymagane;</w:t>
      </w:r>
    </w:p>
    <w:p w14:paraId="6500C91C" w14:textId="77777777" w:rsidR="004707E0" w:rsidRPr="004707E0" w:rsidRDefault="004707E0" w:rsidP="004707E0">
      <w:pPr>
        <w:numPr>
          <w:ilvl w:val="0"/>
          <w:numId w:val="4"/>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lokalizację przedsięwzięcia względem jednolitych części wód powierzchniowych i podziemnych oraz odnieść się do art. 81 ust. 3 ustawy i wyjaśnić, czy przedmiotowe przedsięwzięcie może spowodować nieosiągnięcie celów środowiskowych zawartych w aktualizacji Planu gospodarowania wodami na obszarze dorzecza Odry;</w:t>
      </w:r>
    </w:p>
    <w:p w14:paraId="6A3028D6" w14:textId="77777777" w:rsidR="004707E0" w:rsidRPr="004707E0" w:rsidRDefault="004707E0" w:rsidP="004707E0">
      <w:pPr>
        <w:numPr>
          <w:ilvl w:val="0"/>
          <w:numId w:val="4"/>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lastRenderedPageBreak/>
        <w:t>przedstawić rozwiązania dotyczące przejścia inwestycji przez obszar zagrożony osuwiskiem.</w:t>
      </w:r>
    </w:p>
    <w:p w14:paraId="549B88A3" w14:textId="77777777" w:rsidR="004707E0" w:rsidRPr="004707E0" w:rsidRDefault="004707E0" w:rsidP="004707E0">
      <w:pPr>
        <w:numPr>
          <w:ilvl w:val="0"/>
          <w:numId w:val="2"/>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 zakresie gospodarki odpadami:</w:t>
      </w:r>
    </w:p>
    <w:p w14:paraId="6DD5A875" w14:textId="77777777" w:rsidR="004707E0" w:rsidRPr="004707E0" w:rsidRDefault="004707E0" w:rsidP="004707E0">
      <w:pPr>
        <w:numPr>
          <w:ilvl w:val="0"/>
          <w:numId w:val="5"/>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rodzaje, ilości oraz sposoby zagospodarowania odpadów poszczególnych rodzajów, które mogą powstać na etapie budowy, eksploatacji i likwidacji przedsięwzięcia, uwzględniając ustawę z dnia 14 grudnia 2012 r. o odpadach (Dz. U. z 2022 r. poz. 699, 1726, 1250, 2127 i 2722);</w:t>
      </w:r>
    </w:p>
    <w:p w14:paraId="38AC8924" w14:textId="77777777" w:rsidR="004707E0" w:rsidRPr="004707E0" w:rsidRDefault="004707E0" w:rsidP="004707E0">
      <w:pPr>
        <w:numPr>
          <w:ilvl w:val="0"/>
          <w:numId w:val="5"/>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 przypadku magazynowania odpadów, wskazać sposoby i miejsca gromadzenia odpadów oraz rozwiązania chroniące środowisko gruntowo-wodne przed jego zanieczyszczeniem;</w:t>
      </w:r>
    </w:p>
    <w:p w14:paraId="4E15EEA3" w14:textId="77777777" w:rsidR="004707E0" w:rsidRPr="004707E0" w:rsidRDefault="004707E0" w:rsidP="004707E0">
      <w:pPr>
        <w:numPr>
          <w:ilvl w:val="0"/>
          <w:numId w:val="5"/>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wskazać sposoby zapobiegania powstawaniu odpadów lub ograniczania ich ilości i negatywnego oddziaływania na środowisko.</w:t>
      </w:r>
    </w:p>
    <w:p w14:paraId="3A70C4C6" w14:textId="77777777" w:rsidR="004707E0" w:rsidRPr="004707E0" w:rsidRDefault="004707E0" w:rsidP="004707E0">
      <w:pPr>
        <w:numPr>
          <w:ilvl w:val="0"/>
          <w:numId w:val="2"/>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Z zakresu ochrony przyrody:</w:t>
      </w:r>
    </w:p>
    <w:p w14:paraId="1339A671" w14:textId="77777777" w:rsidR="004707E0" w:rsidRPr="004707E0" w:rsidRDefault="004707E0" w:rsidP="004707E0">
      <w:pPr>
        <w:numPr>
          <w:ilvl w:val="0"/>
          <w:numId w:val="7"/>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informacje na temat obecnego zagospodarowania terenu przeznaczonego pod realizację planowanego przedsięwzięcia;</w:t>
      </w:r>
    </w:p>
    <w:p w14:paraId="25B2ED9B" w14:textId="77777777" w:rsidR="004707E0" w:rsidRPr="004707E0" w:rsidRDefault="004707E0" w:rsidP="004707E0">
      <w:pPr>
        <w:numPr>
          <w:ilvl w:val="0"/>
          <w:numId w:val="7"/>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informacje na temat występowania na terenie przeznaczonym pod realizację planowanego przedsięwzięcia oraz w jego sąsiedztwie chronionych gatunków roślin, zwierząt i grzybów wraz z podaniem źródła danych;</w:t>
      </w:r>
    </w:p>
    <w:p w14:paraId="5C5221C2" w14:textId="77777777" w:rsidR="004707E0" w:rsidRPr="004707E0" w:rsidRDefault="004707E0" w:rsidP="004707E0">
      <w:pPr>
        <w:numPr>
          <w:ilvl w:val="0"/>
          <w:numId w:val="7"/>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wskazać liczbę, gatunek i wymiary drzew a także powierzchnie krzewów przeznaczonych do wycinki wraz z uzasadnieniem skali planowanej wycinki;</w:t>
      </w:r>
    </w:p>
    <w:p w14:paraId="55E5F022" w14:textId="77777777" w:rsidR="004707E0" w:rsidRPr="004707E0" w:rsidRDefault="004707E0" w:rsidP="004707E0">
      <w:pPr>
        <w:numPr>
          <w:ilvl w:val="0"/>
          <w:numId w:val="7"/>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na mapie lokalizację drzew i krzewów przeznaczonych do wycinki;</w:t>
      </w:r>
    </w:p>
    <w:p w14:paraId="713A2E54" w14:textId="77777777" w:rsidR="004707E0" w:rsidRPr="004707E0" w:rsidRDefault="004707E0" w:rsidP="004707E0">
      <w:pPr>
        <w:numPr>
          <w:ilvl w:val="0"/>
          <w:numId w:val="7"/>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propozycję nasadzeń minimalizujących ze wskazaniem liczby, gatunków oraz miejsc przeprowadzenia planowanych nasadzeń;</w:t>
      </w:r>
    </w:p>
    <w:p w14:paraId="60102E85" w14:textId="77777777" w:rsidR="004707E0" w:rsidRPr="004707E0" w:rsidRDefault="004707E0" w:rsidP="004707E0">
      <w:pPr>
        <w:numPr>
          <w:ilvl w:val="0"/>
          <w:numId w:val="7"/>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wpływ przedsięwzięcia na środowisko przyrodnicze i krajobraz oraz propozycję zastosowania środków ograniczających ewentualny negatywny wpływ na środowisko przyrodnicze i krajobraz na etapie realizacji i eksploatacji przedsięwzięcia;</w:t>
      </w:r>
    </w:p>
    <w:p w14:paraId="67D594A2"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br w:type="page"/>
      </w:r>
    </w:p>
    <w:p w14:paraId="07B3EF69" w14:textId="77777777" w:rsidR="004707E0" w:rsidRPr="004707E0" w:rsidRDefault="004707E0" w:rsidP="004707E0">
      <w:pPr>
        <w:numPr>
          <w:ilvl w:val="0"/>
          <w:numId w:val="7"/>
        </w:numPr>
        <w:spacing w:after="120" w:line="240" w:lineRule="auto"/>
        <w:ind w:left="568"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lastRenderedPageBreak/>
        <w:t>dokonać oceny wpływu planowanego przedsięwzięcia na bioróżnorodność i wyjaśnić, czy przedsięwzięcie wpłynie na utratę różnorodności gatunków, w tym gatunków chronionych na mocy przepisów dyrektywy siedliskowej i dyrektywy ptasiej oraz czy wpłynie na ciągłość korytarzy ekologicznych, bogactwo gatunków lub skład gatunkowy siedlisk na badanym obszarze.</w:t>
      </w:r>
    </w:p>
    <w:p w14:paraId="1CF4397B" w14:textId="77777777" w:rsidR="004707E0" w:rsidRPr="004707E0" w:rsidRDefault="004707E0" w:rsidP="004707E0">
      <w:pPr>
        <w:numPr>
          <w:ilvl w:val="0"/>
          <w:numId w:val="2"/>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Przedstawić informacje, w jaki sposób przedsięwzięcie może wpłynąć na zmiany klimatu i czy przewidziano rozwiązania łagodzące te zmiany to jest: ograniczenie emisji gazów cieplarnianych, ograniczenie zużycia energii, wykorzystanie odnawialnych źródeł energii, ograniczenie zużycia wody. Wyjaśnić także, czy przedsięwzięcie będzie musiało przystosować się do zmieniających się warunków klimatycznych i możliwych zdarzeń ekstremalnych takich jak na przykład fale upałów, długotrwałe susze, ekstremalne opady, zalewanie przez rzeki, gwałtowne burze i wiatry, fale chłodu i intensywne opady śniegu, zamarzanie i odmarzanie.</w:t>
      </w:r>
    </w:p>
    <w:p w14:paraId="604DEF36" w14:textId="77777777" w:rsidR="004707E0" w:rsidRPr="004707E0" w:rsidRDefault="004707E0" w:rsidP="004707E0">
      <w:pPr>
        <w:spacing w:after="120" w:line="240" w:lineRule="auto"/>
        <w:jc w:val="center"/>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Uzasadnienie</w:t>
      </w:r>
    </w:p>
    <w:p w14:paraId="28DEC80E" w14:textId="77777777" w:rsidR="004707E0" w:rsidRPr="004707E0" w:rsidRDefault="004707E0" w:rsidP="004707E0">
      <w:pPr>
        <w:spacing w:after="12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ab/>
      </w:r>
      <w:r w:rsidRPr="004707E0">
        <w:rPr>
          <w:rFonts w:ascii="Calibri" w:eastAsia="Calibri" w:hAnsi="Calibri" w:cs="Calibri"/>
          <w:sz w:val="28"/>
          <w:szCs w:val="28"/>
        </w:rPr>
        <w:t xml:space="preserve">15.12.2022 r. do Burmistrza Śremu wpłynął wniosek Wielkopolskiego Zarządu Dróg Wojewódzkich w Poznaniu, ul. Wilczak 51, 61-623 Poznań, uzupełniony 25.01.2023 r., o wydanie decyzji o środowiskowych uwarunkowaniach dla planowanego przedsięwzięcia pod nazwą: „Budowa Dróg Wojewódzkich nr 432 oraz 436 obwodnica m. Śrem – Etap III”, projektowanego </w:t>
      </w:r>
      <w:bookmarkStart w:id="0" w:name="_Hlk127267553"/>
      <w:r w:rsidRPr="004707E0">
        <w:rPr>
          <w:rFonts w:ascii="Calibri" w:eastAsia="Calibri" w:hAnsi="Calibri" w:cs="Calibri"/>
          <w:sz w:val="28"/>
          <w:szCs w:val="28"/>
        </w:rPr>
        <w:t xml:space="preserve">na działkach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77/7, obręb Pysząca. </w:t>
      </w:r>
      <w:bookmarkEnd w:id="0"/>
      <w:r w:rsidRPr="004707E0">
        <w:rPr>
          <w:rFonts w:ascii="Calibri" w:eastAsia="Calibri" w:hAnsi="Calibri" w:cs="Calibri"/>
          <w:sz w:val="28"/>
          <w:szCs w:val="28"/>
        </w:rPr>
        <w:t>Do wniosku załączona została karta informacyjna przedsięwzięcia wraz z wymaganymi załącznikami</w:t>
      </w:r>
      <w:r w:rsidRPr="004707E0">
        <w:rPr>
          <w:rFonts w:ascii="Calibri" w:eastAsia="Times New Roman" w:hAnsi="Calibri" w:cs="Calibri"/>
          <w:sz w:val="28"/>
          <w:szCs w:val="28"/>
          <w:lang w:eastAsia="pl-PL"/>
        </w:rPr>
        <w:t>.</w:t>
      </w:r>
    </w:p>
    <w:p w14:paraId="05AD87F9" w14:textId="77777777" w:rsidR="004707E0" w:rsidRPr="004707E0" w:rsidRDefault="004707E0" w:rsidP="004707E0">
      <w:pPr>
        <w:spacing w:after="0" w:line="240" w:lineRule="auto"/>
        <w:jc w:val="both"/>
        <w:rPr>
          <w:rFonts w:ascii="Calibri" w:eastAsia="Calibri" w:hAnsi="Calibri" w:cs="Calibri"/>
          <w:sz w:val="28"/>
          <w:szCs w:val="28"/>
        </w:rPr>
      </w:pPr>
      <w:r w:rsidRPr="004707E0">
        <w:rPr>
          <w:rFonts w:ascii="Calibri" w:eastAsia="Calibri" w:hAnsi="Calibri" w:cs="Calibri"/>
          <w:sz w:val="28"/>
          <w:szCs w:val="28"/>
        </w:rPr>
        <w:br w:type="page"/>
      </w:r>
    </w:p>
    <w:p w14:paraId="6D46087D" w14:textId="77777777" w:rsidR="004707E0" w:rsidRPr="004707E0" w:rsidRDefault="004707E0" w:rsidP="004707E0">
      <w:pPr>
        <w:spacing w:after="120" w:line="240" w:lineRule="auto"/>
        <w:ind w:firstLine="708"/>
        <w:jc w:val="both"/>
        <w:rPr>
          <w:rFonts w:ascii="Calibri" w:eastAsia="Calibri" w:hAnsi="Calibri" w:cs="Calibri"/>
          <w:sz w:val="28"/>
          <w:szCs w:val="28"/>
        </w:rPr>
      </w:pPr>
      <w:r w:rsidRPr="004707E0">
        <w:rPr>
          <w:rFonts w:ascii="Calibri" w:eastAsia="Calibri" w:hAnsi="Calibri" w:cs="Calibri"/>
          <w:sz w:val="28"/>
          <w:szCs w:val="28"/>
        </w:rPr>
        <w:lastRenderedPageBreak/>
        <w:t xml:space="preserve">Łączna długość obwodnicy wyniesie 1 740 m. Zaprojektowano drogę o szerokości jezdni 2x3,5 m. W ramach przedsięwzięcia wykonane zostaną między innymi: dwa skrzyżowania typu rondo (skrzyżowanie ulic Stanisława Staszica i Gostyńskiej w Śremie oraz skrzyżowanie ulic Rolnej i Śremskiej w Pyszącej); pobocze gruntowe umocnione kruszywem łamanym; ścieżka pieszo - rowerowa; dodatkowa jezdnia o szerokości 3,5 m; pasy włączenia i wyłączenia na drodze wojewódzkiej nr 434; zatoka autobusowa. W miejscu przekroczenia drogi wojewódzkiej nr 432 zaprojektowano budowę jednoprzęsłowego wiaduktu o konstrukcji nośnej wykonanej ze strunobetonowych belek. Projektuje się wykonanie odwodnienia za pomocą rowów drogowych. Na przebudowywanym odcinku drogi projektuje się rowy trawiaste trapezowe odpływowe do istniejących cieków i rowów drogowych. Na odcinku projektowanego ronda na skrzyżowaniu ulic Stanisława Staszica i Gostyńskiej w Śremie planuje się wykonać odwodnienie poprzez system wpustów i przykanalików do kanalizacji deszczowej z odprowadzeniem do istniejących cieków lub kanalizacji deszczowej. W ramach przedsięwzięcia wykonana zostanie wycinka drzew i krzewów. </w:t>
      </w:r>
    </w:p>
    <w:p w14:paraId="32C0839F" w14:textId="77777777" w:rsidR="004707E0" w:rsidRPr="004707E0" w:rsidRDefault="004707E0" w:rsidP="004707E0">
      <w:pPr>
        <w:spacing w:after="120" w:line="240" w:lineRule="auto"/>
        <w:ind w:firstLine="708"/>
        <w:jc w:val="both"/>
        <w:rPr>
          <w:rFonts w:ascii="Calibri" w:eastAsia="Calibri" w:hAnsi="Calibri" w:cs="Calibri"/>
          <w:sz w:val="28"/>
          <w:szCs w:val="28"/>
        </w:rPr>
      </w:pPr>
      <w:r w:rsidRPr="004707E0">
        <w:rPr>
          <w:rFonts w:ascii="Calibri" w:eastAsia="Calibri" w:hAnsi="Calibri" w:cs="Calibri"/>
          <w:bCs/>
          <w:sz w:val="28"/>
          <w:szCs w:val="28"/>
        </w:rPr>
        <w:t xml:space="preserve">Przedsięwzięcie zakwalifikowano </w:t>
      </w:r>
      <w:bookmarkStart w:id="1" w:name="_Hlk120605488"/>
      <w:r w:rsidRPr="004707E0">
        <w:rPr>
          <w:rFonts w:ascii="Calibri" w:eastAsia="Calibri" w:hAnsi="Calibri" w:cs="Calibri"/>
          <w:bCs/>
          <w:sz w:val="28"/>
          <w:szCs w:val="28"/>
        </w:rPr>
        <w:t>do przedsięwzięć mogących potencjalnie znacząco oddziaływać na środowisko, dla których obowiązek przeprowadzenia oceny oddziaływania na środowisko może być stwierdzony,</w:t>
      </w:r>
      <w:r w:rsidRPr="004707E0">
        <w:rPr>
          <w:rFonts w:ascii="Calibri" w:eastAsia="Calibri" w:hAnsi="Calibri" w:cs="Calibri"/>
          <w:sz w:val="28"/>
          <w:szCs w:val="28"/>
        </w:rPr>
        <w:t xml:space="preserve"> wymienionych w rozporządzeniu </w:t>
      </w:r>
      <w:bookmarkEnd w:id="1"/>
      <w:r w:rsidRPr="004707E0">
        <w:rPr>
          <w:rFonts w:ascii="Calibri" w:eastAsia="Calibri" w:hAnsi="Calibri" w:cs="Calibri"/>
          <w:sz w:val="28"/>
          <w:szCs w:val="28"/>
        </w:rPr>
        <w:t xml:space="preserve">Rady Ministrów z dnia 10 września 2019 r. w sprawie przedsięwzięć mogących znacząco oddziaływać na środowisko w § 3 ust. 1 pkt 62: „drogi o nawierzchni twardej o całkowitej długości przedsięwzięcia powyżej 1 km inne niż wymienione w §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 r. o ochronie przyrody”. </w:t>
      </w:r>
    </w:p>
    <w:p w14:paraId="1E8626EE"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 xml:space="preserve">Zgodnie z art. 64 ust. 1 ustawy Burmistrz Śremu, pismem z 27.01.2023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1B904CD5" w14:textId="77777777" w:rsidR="004707E0" w:rsidRPr="004707E0" w:rsidRDefault="004707E0" w:rsidP="004707E0">
      <w:pPr>
        <w:spacing w:after="0" w:line="240" w:lineRule="auto"/>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br w:type="page"/>
      </w:r>
    </w:p>
    <w:p w14:paraId="09E04F17"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b/>
          <w:bCs/>
          <w:sz w:val="28"/>
          <w:szCs w:val="28"/>
          <w:lang w:eastAsia="pl-PL"/>
        </w:rPr>
        <w:lastRenderedPageBreak/>
        <w:t>Państwowy Powiatowy Inspektor Sanitarny w Śremie</w:t>
      </w:r>
      <w:r w:rsidRPr="004707E0">
        <w:rPr>
          <w:rFonts w:ascii="Calibri" w:eastAsia="Times New Roman" w:hAnsi="Calibri" w:cs="Calibri"/>
          <w:sz w:val="28"/>
          <w:szCs w:val="28"/>
          <w:lang w:eastAsia="pl-PL"/>
        </w:rPr>
        <w:t xml:space="preserve"> w piśmie z 10.02.2023 r. znak ON-NS.9011.18.3.2023 </w:t>
      </w:r>
      <w:r w:rsidRPr="004707E0">
        <w:rPr>
          <w:rFonts w:ascii="Calibri" w:eastAsia="Times New Roman" w:hAnsi="Calibri" w:cs="Calibri"/>
          <w:b/>
          <w:bCs/>
          <w:sz w:val="28"/>
          <w:szCs w:val="28"/>
          <w:lang w:eastAsia="pl-PL"/>
        </w:rPr>
        <w:t>wyraził opinię, że przeprowadzenie oceny oddziaływania na środowisko nie jest wymagane</w:t>
      </w:r>
      <w:r w:rsidRPr="004707E0">
        <w:rPr>
          <w:rFonts w:ascii="Calibri" w:eastAsia="Times New Roman" w:hAnsi="Calibri" w:cs="Calibri"/>
          <w:sz w:val="28"/>
          <w:szCs w:val="28"/>
          <w:lang w:eastAsia="pl-PL"/>
        </w:rPr>
        <w:t>, wskazując, co następuje: „Planowana inwestycja jest przedsięwzięciem mogącym potencjalnie znacząco oddziaływać na środowisko. Jednakże postępowanie zgodne z: rozwiązaniami przedstawionymi w karcie informacyjnej przedmiotowego przedsięwzięcia wraz z obowiązującymi przepisami prawa oraz dzięki przestrzeganiu reżimu techniczno-technologicznego, głównie w zakresie ochrony akustycznej, powierzchni ziemi, jak również właściwie prowadzonej gospodarce ściekami i odpadami, ograniczeniem prac wyłącznie do pory dziennej, prawidłowej eksploatacji wykorzystywanych urządzeń, odpowiedniej i czasowej ich konserwacji oraz przy przestrzeganiu zasad bezpieczeństwa i higieny pracy, i przepisów przeciwpożarowych na etapie realizacji, a także eksploatacji przedsięwzięcia – istnieje realna możliwość minimalizacji oddziaływania planowanego przedsięwzięcia na środowisko. Ponadto biorąc pod uwagę interes publiczny planowanej inwestycji Państwowy Powiatowy Inspektor Sanitarny w Śremie odstąpił od przeprowadzenia oceny oddziaływania na środowisko przedmiotowej inwestycji.”.</w:t>
      </w:r>
    </w:p>
    <w:p w14:paraId="7D46D24F" w14:textId="77777777" w:rsidR="004707E0" w:rsidRPr="004707E0" w:rsidRDefault="004707E0" w:rsidP="004707E0">
      <w:pPr>
        <w:spacing w:after="120" w:line="240" w:lineRule="auto"/>
        <w:ind w:firstLine="709"/>
        <w:jc w:val="both"/>
        <w:rPr>
          <w:rFonts w:ascii="Calibri" w:eastAsia="Times New Roman" w:hAnsi="Calibri" w:cs="Calibri"/>
          <w:bCs/>
          <w:sz w:val="28"/>
          <w:szCs w:val="28"/>
          <w:lang w:eastAsia="pl-PL"/>
        </w:rPr>
      </w:pPr>
      <w:r w:rsidRPr="004707E0">
        <w:rPr>
          <w:rFonts w:ascii="Calibri" w:eastAsia="Times New Roman" w:hAnsi="Calibri" w:cs="Calibri"/>
          <w:b/>
          <w:sz w:val="28"/>
          <w:szCs w:val="28"/>
          <w:lang w:eastAsia="pl-PL"/>
        </w:rPr>
        <w:t>Dyrektor Zarządu Zlewni Państwowego Gospodarstwa Wodnego Wody Polskie w Poznaniu</w:t>
      </w:r>
      <w:r w:rsidRPr="004707E0">
        <w:rPr>
          <w:rFonts w:ascii="Calibri" w:eastAsia="Times New Roman" w:hAnsi="Calibri" w:cs="Calibri"/>
          <w:bCs/>
          <w:sz w:val="28"/>
          <w:szCs w:val="28"/>
          <w:lang w:eastAsia="pl-PL"/>
        </w:rPr>
        <w:t xml:space="preserve">, w piśmie z 10.02.2023 r. znak PO.ZZŚ.4.4901.72.2023.MS.1, </w:t>
      </w:r>
      <w:r w:rsidRPr="004707E0">
        <w:rPr>
          <w:rFonts w:ascii="Calibri" w:eastAsia="Times New Roman" w:hAnsi="Calibri" w:cs="Calibri"/>
          <w:b/>
          <w:sz w:val="28"/>
          <w:szCs w:val="28"/>
          <w:lang w:eastAsia="pl-PL"/>
        </w:rPr>
        <w:t>nie stwierdził potrzeby przeprowadzenia oceny oddziaływania planowanego przedsięwzięcia na środowisko</w:t>
      </w:r>
      <w:r w:rsidRPr="004707E0">
        <w:rPr>
          <w:rFonts w:ascii="Calibri" w:eastAsia="Times New Roman" w:hAnsi="Calibri" w:cs="Calibri"/>
          <w:bCs/>
          <w:sz w:val="28"/>
          <w:szCs w:val="28"/>
          <w:lang w:eastAsia="pl-PL"/>
        </w:rPr>
        <w:t xml:space="preserve"> i wskazał konieczność określenia w decyzji o środowiskowych uwarunkowaniach następujących warunków i wymagań:</w:t>
      </w:r>
    </w:p>
    <w:p w14:paraId="20FF204E" w14:textId="77777777" w:rsidR="004707E0" w:rsidRPr="004707E0" w:rsidRDefault="004707E0" w:rsidP="004707E0">
      <w:pPr>
        <w:spacing w:after="120" w:line="240" w:lineRule="auto"/>
        <w:ind w:left="426" w:hanging="426"/>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„1)</w:t>
      </w:r>
      <w:r w:rsidRPr="004707E0">
        <w:rPr>
          <w:rFonts w:ascii="Calibri" w:eastAsia="Times New Roman" w:hAnsi="Calibri" w:cs="Calibri"/>
          <w:bCs/>
          <w:sz w:val="28"/>
          <w:szCs w:val="28"/>
          <w:lang w:eastAsia="pl-PL"/>
        </w:rPr>
        <w:tab/>
        <w:t>na etapie realizacji przedsięwzięcia zaplecze techniczne, miejsca magazynowania materiałów budowlanych i odpadów należy zorganizować na terenie utwardzonym, a miejsca postoju i serwisowania maszyn budowlanych i sprzętu transportowego dodatkowo uszczelnionym, tak aby zabezpieczyć grunt i wody przed ewentualnym przedostaniem się do nich substancji niebezpiecznych (ropopochodnych);</w:t>
      </w:r>
    </w:p>
    <w:p w14:paraId="768710B2" w14:textId="77777777" w:rsidR="004707E0" w:rsidRPr="004707E0" w:rsidRDefault="004707E0" w:rsidP="004707E0">
      <w:pPr>
        <w:numPr>
          <w:ilvl w:val="0"/>
          <w:numId w:val="8"/>
        </w:numPr>
        <w:spacing w:after="120" w:line="240" w:lineRule="auto"/>
        <w:ind w:left="284" w:hanging="284"/>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we wszystkich ww. miejscach należy zapewnić dostępność sorbentów, właściwych w zakresie ilości i rodzaju do potencjalnego zagrożenia, mogącego wystąpić w następstwie sytuacji awaryjnych;</w:t>
      </w:r>
    </w:p>
    <w:p w14:paraId="36987DFE" w14:textId="77777777" w:rsidR="004707E0" w:rsidRPr="004707E0" w:rsidRDefault="004707E0" w:rsidP="004707E0">
      <w:pPr>
        <w:numPr>
          <w:ilvl w:val="0"/>
          <w:numId w:val="8"/>
        </w:numPr>
        <w:spacing w:after="120" w:line="240" w:lineRule="auto"/>
        <w:ind w:left="284" w:hanging="284"/>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w przypadku przedostania się zanieczyszczeń do gruntu lub wód należy bezzwłocznie podjąć działania zmierzające do usunięcia skutków i przyczyn awarii;</w:t>
      </w:r>
    </w:p>
    <w:p w14:paraId="13264089" w14:textId="77777777" w:rsidR="004707E0" w:rsidRPr="004707E0" w:rsidRDefault="004707E0" w:rsidP="004707E0">
      <w:pPr>
        <w:numPr>
          <w:ilvl w:val="0"/>
          <w:numId w:val="8"/>
        </w:numPr>
        <w:spacing w:after="120" w:line="240" w:lineRule="auto"/>
        <w:ind w:left="284" w:hanging="284"/>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lastRenderedPageBreak/>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3D867148" w14:textId="77777777" w:rsidR="004707E0" w:rsidRPr="004707E0" w:rsidRDefault="004707E0" w:rsidP="004707E0">
      <w:pPr>
        <w:spacing w:after="120" w:line="240" w:lineRule="auto"/>
        <w:ind w:firstLine="708"/>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W uzasadnieniu Organ wskazał, że: „Mając na względzie charakter i skalę oddziaływania, zastosowane rozwiązania i technologie oraz przy założeniu zastosowania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poz. 1967).”.</w:t>
      </w:r>
    </w:p>
    <w:p w14:paraId="69B4A2C2" w14:textId="77777777" w:rsidR="004707E0" w:rsidRPr="004707E0" w:rsidRDefault="004707E0" w:rsidP="004707E0">
      <w:pPr>
        <w:spacing w:after="120" w:line="240" w:lineRule="auto"/>
        <w:ind w:firstLine="708"/>
        <w:jc w:val="both"/>
        <w:rPr>
          <w:rFonts w:ascii="Calibri" w:eastAsia="Times New Roman" w:hAnsi="Calibri" w:cs="Calibri"/>
          <w:bCs/>
          <w:sz w:val="28"/>
          <w:szCs w:val="28"/>
          <w:lang w:eastAsia="pl-PL"/>
        </w:rPr>
      </w:pPr>
      <w:r w:rsidRPr="004707E0">
        <w:rPr>
          <w:rFonts w:ascii="Calibri" w:eastAsia="Times New Roman" w:hAnsi="Calibri" w:cs="Calibri"/>
          <w:b/>
          <w:sz w:val="28"/>
          <w:szCs w:val="28"/>
          <w:lang w:eastAsia="pl-PL"/>
        </w:rPr>
        <w:t>Regionalny Dyrektor Ochrony Środowiska w Poznaniu</w:t>
      </w:r>
      <w:r w:rsidRPr="004707E0">
        <w:rPr>
          <w:rFonts w:ascii="Calibri" w:eastAsia="Times New Roman" w:hAnsi="Calibri" w:cs="Calibri"/>
          <w:bCs/>
          <w:sz w:val="28"/>
          <w:szCs w:val="28"/>
          <w:lang w:eastAsia="pl-PL"/>
        </w:rPr>
        <w:t xml:space="preserve">, w postanowieniu z 10.02.2023 r. znak WOO-II.4220.26.2023.JC.1, </w:t>
      </w:r>
      <w:r w:rsidRPr="004707E0">
        <w:rPr>
          <w:rFonts w:ascii="Calibri" w:eastAsia="Times New Roman" w:hAnsi="Calibri" w:cs="Calibri"/>
          <w:b/>
          <w:sz w:val="28"/>
          <w:szCs w:val="28"/>
          <w:lang w:eastAsia="pl-PL"/>
        </w:rPr>
        <w:t>wyraził opinię, że dla planowanego przedsięwzięcia istnieje potrzeba przeprowadzenia oceny oddziaływania na środowisko</w:t>
      </w:r>
      <w:r w:rsidRPr="004707E0">
        <w:rPr>
          <w:rFonts w:ascii="Calibri" w:eastAsia="Times New Roman" w:hAnsi="Calibri" w:cs="Calibri"/>
          <w:bCs/>
          <w:sz w:val="28"/>
          <w:szCs w:val="28"/>
          <w:lang w:eastAsia="pl-PL"/>
        </w:rPr>
        <w:t xml:space="preserve"> i ustalił zakres raportu o oddziaływaniu przedsięwzięcia na środowisko. W uzasadnieniu Organ opiniujący przedstawił między innymi, co następuje: „Planowana inwestycja w początkowym i końcowym odcinku przebiega w sąsiedztwie obszarów wymagających ochrony akustycznej, tj. terenów zabudowy jednorodzinnej i zabudowy zagrodowej. W k.i.p.</w:t>
      </w:r>
      <w:r w:rsidRPr="004707E0">
        <w:rPr>
          <w:rFonts w:ascii="Calibri" w:eastAsia="Times New Roman" w:hAnsi="Calibri" w:cs="Calibri"/>
          <w:bCs/>
          <w:sz w:val="28"/>
          <w:szCs w:val="28"/>
          <w:vertAlign w:val="superscript"/>
          <w:lang w:eastAsia="pl-PL"/>
        </w:rPr>
        <w:footnoteReference w:id="1"/>
      </w:r>
      <w:r w:rsidRPr="004707E0">
        <w:rPr>
          <w:rFonts w:ascii="Calibri" w:eastAsia="Times New Roman" w:hAnsi="Calibri" w:cs="Calibri"/>
          <w:bCs/>
          <w:sz w:val="28"/>
          <w:szCs w:val="28"/>
          <w:lang w:eastAsia="pl-PL"/>
        </w:rPr>
        <w:t xml:space="preserve"> nie przedstawiono obliczeń rozprzestrzeniania się hałasu nie wskazano również natężenia ruchu na projektowanej drodze decydującego o emisji hałasu. Zgodnie z GPR wykonanym na drogach wojewódzkich na przełomie 2020 i 2021 r., na odcinku przejścia drogi wojewódzkiej nr 432 przez miasto, w ciągu której projektuje się obwodnicę, natężenie ruchu osiąga wartości 9439 pojazdów ogółem, z tego prawie 12% stanowią pojazdy ciężarowe. Dodatkowo, budowa obwodnicy spowoduje wprowadzenie dodatkowego ruchu z drogi wojewódzkiej nr 436, na której natężenie ruchu według GPR wyniosło 3443 pojazdów ogółem. Z obwodnicy korzystać także będą pojazdy dojeżdżające do Odlewni Żeliwa zlokalizowanej w rejonie początku obwodnicy. Uwzględniając powyższe stwierdzono, że </w:t>
      </w:r>
      <w:r w:rsidRPr="004707E0">
        <w:rPr>
          <w:rFonts w:ascii="Calibri" w:eastAsia="Times New Roman" w:hAnsi="Calibri" w:cs="Calibri"/>
          <w:b/>
          <w:sz w:val="28"/>
          <w:szCs w:val="28"/>
          <w:lang w:eastAsia="pl-PL"/>
        </w:rPr>
        <w:t>na terenach chronionych akustycznie położonych najbliżej przedsięwzięcia może dojść do przekroczeń dopuszczalnych poziomów hałasu</w:t>
      </w:r>
      <w:r w:rsidRPr="004707E0">
        <w:rPr>
          <w:rFonts w:ascii="Calibri" w:eastAsia="Times New Roman" w:hAnsi="Calibri" w:cs="Calibri"/>
          <w:bCs/>
          <w:sz w:val="28"/>
          <w:szCs w:val="28"/>
          <w:lang w:eastAsia="pl-PL"/>
        </w:rPr>
        <w:t xml:space="preserve">. </w:t>
      </w:r>
    </w:p>
    <w:p w14:paraId="51D4D0E1" w14:textId="77777777" w:rsidR="004707E0" w:rsidRPr="004707E0" w:rsidRDefault="004707E0" w:rsidP="004707E0">
      <w:pPr>
        <w:spacing w:after="120" w:line="240" w:lineRule="auto"/>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lastRenderedPageBreak/>
        <w:t>W związku z tym uznano, że konieczne będzie przeprowadzenie szczegółowej oceny oddziaływania przedsięwzięcia na środowisko w zakresie emisji hałasu.”.</w:t>
      </w:r>
    </w:p>
    <w:p w14:paraId="6C5E30DC" w14:textId="77777777" w:rsidR="004707E0" w:rsidRPr="004707E0" w:rsidRDefault="004707E0" w:rsidP="004707E0">
      <w:pPr>
        <w:spacing w:after="120" w:line="240" w:lineRule="auto"/>
        <w:ind w:firstLine="708"/>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Zgodnie z art. 63 ust. 1 i art. 65 ustawy właściwy organ do wydania decyzji o środowiskowych uwarunkowaniach, po zasięgnięciu opinii organów współdziałających wymienionych w art. 64 ust. 1 ustawy, wydaje postanowienie o</w:t>
      </w:r>
      <w:bookmarkStart w:id="2" w:name="mip53179001"/>
      <w:bookmarkEnd w:id="2"/>
      <w:r w:rsidRPr="004707E0">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w:t>
      </w:r>
    </w:p>
    <w:p w14:paraId="7485620D"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Stosowanie do art. 65 ust. 3 ustawy u</w:t>
      </w:r>
      <w:r w:rsidRPr="004707E0">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4707E0">
        <w:rPr>
          <w:rFonts w:ascii="Calibri" w:eastAsia="Times New Roman" w:hAnsi="Calibri" w:cs="Calibri"/>
          <w:sz w:val="28"/>
          <w:szCs w:val="28"/>
          <w:lang w:eastAsia="pl-PL"/>
        </w:rPr>
        <w:t>.</w:t>
      </w:r>
    </w:p>
    <w:p w14:paraId="3C0F8FEC"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4707E0">
        <w:rPr>
          <w:rFonts w:ascii="Calibri" w:eastAsia="SimSun" w:hAnsi="Calibri" w:cs="Calibri"/>
          <w:kern w:val="1"/>
          <w:sz w:val="28"/>
          <w:szCs w:val="28"/>
          <w:lang w:eastAsia="hi-IN" w:bidi="hi-IN"/>
        </w:rPr>
        <w:t>ustawy,</w:t>
      </w:r>
      <w:r w:rsidRPr="004707E0">
        <w:rPr>
          <w:rFonts w:ascii="Calibri" w:eastAsia="Times New Roman" w:hAnsi="Calibri" w:cs="Calibri"/>
          <w:sz w:val="28"/>
          <w:szCs w:val="28"/>
          <w:lang w:eastAsia="pl-PL"/>
        </w:rPr>
        <w:t xml:space="preserve"> przedstawia się co następuje:</w:t>
      </w:r>
    </w:p>
    <w:p w14:paraId="3C112CAC" w14:textId="77777777" w:rsidR="004707E0" w:rsidRPr="004707E0" w:rsidRDefault="004707E0" w:rsidP="004707E0">
      <w:pPr>
        <w:numPr>
          <w:ilvl w:val="0"/>
          <w:numId w:val="3"/>
        </w:numPr>
        <w:spacing w:after="120" w:line="240" w:lineRule="auto"/>
        <w:ind w:left="284" w:hanging="284"/>
        <w:jc w:val="both"/>
        <w:rPr>
          <w:rFonts w:ascii="Calibri" w:eastAsia="Times New Roman" w:hAnsi="Calibri" w:cs="Calibri"/>
          <w:sz w:val="28"/>
          <w:szCs w:val="28"/>
          <w:shd w:val="clear" w:color="auto" w:fill="FFFFFF"/>
          <w:lang w:eastAsia="pl-PL"/>
        </w:rPr>
      </w:pPr>
      <w:r w:rsidRPr="004707E0">
        <w:rPr>
          <w:rFonts w:ascii="Calibri" w:eastAsia="Times New Roman" w:hAnsi="Calibri" w:cs="Calibri"/>
          <w:bCs/>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4707E0">
        <w:rPr>
          <w:rFonts w:ascii="Calibri" w:eastAsia="SimSun" w:hAnsi="Calibri" w:cs="Calibri"/>
          <w:bCs/>
          <w:kern w:val="1"/>
          <w:sz w:val="28"/>
          <w:szCs w:val="28"/>
          <w:lang w:eastAsia="hi-IN" w:bidi="hi-IN"/>
        </w:rPr>
        <w:t>:</w:t>
      </w:r>
      <w:r w:rsidRPr="004707E0">
        <w:rPr>
          <w:rFonts w:ascii="Calibri" w:eastAsia="SimSun" w:hAnsi="Calibri" w:cs="Calibri"/>
          <w:kern w:val="1"/>
          <w:sz w:val="28"/>
          <w:szCs w:val="28"/>
          <w:lang w:eastAsia="hi-IN" w:bidi="hi-IN"/>
        </w:rPr>
        <w:t xml:space="preserve"> </w:t>
      </w:r>
    </w:p>
    <w:p w14:paraId="79EB9773" w14:textId="77777777" w:rsidR="004707E0" w:rsidRPr="004707E0" w:rsidRDefault="004707E0" w:rsidP="004707E0">
      <w:pPr>
        <w:spacing w:after="120" w:line="240" w:lineRule="auto"/>
        <w:ind w:left="284"/>
        <w:jc w:val="both"/>
        <w:rPr>
          <w:rFonts w:ascii="Calibri" w:eastAsia="Times New Roman" w:hAnsi="Calibri" w:cs="Calibri"/>
          <w:sz w:val="28"/>
          <w:szCs w:val="28"/>
          <w:shd w:val="clear" w:color="auto" w:fill="FFFFFF"/>
          <w:lang w:eastAsia="pl-PL"/>
        </w:rPr>
      </w:pPr>
      <w:r w:rsidRPr="004707E0">
        <w:rPr>
          <w:rFonts w:ascii="Calibri" w:eastAsia="Times New Roman" w:hAnsi="Calibri" w:cs="Calibri"/>
          <w:sz w:val="28"/>
          <w:szCs w:val="28"/>
          <w:shd w:val="clear" w:color="auto" w:fill="FFFFFF"/>
          <w:lang w:eastAsia="pl-PL"/>
        </w:rPr>
        <w:t xml:space="preserve">planowane przedsięwzięcie polega na budowie dróg wojewódzkich nr 432 i 436 jako obwodnica Śremu. Zamierzenie budowlane realizowane będzie na działkach o numerach ewidencyjnych: 2412; 2411; 2387/5; 2433; 2501/5; 2480/1; 2479/6; 2479/1; 2479/5; 2478/3; 2478/1; 2478/2; 2409/3; 2410/6; 2410/5; 2410/3; 2410/4; 2501/4; 2476/15; 2476/4; 2477/3; 2477/2; 2476/6; 2477/1; 2473/8; 2471/1; 2469/5; 2470/5; 2473/9; 2471/2; 2470/8; 2470/7; 2469/9; 2483/13; 2483/14; 2483/17; 2483/15; 2469/11; 2469/12; 2469/10; 2469/13; 2469/14; 2469/6; 2507/5; 2507/2; 2507/7; 2510; 2506/17; 2483/11; 2507/8; 2483/16; 2506/12; 2506/15; 2506/19; 2483/10; 2507/4; 2506/13; 2506/18; 2505, obręb Śrem, 483; 48/4; 33; 79/2; 91/60; 91/8; 79/1; 77/2; 76 oraz 77/11; 77/12 i 77/13 (pierwotnie stanowiących działkę o numerze ewidencyjnym 77/7), obręb Pysząca. </w:t>
      </w:r>
    </w:p>
    <w:p w14:paraId="5E1E163B" w14:textId="77777777" w:rsidR="004707E0" w:rsidRPr="004707E0" w:rsidRDefault="004707E0" w:rsidP="004707E0">
      <w:pPr>
        <w:spacing w:after="0" w:line="240" w:lineRule="auto"/>
        <w:jc w:val="both"/>
        <w:rPr>
          <w:rFonts w:ascii="Calibri" w:eastAsia="Times New Roman" w:hAnsi="Calibri" w:cs="Calibri"/>
          <w:sz w:val="28"/>
          <w:szCs w:val="28"/>
          <w:shd w:val="clear" w:color="auto" w:fill="FFFFFF"/>
          <w:lang w:eastAsia="pl-PL"/>
        </w:rPr>
      </w:pPr>
      <w:r w:rsidRPr="004707E0">
        <w:rPr>
          <w:rFonts w:ascii="Calibri" w:eastAsia="Times New Roman" w:hAnsi="Calibri" w:cs="Calibri"/>
          <w:sz w:val="28"/>
          <w:szCs w:val="28"/>
          <w:shd w:val="clear" w:color="auto" w:fill="FFFFFF"/>
          <w:lang w:eastAsia="pl-PL"/>
        </w:rPr>
        <w:br w:type="page"/>
      </w:r>
    </w:p>
    <w:p w14:paraId="4347AE39" w14:textId="77777777" w:rsidR="004707E0" w:rsidRPr="004707E0" w:rsidRDefault="004707E0" w:rsidP="004707E0">
      <w:pPr>
        <w:spacing w:after="120" w:line="240" w:lineRule="auto"/>
        <w:ind w:left="284"/>
        <w:jc w:val="both"/>
        <w:rPr>
          <w:rFonts w:ascii="Calibri" w:eastAsia="Times New Roman" w:hAnsi="Calibri" w:cs="Calibri"/>
          <w:sz w:val="28"/>
          <w:szCs w:val="28"/>
          <w:shd w:val="clear" w:color="auto" w:fill="FFFFFF"/>
          <w:lang w:eastAsia="pl-PL"/>
        </w:rPr>
      </w:pPr>
      <w:r w:rsidRPr="004707E0">
        <w:rPr>
          <w:rFonts w:ascii="Calibri" w:eastAsia="Times New Roman" w:hAnsi="Calibri" w:cs="Calibri"/>
          <w:sz w:val="28"/>
          <w:szCs w:val="28"/>
          <w:shd w:val="clear" w:color="auto" w:fill="FFFFFF"/>
          <w:lang w:eastAsia="pl-PL"/>
        </w:rPr>
        <w:lastRenderedPageBreak/>
        <w:t xml:space="preserve">Początek (km obwodnicy 0+000) budowy projektowanego odcinka drogi wojewódzkiej nr 432 będzie w Śremie na ulicy Stanisława Staszica w około 42+880 km istniejącej drogi wojewódzkiej nr 432, natomiast koniec będzie na rondzie węzła z drogą wojewódzką nr 434 (km lokalny 0+613,19). Miejsce to będzie również początkiem projektowanego odcinka drogi wojewódzkiej nr 436 (km lokalny 0+000), kończącym się w Pyszącej na ulicy Śremskiej (km lokalny 1+125) w około 1+005 km istniejącej drogi wojewódzkiej nr 436. Łączna długość obwodnicy wynosić będzie około 1 740 m. Wyłączenie z istniejącej drogi wojewódzkiej nr 432 odbędzie się w Śremie na skrzyżowaniu ulic Gostyńskiej i Stanisława Staszica poprzez rondo. Następnie projektowana droga będzie przebiegała przez tereny zurbanizowane o charakterze głównie handlowo - usługowym i dalej przez teren zrekultywowany, aż do obwodnicy w ciągu drogi wojewódzkiej nr 434. Za drogą wojewódzką nr 434 obwodnica będzie przebiegała przez tereny rolne. Na tym odcinku projektowana droga będzie przebiegała w łuku o promieniu R=600 m, aby włączyć się odcinkiem prostym, przebiegającym częściowo po istniejącej drodze gruntowej, w drogę wojewódzką nr 436 poprzez rondo na skrzyżowaniu ulic Rolnej i Śremskiej w Pyszącej. Na przecięciu z drogą wojewódzką nr 434 planuje się węzeł z rondem na łącznicy południowo - wschodniej obsługującej relacje z drogi wojewódzkiej nr 434 z kierunku Gostyń - Kórnik i obie relacje projektowanej obwodnicy. Po stronie zachodniej drogi wojewódzkiej nr 434 dla relacji Kórnik - Gostyń planuje się łącznicę z pasem włączenia w projektowaną obwodnicę w kierunku Leszna oraz wykorzystującą rondo na skrzyżowaniu ulic Stanisława Staszica i Gostyńskiej w Śremie dla relacji w kierunku Klęki (droga krajowa nr 11). Natomiast relacja projektowanej obwodnicy z kierunku Leszna na drodze wojewódzkiej nr 434 odbywać się będzie przez drugą łącznicę (po południowej stronie drogi wojewódzkiej nr 432). Budowa węzła projektowanej obwodnicy z drogą wojewódzką nr 434 wymaga również budowy pasów włączenia i wyłączenia na drodze wojewódzkiej nr 434 na odcinku około 700 m. Spowoduje to poszerzenie drogi i korektę istniejących skarp wykopu i rowów drogowych na tym odcinku. W ramach budowy obwodnicy projektuje się likwidację istniejącego skrzyżowania drogi wojewódzkiej nr 436 z drogą powiatową nr 4074P - ulicą Nadwarciańską w Pyszącej i wykonanie placu do zawracania. Włączenie drogi powiatowej nr 4074P do obwodnicy na rondzie będzie odbywać się poprzez wybudowany łącznik od projektowanego ronda (skrzyżowanie ulic Rolnej i Śremskiej w Pyszącej) do istniejącej drogi powiatowej w rejonie cieku wodnego „Pysząca”. Długość tej drogi będzie wynosić około 405 m. </w:t>
      </w:r>
    </w:p>
    <w:p w14:paraId="2FF3A3EA" w14:textId="77777777" w:rsidR="004707E0" w:rsidRPr="004707E0" w:rsidRDefault="004707E0" w:rsidP="004707E0">
      <w:pPr>
        <w:spacing w:after="120" w:line="240" w:lineRule="auto"/>
        <w:ind w:left="284"/>
        <w:jc w:val="both"/>
        <w:rPr>
          <w:rFonts w:ascii="Calibri" w:eastAsia="Times New Roman" w:hAnsi="Calibri" w:cs="Calibri"/>
          <w:sz w:val="28"/>
          <w:szCs w:val="28"/>
          <w:shd w:val="clear" w:color="auto" w:fill="FFFFFF"/>
          <w:lang w:eastAsia="pl-PL"/>
        </w:rPr>
      </w:pPr>
      <w:r w:rsidRPr="004707E0">
        <w:rPr>
          <w:rFonts w:ascii="Calibri" w:eastAsia="Times New Roman" w:hAnsi="Calibri" w:cs="Calibri"/>
          <w:sz w:val="28"/>
          <w:szCs w:val="28"/>
          <w:shd w:val="clear" w:color="auto" w:fill="FFFFFF"/>
          <w:lang w:eastAsia="pl-PL"/>
        </w:rPr>
        <w:lastRenderedPageBreak/>
        <w:t xml:space="preserve">Obsługa działek przylegających do obwodnicy będzie odbywać się poprzez drogi serwisowe lub zjazdy. Po południowej stronie obwodnicy przewiduje się ścieżkę pieszo - rowerową łączącą Śrem z Pyszącą w rejonie ronda na końcu projektowanej obwodnicy. W Śremie ścieżka pieszo - rowerowa będzie połączona z istniejącą ścieżką pieszo - rowerową wzdłuż ulicy Gostyńskiej w części poprzez zaplanowaną dodatkową jezdnię. W miejscu przekroczenia drogi wojewódzkiej nr 432 zaprojektowano budowę jednoprzęsłowego wiaduktu o konstrukcji nośnej wykonanej ze strunobetonowych belek prefabrykowanych w układzie wolnopodpartym o długości nieprzekraczającej 30 m oraz szerokości nie większej niż 14 m. Podpory żelbetowe monolityczne zostaną posadowione w gruntach nośnych (bezpośrednio lub na palach). Na obiekcie zaprojektowano jezdnię o szerokości minimum 8 m w świetle krawężników, na którą składają się dwa pasy ruchu o szerokości 3,50 m i obustronne opaski o szerokości 0,50 m. Po południowej stronie wiaduktu będzie znajdował się chodnik dla obsługi, oddzielony krawężnikiem i barierą (od strony jezdni) oraz balustradą stalową (od strony zewnętrznej). Po północnej stronie będzie zlokalizowane wąskie pobocze techniczne służące zakotwieniu barieroporęczy ochronnej. Zaprojektowano również kładkę pieszo – rowerową nad drogą wojewódzką nr 434, po południowej stronie skrzyżowania dróg wojewódzkich nr 432 i nr 434. Przedsięwzięcie zakłada budowę obiektu o konstrukcji zespolonej z kształtowników stalowych i żelbetowej płyty pomostowej. Podpory żelbetowe monolityczne zostaną posadowione w gruntach nośnych (bezpośrednio lub na palach). Na obiekcie zaprojektowano ścieżkę pieszo – rowerową o szerokości użytkowej minimum 3 m. Wnioskodawca przewiduje zabezpieczenia przed upadkiem z wysokości w postaci balustrad o wysokości 120 cm po obu stronach kładki. Projektowane obiekty zakwalifikowano do drugiej kategorii geotechnicznej, która obejmuje typowe posadowienia bezpośrednie i palowe obiektów mostowych oraz ściany oporowe przy różnicy poziomów przekraczającej 2 m. Projektowana droga będzie klasy G o szerokości jezdni 2x3,5m, a w przekroju ulicznym o szerokości jezdni 2x3,5m oraz obustronne ścieki o szerokości 0,2 m. W obrębie projektowanej drogi zapewnione zostanie gruntowe pobocze umocnione kruszywem łamanym. Dodatkowo w ramach przedsięwzięcia powstaną: chodniki z kostki betowej o szerokości minimum 2 m przy jezdni lub minimum 1,5 m dla chodników odsuniętych od krawędzi jezdni (dotyczy okolic ronda na skrzyżowaniu ulic Stanisława Staszica i Gostyńskiej w Śremie), ścieżka pieszo - rowerowa o szerokości 3 m; dodatkowa jezdnia o szerokości 3,5m oraz zatoka autobusowa o szerokości 3 m na ulicy Stanisława Staszica w Śremie. </w:t>
      </w:r>
    </w:p>
    <w:p w14:paraId="30E40E5E" w14:textId="77777777" w:rsidR="004707E0" w:rsidRPr="004707E0" w:rsidRDefault="004707E0" w:rsidP="004707E0">
      <w:pPr>
        <w:spacing w:after="120" w:line="240" w:lineRule="auto"/>
        <w:ind w:left="284"/>
        <w:jc w:val="both"/>
        <w:rPr>
          <w:rFonts w:ascii="Calibri" w:eastAsia="Times New Roman" w:hAnsi="Calibri" w:cs="Calibri"/>
          <w:sz w:val="28"/>
          <w:szCs w:val="28"/>
          <w:shd w:val="clear" w:color="auto" w:fill="FFFFFF"/>
          <w:lang w:eastAsia="pl-PL"/>
        </w:rPr>
      </w:pPr>
      <w:r w:rsidRPr="004707E0">
        <w:rPr>
          <w:rFonts w:ascii="Calibri" w:eastAsia="Times New Roman" w:hAnsi="Calibri" w:cs="Calibri"/>
          <w:sz w:val="28"/>
          <w:szCs w:val="28"/>
          <w:shd w:val="clear" w:color="auto" w:fill="FFFFFF"/>
          <w:lang w:eastAsia="pl-PL"/>
        </w:rPr>
        <w:lastRenderedPageBreak/>
        <w:t>Przedsięwzięcie obejmuje wykonanie odwodnienia projektowanego pasa drogowego za pomocą rowów drogowych. Na przebudowywanym odcinku będą znajdować się rowy trawiaste trapezowe, odpływowe do istniejących cieków i rowów drogowych. Na odcinku projektowanego ronda na skrzyżowaniu ulic Stanisława Staszica i Gostyńskiej w Śremie planuje się wykonać odwodnienie poprzez system wpustów i przykanalików do kanalizacji deszczowej z odprowadzeniem do istniejących cieków lub kanalizacji deszczowej</w:t>
      </w:r>
      <w:r w:rsidRPr="004707E0">
        <w:rPr>
          <w:rFonts w:ascii="Calibri" w:eastAsia="Times New Roman" w:hAnsi="Calibri" w:cs="Calibri"/>
          <w:sz w:val="28"/>
          <w:szCs w:val="28"/>
          <w:lang w:eastAsia="pl-PL"/>
        </w:rPr>
        <w:t xml:space="preserve">; </w:t>
      </w:r>
    </w:p>
    <w:p w14:paraId="3807F521" w14:textId="77777777" w:rsidR="004707E0" w:rsidRPr="004707E0" w:rsidRDefault="004707E0" w:rsidP="004707E0">
      <w:pPr>
        <w:numPr>
          <w:ilvl w:val="0"/>
          <w:numId w:val="3"/>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bCs/>
          <w:sz w:val="28"/>
          <w:szCs w:val="28"/>
          <w:lang w:eastAsia="pl-PL"/>
        </w:rPr>
        <w:t>rodzaj i charakterystyka przedsięwzięcia z uwzględnieniem różnorodności biologicznej, wykorzystywania zasobów naturalnych, w tym gleby, wody i powierzchni ziemi:</w:t>
      </w:r>
      <w:r w:rsidRPr="004707E0">
        <w:rPr>
          <w:rFonts w:ascii="Calibri" w:eastAsia="Times New Roman" w:hAnsi="Calibri" w:cs="Calibri"/>
          <w:sz w:val="28"/>
          <w:szCs w:val="28"/>
          <w:lang w:eastAsia="pl-PL"/>
        </w:rPr>
        <w:t xml:space="preserve"> </w:t>
      </w:r>
    </w:p>
    <w:p w14:paraId="2453C9AF" w14:textId="77777777" w:rsidR="004707E0" w:rsidRPr="004707E0" w:rsidRDefault="004707E0" w:rsidP="004707E0">
      <w:pPr>
        <w:spacing w:after="120" w:line="240" w:lineRule="auto"/>
        <w:ind w:left="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wnioskowany teren stanowi istniejące drogi wojewódzkie i powiatową, tereny zabudowy usługowej oraz grunty rolne. W ramach planowanego przedsięwzięcia przewiduje się usunięcie drzew i krzewów oraz wykonanie nasadzeń kompensacyjnych wzdłuż projektowanej obwodnicy. Na obszarze objętym przedsięwzięciem dominuje roślinność ruderalna i segetalna. Wnioskodawca nie stwierdził występowania gatunków roślin rzadkich lub zagrożonych wyginięciem. Wnioskodawca nie przedstawił żadnych informacji dotyczących ewentualnego występowania na analizowanym obszarze gatunków zwierząt czy grzybów. Ziemia i gleba powstałe z wykopów przekazane zostaną do odzysku. Jak wskazał Regionalny Dyrektor Ochrony Środowiska w Poznaniu, w postanowieniu z 10.02.2023r., raport o oddziaływaniu przedsięwzięcia na środowisko powinien zawierać szczegółową i aktualną inwentaryzację przyrodniczą wraz z uzasadnieniem planowanej skali wycinki drzew. Organ opiniujący stwierdził potrzebę przedstawienia między innymi informacji na temat obecnego zagospodarowania terenu przeznaczonego pod realizację planowanego przedsięwzięcia, występowania na tym terenie oraz w jego sąsiedztwie chronionych gatunków roślin, zwierząt i grzybów wraz z podaniem źródła danych, liczby, gatunków, wymiarów drzew i krzewów przeznaczonych do wycinki oraz uzasadnieniem skali planowanej wycinki, propozycji nasadzeń minimalizujących ze wskazaniem liczby, gatunków oraz miejsca przeprowadzenia planowanych nasadzeń, wpływu przedsięwzięcia na środowisko przyrodnicze i krajobraz, propozycji zastosowania środków ograniczających ewentualny negatywny wpływ na środowisko przyrodnicze i krajobraz na etapie realizacji i eksploatacji przedsięwzięcia;</w:t>
      </w:r>
    </w:p>
    <w:p w14:paraId="3D6CF81F" w14:textId="77777777" w:rsidR="004707E0" w:rsidRPr="004707E0" w:rsidRDefault="004707E0" w:rsidP="004707E0">
      <w:pPr>
        <w:spacing w:after="0" w:line="240" w:lineRule="auto"/>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br w:type="page"/>
      </w:r>
    </w:p>
    <w:p w14:paraId="187783EC" w14:textId="77777777" w:rsidR="004707E0" w:rsidRPr="004707E0" w:rsidRDefault="004707E0" w:rsidP="004707E0">
      <w:pPr>
        <w:numPr>
          <w:ilvl w:val="0"/>
          <w:numId w:val="3"/>
        </w:numPr>
        <w:spacing w:after="12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bCs/>
          <w:sz w:val="28"/>
          <w:szCs w:val="28"/>
          <w:lang w:eastAsia="pl-PL"/>
        </w:rPr>
        <w:lastRenderedPageBreak/>
        <w:t xml:space="preserve">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w:t>
      </w:r>
      <w:bookmarkStart w:id="3" w:name="_Hlk120786317"/>
      <w:r w:rsidRPr="004707E0">
        <w:rPr>
          <w:rFonts w:ascii="Calibri" w:eastAsia="Times New Roman" w:hAnsi="Calibri" w:cs="Calibri"/>
          <w:bCs/>
          <w:sz w:val="28"/>
          <w:szCs w:val="28"/>
          <w:lang w:eastAsia="pl-PL"/>
        </w:rPr>
        <w:t xml:space="preserve">na terenie, na którym planuje się realizację przedsięwzięcia, oraz w obszarze oddziaływania przedsięwzięcia </w:t>
      </w:r>
      <w:bookmarkEnd w:id="3"/>
      <w:r w:rsidRPr="004707E0">
        <w:rPr>
          <w:rFonts w:ascii="Calibri" w:eastAsia="Times New Roman" w:hAnsi="Calibri" w:cs="Calibri"/>
          <w:bCs/>
          <w:sz w:val="28"/>
          <w:szCs w:val="28"/>
          <w:lang w:eastAsia="pl-PL"/>
        </w:rPr>
        <w:t>lub których oddziaływania mieszczą się w obszarze oddziaływania planowanego przedsięwzięcia w zakresie, w jakim ich oddziaływania mogą prowadzić do skumulowania oddziaływań z planowanym przedsięwzięciem:</w:t>
      </w:r>
      <w:r w:rsidRPr="004707E0">
        <w:rPr>
          <w:rFonts w:ascii="Calibri" w:eastAsia="Times New Roman" w:hAnsi="Calibri" w:cs="Calibri"/>
          <w:sz w:val="28"/>
          <w:szCs w:val="28"/>
          <w:lang w:eastAsia="pl-PL"/>
        </w:rPr>
        <w:t xml:space="preserve"> </w:t>
      </w:r>
    </w:p>
    <w:p w14:paraId="3C0CB33A" w14:textId="77777777" w:rsidR="004707E0" w:rsidRPr="004707E0" w:rsidRDefault="004707E0" w:rsidP="004707E0">
      <w:pPr>
        <w:spacing w:after="120" w:line="240" w:lineRule="auto"/>
        <w:ind w:left="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 xml:space="preserve">w obszarze oddziaływania planowanego przedsięwzięcia w zakresie, w jakim oddziaływania mogą prowadzić do skumulowania oddziaływań, znajdują się drogi wojewódzkie: nr 432 (ulice Stanisława Staszica i Gostyńska w Śremie), nr 434 (obwodnica Śremu), nr 436 (ulice Rolna i Śremska w Pyszącej) oraz droga powiatowa </w:t>
      </w:r>
      <w:r w:rsidRPr="004707E0">
        <w:rPr>
          <w:rFonts w:ascii="Calibri" w:eastAsia="Times New Roman" w:hAnsi="Calibri" w:cs="Calibri"/>
          <w:sz w:val="28"/>
          <w:szCs w:val="28"/>
          <w:shd w:val="clear" w:color="auto" w:fill="FFFFFF"/>
          <w:lang w:eastAsia="pl-PL"/>
        </w:rPr>
        <w:t>nr 4074P (ulica Nadwarciańska w Pyszącej</w:t>
      </w:r>
      <w:r w:rsidRPr="004707E0">
        <w:rPr>
          <w:rFonts w:ascii="Calibri" w:eastAsia="Times New Roman" w:hAnsi="Calibri" w:cs="Calibri"/>
          <w:sz w:val="28"/>
          <w:szCs w:val="28"/>
          <w:lang w:eastAsia="pl-PL"/>
        </w:rPr>
        <w:t>). Burmistrz Śremu wydał decyzje o środowiskowych uwarunkowaniach dla budowy I i II etapu obwodnicy Śremu i Zbrudzewa. Jak wskazał Regionalny Dyrektor Ochrony Środowiska w Poznaniu, w postanowieniu z 10.02.2023 r., w zakresie oddziaływania skumulowanego należy w raporcie o oddziaływaniu przedsięwzięcia na środowisko uwzględnić odcinki dróg nie wchodzące w zakres przedsięwzięcia oraz inne drogi zlokalizowane w rejonie przedsięwzięcia</w:t>
      </w:r>
      <w:r w:rsidRPr="004707E0">
        <w:rPr>
          <w:rFonts w:ascii="Calibri" w:eastAsia="Times New Roman" w:hAnsi="Calibri" w:cs="Calibri"/>
          <w:sz w:val="28"/>
          <w:szCs w:val="28"/>
          <w:lang w:eastAsia="zh-CN"/>
        </w:rPr>
        <w:t>;</w:t>
      </w:r>
    </w:p>
    <w:p w14:paraId="4E447E47" w14:textId="77777777" w:rsidR="004707E0" w:rsidRPr="004707E0" w:rsidRDefault="004707E0" w:rsidP="004707E0">
      <w:pPr>
        <w:numPr>
          <w:ilvl w:val="0"/>
          <w:numId w:val="3"/>
        </w:numPr>
        <w:spacing w:after="120" w:line="240" w:lineRule="auto"/>
        <w:ind w:left="284" w:hanging="284"/>
        <w:jc w:val="both"/>
        <w:rPr>
          <w:rFonts w:ascii="Calibri" w:eastAsia="Andale Sans UI" w:hAnsi="Calibri" w:cs="Calibri"/>
          <w:kern w:val="1"/>
          <w:sz w:val="28"/>
          <w:szCs w:val="28"/>
          <w:lang w:eastAsia="hi-IN" w:bidi="hi-IN"/>
        </w:rPr>
      </w:pPr>
      <w:r w:rsidRPr="004707E0">
        <w:rPr>
          <w:rFonts w:ascii="Calibri" w:eastAsia="Andale Sans UI" w:hAnsi="Calibri" w:cs="Calibri"/>
          <w:bCs/>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4707E0">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p>
    <w:p w14:paraId="34AD4B33" w14:textId="77777777" w:rsidR="004707E0" w:rsidRPr="004707E0" w:rsidRDefault="004707E0" w:rsidP="004707E0">
      <w:pPr>
        <w:spacing w:after="120" w:line="240" w:lineRule="auto"/>
        <w:ind w:left="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 xml:space="preserve">projektowana obwodnica w początkowym i końcowym odcinku przebiega w sąsiedztwie obszarów wymagających ochrony akustycznej, to jest terenów zabudowy mieszkaniowej jednorodzinnej. </w:t>
      </w:r>
    </w:p>
    <w:p w14:paraId="772AC275" w14:textId="77777777" w:rsidR="004707E0" w:rsidRPr="004707E0" w:rsidRDefault="004707E0" w:rsidP="004707E0">
      <w:pPr>
        <w:spacing w:after="120" w:line="240" w:lineRule="auto"/>
        <w:ind w:left="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lastRenderedPageBreak/>
        <w:t>Wnioskodawca nie przedstawił obliczeń rozprzestrzeniania się hałasu na terenach chronionych akustycznie ani nie wskazał natężenia ruchu na projektowanej drodze decydującego o emisji hałasu.</w:t>
      </w:r>
      <w:r w:rsidRPr="004707E0">
        <w:rPr>
          <w:rFonts w:ascii="Calibri" w:eastAsia="Calibri" w:hAnsi="Calibri" w:cs="Times New Roman"/>
          <w:sz w:val="28"/>
        </w:rPr>
        <w:t xml:space="preserve"> </w:t>
      </w:r>
      <w:r w:rsidRPr="004707E0">
        <w:rPr>
          <w:rFonts w:ascii="Calibri" w:eastAsia="Times New Roman" w:hAnsi="Calibri" w:cs="Calibri"/>
          <w:sz w:val="28"/>
          <w:szCs w:val="28"/>
          <w:lang w:eastAsia="pl-PL"/>
        </w:rPr>
        <w:t>Jak wskazał Regionalny Dyrektor Ochrony Środowiska w Poznaniu, w postanowieniu z 10.02.2023 r., raport o oddziaływaniu przedsięwzięcia na środowisko winien przedstawiać między innymi informacje dotyczące parametrów eksploatacyjnych przedsięwzięcia, takich jak struktura, natężenie i prędkość ruchu oraz elementów środowiskowych, jak ukształtowanie terenu i na tej podstawie ocenę wpływu przedsięwzięcia na klimat akustyczny. Na terenie przedsięwzięcia źródłem emisji substancji do powietrza będą pojazdy poruszające się po projektowanej drodze. Wnioskodawca nie przedstawił żadnej analizy oddziaływania przedsięwzięcia na stan jakości powietrza podczas jego realizacji i eksploatacji</w:t>
      </w:r>
      <w:r w:rsidRPr="004707E0">
        <w:rPr>
          <w:rFonts w:ascii="Calibri" w:eastAsia="Times New Roman" w:hAnsi="Calibri" w:cs="Calibri"/>
          <w:sz w:val="28"/>
          <w:szCs w:val="28"/>
          <w:lang w:eastAsia="zh-CN"/>
        </w:rPr>
        <w:t>;</w:t>
      </w:r>
    </w:p>
    <w:p w14:paraId="3E730807" w14:textId="77777777" w:rsidR="004707E0" w:rsidRPr="004707E0" w:rsidRDefault="004707E0" w:rsidP="004707E0">
      <w:pPr>
        <w:numPr>
          <w:ilvl w:val="0"/>
          <w:numId w:val="3"/>
        </w:numPr>
        <w:spacing w:after="120" w:line="240" w:lineRule="auto"/>
        <w:ind w:left="284" w:hanging="284"/>
        <w:jc w:val="both"/>
        <w:rPr>
          <w:rFonts w:ascii="Calibri" w:eastAsia="Times New Roman" w:hAnsi="Calibri" w:cs="Calibri"/>
          <w:sz w:val="28"/>
          <w:szCs w:val="28"/>
          <w:lang w:eastAsia="zh-CN"/>
        </w:rPr>
      </w:pPr>
      <w:r w:rsidRPr="004707E0">
        <w:rPr>
          <w:rFonts w:ascii="Calibri" w:eastAsia="Times New Roman" w:hAnsi="Calibri" w:cs="Calibri"/>
          <w:bCs/>
          <w:sz w:val="28"/>
          <w:szCs w:val="28"/>
          <w:lang w:eastAsia="zh-CN"/>
        </w:rPr>
        <w:t xml:space="preserve">rodzaj i charakterystyka przedsięwzięcia z uwzględnieniem </w:t>
      </w:r>
      <w:r w:rsidRPr="004707E0">
        <w:rPr>
          <w:rFonts w:ascii="Calibri" w:eastAsia="Times New Roman" w:hAnsi="Calibri" w:cs="Calibri"/>
          <w:bCs/>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4707E0">
        <w:rPr>
          <w:rFonts w:ascii="Calibri" w:eastAsia="Times New Roman" w:hAnsi="Calibri" w:cs="Calibri"/>
          <w:bCs/>
          <w:sz w:val="28"/>
          <w:szCs w:val="28"/>
          <w:lang w:eastAsia="zh-CN"/>
        </w:rPr>
        <w:t>:</w:t>
      </w:r>
    </w:p>
    <w:p w14:paraId="5E07C264" w14:textId="77777777" w:rsidR="004707E0" w:rsidRPr="004707E0" w:rsidRDefault="004707E0" w:rsidP="004707E0">
      <w:pPr>
        <w:spacing w:after="120" w:line="240" w:lineRule="auto"/>
        <w:ind w:left="284"/>
        <w:jc w:val="both"/>
        <w:rPr>
          <w:rFonts w:ascii="Calibri" w:eastAsia="Times New Roman" w:hAnsi="Calibri" w:cs="Calibri"/>
          <w:sz w:val="28"/>
          <w:szCs w:val="28"/>
          <w:lang w:eastAsia="zh-CN"/>
        </w:rPr>
      </w:pPr>
      <w:r w:rsidRPr="004707E0">
        <w:rPr>
          <w:rFonts w:ascii="Calibri" w:eastAsia="Times New Roman" w:hAnsi="Calibri" w:cs="Calibri"/>
          <w:sz w:val="28"/>
          <w:szCs w:val="28"/>
          <w:lang w:eastAsia="zh-CN"/>
        </w:rPr>
        <w:t>w karcie informacyjnej przedsięwzięcia wskazano, że przedsięwzięcie, ze względu na swój charakter, nie niesie za sobą możliwości wystąpienia poważnej awarii. Niebezpieczeństwo stwarzać mogą jedynie poruszające się po projektowanej drodze pojazdy. Do awarii na szlaku komunikacyjnym może dojść wskutek kraks samochodowych, wypadków z cysternami przewożącymi różnorodne i niebezpieczne substancje płynne, wypadków utraty szczelności opakowań podczas transportu, eksplozji lub pożarów. W takim przypadku niezbędne jest natychmiastowe powiadomienie odpowiednich służb, których zadaniem będzie zlikwidowanie i zabezpieczenie wycieków przed ich dalszym przedostawaniem się do środowiska. Wnioskodawca stwierdził, że realizacja przedsięwzięcia zmniejszy ryzyko wystąpienia kolizji i wypadków drogowych poprzez podniesienie bezpieczeństwa istniejącej infrastruktury drogowej, a w przypadku ewentualnej kolizji, zasięg oddziaływań na środowisko będzie miał charakter lokalny.</w:t>
      </w:r>
      <w:r w:rsidRPr="004707E0">
        <w:rPr>
          <w:rFonts w:ascii="Calibri" w:eastAsia="Calibri" w:hAnsi="Calibri" w:cs="Times New Roman"/>
          <w:sz w:val="28"/>
        </w:rPr>
        <w:t xml:space="preserve"> Wnioskodawca, r</w:t>
      </w:r>
      <w:r w:rsidRPr="004707E0">
        <w:rPr>
          <w:rFonts w:ascii="Calibri" w:eastAsia="Times New Roman" w:hAnsi="Calibri" w:cs="Calibri"/>
          <w:sz w:val="28"/>
          <w:szCs w:val="28"/>
          <w:lang w:eastAsia="zh-CN"/>
        </w:rPr>
        <w:t xml:space="preserve">yzyko wystąpienia katastrofy naturalnej, ocenił jako bardzo niskie. Teren, na którym zlokalizowana będzie przedsięwzięcie znajduje się poza obszarem narażonym na powódź, wstrząsy sejsmiczne i zjawiska lodowe. Planowane przedsięwzięcie w części realizowane będzie na terenie zagrożonym ruchami masowymi Ziemi. </w:t>
      </w:r>
    </w:p>
    <w:p w14:paraId="6AB96BF7" w14:textId="77777777" w:rsidR="004707E0" w:rsidRPr="004707E0" w:rsidRDefault="004707E0" w:rsidP="004707E0">
      <w:pPr>
        <w:spacing w:after="0" w:line="240" w:lineRule="auto"/>
        <w:jc w:val="both"/>
        <w:rPr>
          <w:rFonts w:ascii="Calibri" w:eastAsia="Times New Roman" w:hAnsi="Calibri" w:cs="Calibri"/>
          <w:sz w:val="28"/>
          <w:szCs w:val="28"/>
          <w:lang w:eastAsia="zh-CN"/>
        </w:rPr>
      </w:pPr>
      <w:r w:rsidRPr="004707E0">
        <w:rPr>
          <w:rFonts w:ascii="Calibri" w:eastAsia="Times New Roman" w:hAnsi="Calibri" w:cs="Calibri"/>
          <w:sz w:val="28"/>
          <w:szCs w:val="28"/>
          <w:lang w:eastAsia="zh-CN"/>
        </w:rPr>
        <w:br w:type="page"/>
      </w:r>
    </w:p>
    <w:p w14:paraId="666FC350" w14:textId="77777777" w:rsidR="004707E0" w:rsidRPr="004707E0" w:rsidRDefault="004707E0" w:rsidP="004707E0">
      <w:pPr>
        <w:spacing w:after="120" w:line="240" w:lineRule="auto"/>
        <w:ind w:left="284"/>
        <w:jc w:val="both"/>
        <w:rPr>
          <w:rFonts w:ascii="Calibri" w:eastAsia="Times New Roman" w:hAnsi="Calibri" w:cs="Calibri"/>
          <w:sz w:val="28"/>
          <w:szCs w:val="28"/>
          <w:lang w:eastAsia="zh-CN"/>
        </w:rPr>
      </w:pPr>
      <w:r w:rsidRPr="004707E0">
        <w:rPr>
          <w:rFonts w:ascii="Calibri" w:eastAsia="Times New Roman" w:hAnsi="Calibri" w:cs="Calibri"/>
          <w:sz w:val="28"/>
          <w:szCs w:val="28"/>
          <w:lang w:eastAsia="zh-CN"/>
        </w:rPr>
        <w:lastRenderedPageBreak/>
        <w:t>W związku z powyższym, zgodnie z postanowieniem Regionalnego Dyrektora Ochrony Środowiska w Poznaniu, raport o oddziaływaniu przedsięwzięcia na środowisko winien przedstawiać rozwiązania dotyczące przejścia projektowanego odcinka obwodnicy przez obszar zagrożony osuwiskiem;</w:t>
      </w:r>
    </w:p>
    <w:p w14:paraId="68A4B312" w14:textId="77777777" w:rsidR="004707E0" w:rsidRPr="004707E0" w:rsidRDefault="004707E0" w:rsidP="004707E0">
      <w:pPr>
        <w:numPr>
          <w:ilvl w:val="0"/>
          <w:numId w:val="3"/>
        </w:numPr>
        <w:spacing w:after="120" w:line="240" w:lineRule="auto"/>
        <w:ind w:left="284" w:hanging="284"/>
        <w:jc w:val="both"/>
        <w:rPr>
          <w:rFonts w:ascii="Calibri" w:eastAsia="Times New Roman" w:hAnsi="Calibri" w:cs="Calibri"/>
          <w:bCs/>
          <w:sz w:val="28"/>
          <w:szCs w:val="28"/>
          <w:lang w:eastAsia="zh-CN"/>
        </w:rPr>
      </w:pPr>
      <w:r w:rsidRPr="004707E0">
        <w:rPr>
          <w:rFonts w:ascii="Calibri" w:eastAsia="Times New Roman" w:hAnsi="Calibri" w:cs="Calibri"/>
          <w:sz w:val="28"/>
          <w:szCs w:val="28"/>
          <w:lang w:eastAsia="zh-CN"/>
        </w:rPr>
        <w:t xml:space="preserve">rodzaj i charakterystyka przedsięwzięcia z uwzględnieniem </w:t>
      </w:r>
      <w:r w:rsidRPr="004707E0">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4707E0">
        <w:rPr>
          <w:rFonts w:ascii="Calibri" w:eastAsia="Times New Roman" w:hAnsi="Calibri" w:cs="Calibri"/>
          <w:sz w:val="28"/>
          <w:szCs w:val="28"/>
          <w:lang w:eastAsia="zh-CN"/>
        </w:rPr>
        <w:t>:</w:t>
      </w:r>
    </w:p>
    <w:p w14:paraId="11769FAB" w14:textId="77777777" w:rsidR="004707E0" w:rsidRPr="004707E0" w:rsidRDefault="004707E0" w:rsidP="004707E0">
      <w:pPr>
        <w:spacing w:after="120" w:line="240" w:lineRule="auto"/>
        <w:ind w:left="284"/>
        <w:jc w:val="both"/>
        <w:rPr>
          <w:rFonts w:ascii="Calibri" w:eastAsia="Times New Roman" w:hAnsi="Calibri" w:cs="Calibri"/>
          <w:bCs/>
          <w:sz w:val="28"/>
          <w:szCs w:val="28"/>
          <w:lang w:eastAsia="zh-CN"/>
        </w:rPr>
      </w:pPr>
      <w:r w:rsidRPr="004707E0">
        <w:rPr>
          <w:rFonts w:ascii="Calibri" w:eastAsia="Times New Roman" w:hAnsi="Calibri" w:cs="Calibri"/>
          <w:bCs/>
          <w:sz w:val="28"/>
          <w:szCs w:val="28"/>
          <w:lang w:eastAsia="zh-CN"/>
        </w:rPr>
        <w:t>podczas realizacji przedsięwzięcia będą powstawać odpady niebezpieczne i inne niż niebezpieczne, głównie opakowania po materiałach budowlanych, odpady betonu i gruzu z rozbiórek, żelazo, stal, gleba i ziemia, w tym kamienie, które następnie będą gromadzone w kontenerach i pojemnikach na terenie placu budowy oraz w obszarze prowadzonych prac budowlanych. Wytworzone odpady będą w miarę możliwości wykorzystywane na terenie przedsięwzięcia, pozostałe odpady przekazywane będą innym podmiotom posiadającym odpowiednie zezwolenia z zakresu gospodarki odpadami. Opady komunalne, powstające podczas budowy w wyniku bytowania pracowników, gromadzone będą w szczelnych pojemnikach i przekazywane uprawnionym podmiotom. Miejsce magazynowania substancji niebezpiecznych wyposażone zostanie w szczelne, nieprzepuszczalne podłoże, zadaszone oraz zabezpieczone przed dostępem osób trzecich. Substancje niebezpieczne przechowywane będą w szczelnych i oznakowanych pojemnikach. Baza materiałowa i sprzętowa będzie zorganizowana na terenie utwardzonym, zabezpieczonym przed przedostawaniem się ewentualnych zanieczyszczeń do środowiska gruntowo – wodnego;</w:t>
      </w:r>
    </w:p>
    <w:p w14:paraId="0ED82CB4" w14:textId="77777777" w:rsidR="004707E0" w:rsidRPr="004707E0" w:rsidRDefault="004707E0" w:rsidP="004707E0">
      <w:pPr>
        <w:spacing w:after="0" w:line="240" w:lineRule="auto"/>
        <w:jc w:val="both"/>
        <w:rPr>
          <w:rFonts w:ascii="Calibri" w:eastAsia="SimSun" w:hAnsi="Calibri" w:cs="Calibri"/>
          <w:bCs/>
          <w:kern w:val="1"/>
          <w:sz w:val="28"/>
          <w:szCs w:val="28"/>
          <w:lang w:eastAsia="hi-IN" w:bidi="hi-IN"/>
        </w:rPr>
      </w:pPr>
      <w:r w:rsidRPr="004707E0">
        <w:rPr>
          <w:rFonts w:ascii="Calibri" w:eastAsia="SimSun" w:hAnsi="Calibri" w:cs="Calibri"/>
          <w:bCs/>
          <w:kern w:val="1"/>
          <w:sz w:val="28"/>
          <w:szCs w:val="28"/>
          <w:lang w:eastAsia="hi-IN" w:bidi="hi-IN"/>
        </w:rPr>
        <w:br w:type="page"/>
      </w:r>
    </w:p>
    <w:p w14:paraId="1637B71B" w14:textId="77777777" w:rsidR="004707E0" w:rsidRPr="004707E0" w:rsidRDefault="004707E0" w:rsidP="004707E0">
      <w:pPr>
        <w:numPr>
          <w:ilvl w:val="0"/>
          <w:numId w:val="3"/>
        </w:numPr>
        <w:spacing w:after="120" w:line="240" w:lineRule="auto"/>
        <w:ind w:left="284" w:hanging="284"/>
        <w:jc w:val="both"/>
        <w:rPr>
          <w:rFonts w:ascii="Calibri" w:eastAsia="SimSun" w:hAnsi="Calibri" w:cs="Calibri"/>
          <w:kern w:val="1"/>
          <w:sz w:val="28"/>
          <w:szCs w:val="28"/>
          <w:lang w:eastAsia="hi-IN" w:bidi="hi-IN"/>
        </w:rPr>
      </w:pPr>
      <w:r w:rsidRPr="004707E0">
        <w:rPr>
          <w:rFonts w:ascii="Calibri" w:eastAsia="SimSun" w:hAnsi="Calibri" w:cs="Calibri"/>
          <w:bCs/>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4707E0">
        <w:rPr>
          <w:rFonts w:ascii="Calibri" w:eastAsia="Times New Roman" w:hAnsi="Calibri" w:cs="Calibri"/>
          <w:bCs/>
          <w:sz w:val="28"/>
          <w:szCs w:val="28"/>
          <w:lang w:eastAsia="pl-PL"/>
        </w:rPr>
        <w:t>obszary wodno-błotne, inne obszary o płytkim zaleganiu wód podziemnych, w tym siedliska łęgowe oraz ujścia rzek, obszary wybrzeży i środowisko morskie, obszary górskie lub leśne,</w:t>
      </w:r>
      <w:r w:rsidRPr="004707E0">
        <w:rPr>
          <w:rFonts w:ascii="Calibri" w:eastAsia="SimSun" w:hAnsi="Calibri" w:cs="Calibri"/>
          <w:bCs/>
          <w:kern w:val="1"/>
          <w:sz w:val="28"/>
          <w:szCs w:val="28"/>
          <w:lang w:eastAsia="hi-IN" w:bidi="hi-IN"/>
        </w:rPr>
        <w:t xml:space="preserve"> </w:t>
      </w:r>
      <w:r w:rsidRPr="004707E0">
        <w:rPr>
          <w:rFonts w:ascii="Calibri" w:eastAsia="Times New Roman" w:hAnsi="Calibri" w:cs="Calibri"/>
          <w:bCs/>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p>
    <w:p w14:paraId="727845BF" w14:textId="77777777" w:rsidR="004707E0" w:rsidRPr="004707E0" w:rsidRDefault="004707E0" w:rsidP="004707E0">
      <w:pPr>
        <w:spacing w:after="120" w:line="240" w:lineRule="auto"/>
        <w:ind w:left="284"/>
        <w:jc w:val="both"/>
        <w:rPr>
          <w:rFonts w:ascii="Calibri" w:eastAsia="Times New Roman" w:hAnsi="Calibri" w:cs="Calibri"/>
          <w:sz w:val="28"/>
          <w:szCs w:val="28"/>
          <w:lang w:eastAsia="zh-CN"/>
        </w:rPr>
      </w:pPr>
      <w:r w:rsidRPr="004707E0">
        <w:rPr>
          <w:rFonts w:ascii="Calibri" w:eastAsia="Times New Roman" w:hAnsi="Calibri" w:cs="Calibri"/>
          <w:sz w:val="28"/>
          <w:szCs w:val="28"/>
          <w:lang w:eastAsia="zh-CN"/>
        </w:rPr>
        <w:t>teren przedsięwzięcia nie jest zlokalizowany w pobliżu obszarów wodno-błotnych i innych obszarów o płytkim poziomie zalegania wód podziemnych, w tym siedlisk łęgowych oraz ujścia rzek, w strefach ochronnych ujęć wód i obszarów ochronnych zbiorników wód śródlądowych, obszarów wybrzeży i środowiska morskiego, górskich, leśnych, obszarów przylegających do jezior oraz na obszarach o krajobrazie mającym znaczenie historyczne, kulturowe oraz archeologiczne. Przedsięwzięcie nie będzie zlokalizowane na obszarach uzdrowiskowych i ochrony uzdrowiskowej. Przedsięwzięcie w części będzie znajdować się na terenach zabudowy mieszkaniowej jednorodzinnej. Wnioskodawca wskazał, że realizacja przedsięwzięcia nie przyczyni się do zmian związanych z gęstością zaludnienia. Z karty informacyjnej przedsięwzięcia nie wynika, aby przedsięwzięcie znajdowało się w rejonie obszarów, na których standardy środowiska zostały przekroczone</w:t>
      </w:r>
      <w:r w:rsidRPr="004707E0">
        <w:rPr>
          <w:rFonts w:ascii="Calibri" w:eastAsia="SimSun" w:hAnsi="Calibri" w:cs="Calibri"/>
          <w:kern w:val="1"/>
          <w:sz w:val="28"/>
          <w:szCs w:val="28"/>
          <w:lang w:eastAsia="hi-IN" w:bidi="hi-IN"/>
        </w:rPr>
        <w:t xml:space="preserve">; </w:t>
      </w:r>
    </w:p>
    <w:p w14:paraId="0B18A068" w14:textId="77777777" w:rsidR="004707E0" w:rsidRPr="004707E0" w:rsidRDefault="004707E0" w:rsidP="004707E0">
      <w:pPr>
        <w:spacing w:after="0" w:line="240" w:lineRule="auto"/>
        <w:jc w:val="both"/>
        <w:rPr>
          <w:rFonts w:ascii="Calibri" w:eastAsia="SimSun" w:hAnsi="Calibri" w:cs="Calibri"/>
          <w:bCs/>
          <w:kern w:val="1"/>
          <w:sz w:val="28"/>
          <w:szCs w:val="28"/>
          <w:lang w:eastAsia="hi-IN" w:bidi="hi-IN"/>
        </w:rPr>
      </w:pPr>
      <w:r w:rsidRPr="004707E0">
        <w:rPr>
          <w:rFonts w:ascii="Calibri" w:eastAsia="SimSun" w:hAnsi="Calibri" w:cs="Calibri"/>
          <w:bCs/>
          <w:kern w:val="1"/>
          <w:sz w:val="28"/>
          <w:szCs w:val="28"/>
          <w:lang w:eastAsia="hi-IN" w:bidi="hi-IN"/>
        </w:rPr>
        <w:br w:type="page"/>
      </w:r>
    </w:p>
    <w:p w14:paraId="4ACE7E89" w14:textId="77777777" w:rsidR="004707E0" w:rsidRPr="004707E0" w:rsidRDefault="004707E0" w:rsidP="004707E0">
      <w:pPr>
        <w:numPr>
          <w:ilvl w:val="0"/>
          <w:numId w:val="3"/>
        </w:numPr>
        <w:spacing w:after="120" w:line="240" w:lineRule="auto"/>
        <w:ind w:left="284" w:hanging="284"/>
        <w:jc w:val="both"/>
        <w:rPr>
          <w:rFonts w:ascii="Calibri" w:eastAsia="Times New Roman" w:hAnsi="Calibri" w:cs="Calibri"/>
          <w:sz w:val="28"/>
          <w:szCs w:val="28"/>
          <w:lang w:eastAsia="zh-CN"/>
        </w:rPr>
      </w:pPr>
      <w:r w:rsidRPr="004707E0">
        <w:rPr>
          <w:rFonts w:ascii="Calibri" w:eastAsia="SimSun" w:hAnsi="Calibri" w:cs="Calibri"/>
          <w:bCs/>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4707E0">
        <w:rPr>
          <w:rFonts w:ascii="Calibri" w:eastAsia="Times New Roman" w:hAnsi="Calibri" w:cs="Calibri"/>
          <w:bCs/>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4707E0">
        <w:rPr>
          <w:rFonts w:ascii="Calibri" w:eastAsia="SimSun" w:hAnsi="Calibri" w:cs="Calibri"/>
          <w:b/>
          <w:kern w:val="1"/>
          <w:sz w:val="28"/>
          <w:szCs w:val="28"/>
          <w:lang w:eastAsia="hi-IN" w:bidi="hi-IN"/>
        </w:rPr>
        <w:t xml:space="preserve"> </w:t>
      </w:r>
    </w:p>
    <w:p w14:paraId="6ED935EB" w14:textId="77777777" w:rsidR="004707E0" w:rsidRPr="004707E0" w:rsidRDefault="004707E0" w:rsidP="004707E0">
      <w:pPr>
        <w:spacing w:after="120" w:line="240" w:lineRule="auto"/>
        <w:ind w:left="284"/>
        <w:jc w:val="both"/>
        <w:rPr>
          <w:rFonts w:ascii="Calibri" w:eastAsia="Times New Roman" w:hAnsi="Calibri" w:cs="Calibri"/>
          <w:sz w:val="28"/>
          <w:szCs w:val="28"/>
          <w:lang w:eastAsia="zh-CN"/>
        </w:rPr>
      </w:pPr>
      <w:r w:rsidRPr="004707E0">
        <w:rPr>
          <w:rFonts w:ascii="Calibri" w:eastAsia="Times New Roman" w:hAnsi="Calibri" w:cs="Calibri"/>
          <w:sz w:val="28"/>
          <w:szCs w:val="28"/>
          <w:lang w:eastAsia="zh-CN"/>
        </w:rPr>
        <w:t>teren planowanego przedsięwzięcia nie jest położony na obszarach podlegających ochronie na podstawie ustawy z dnia 16 kwietnia 2004 r. o ochronie przyrody (Dz. U. z 2022 r. poz. 916, 1726, 2375 i 2185). Najbliższymi obszarami Natura 2000, zlokalizowanymi w odległości około 1,2 km od przedsięwzięcia, są: obszar specjalnej ochrony ptaków Ostoja Rogalińska PLB300017, specjalny obszar ochrony siedlisk Rogalińska Dolina Warty PLH300012. Zgodnie z opracowaną przez Zakład Badania Ssaków Polskiej Akademii Nauk w Białowieży siecią korytarzy ekologicznych, inwestycja będzie prowadzona poza terenem korytarzy ekologicznych (Projekt korytarzy ekologicznych łączących Europejską Sieć Natura 2000 w Polsce. Zakład Badania Ssaków PAN, Białowieża 2011);</w:t>
      </w:r>
    </w:p>
    <w:p w14:paraId="1DF664A5" w14:textId="77777777" w:rsidR="004707E0" w:rsidRPr="004707E0" w:rsidRDefault="004707E0" w:rsidP="004707E0">
      <w:pPr>
        <w:numPr>
          <w:ilvl w:val="0"/>
          <w:numId w:val="3"/>
        </w:numPr>
        <w:spacing w:after="120" w:line="240" w:lineRule="auto"/>
        <w:ind w:left="284" w:hanging="284"/>
        <w:jc w:val="both"/>
        <w:rPr>
          <w:rFonts w:ascii="Calibri" w:eastAsia="Times New Roman" w:hAnsi="Calibri" w:cs="Calibri"/>
          <w:sz w:val="28"/>
          <w:szCs w:val="28"/>
          <w:lang w:eastAsia="zh-CN"/>
        </w:rPr>
      </w:pPr>
      <w:r w:rsidRPr="004707E0">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4707E0">
        <w:rPr>
          <w:rFonts w:ascii="Calibri" w:eastAsia="Times New Roman" w:hAnsi="Calibri" w:cs="Calibri"/>
          <w:bCs/>
          <w:sz w:val="28"/>
          <w:szCs w:val="28"/>
          <w:lang w:eastAsia="pl-PL"/>
        </w:rPr>
        <w:t xml:space="preserve"> wody i obowiązujące dla nich cele środowiskowe:</w:t>
      </w:r>
    </w:p>
    <w:p w14:paraId="107FD38E" w14:textId="77777777" w:rsidR="004707E0" w:rsidRPr="004707E0" w:rsidRDefault="004707E0" w:rsidP="004707E0">
      <w:pPr>
        <w:spacing w:after="120" w:line="240" w:lineRule="auto"/>
        <w:ind w:left="284"/>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t xml:space="preserve">teren przedsięwzięcia położony jest poza obszarem Głównego Zbiornika Wód Podziemnych nr 150 Pradolina Warszawa - Berlin. Według charakterystyki jednolitych części wód planowane przedsięwzięcie zlokalizowane jest w granicach jednolitej części wód podziemnych (jcwpd) o kodzie PLGW600061 oraz jednolitej części wód powierzchniowych (jcwp) o kodzie </w:t>
      </w:r>
      <w:bookmarkStart w:id="4" w:name="_Hlk120874860"/>
      <w:r w:rsidRPr="004707E0">
        <w:rPr>
          <w:rFonts w:ascii="Calibri" w:eastAsia="Times New Roman" w:hAnsi="Calibri" w:cs="Calibri"/>
          <w:bCs/>
          <w:sz w:val="28"/>
          <w:szCs w:val="28"/>
          <w:lang w:eastAsia="pl-PL"/>
        </w:rPr>
        <w:t>PLRW6000</w:t>
      </w:r>
      <w:bookmarkEnd w:id="4"/>
      <w:r w:rsidRPr="004707E0">
        <w:rPr>
          <w:rFonts w:ascii="Calibri" w:eastAsia="Times New Roman" w:hAnsi="Calibri" w:cs="Calibri"/>
          <w:bCs/>
          <w:sz w:val="28"/>
          <w:szCs w:val="28"/>
          <w:lang w:eastAsia="pl-PL"/>
        </w:rPr>
        <w:t>17185549 – Pysząca. Zgodnie z obowiązującym „Planem gospodarowania wodami na obszarze dorzecza Odry” jcwpd o kodzie PLGW600061 charakteryzuje się dobrym stanem ilościowym oraz chemicznym, a w odniesieniu do ryzyka nieosiągnięcia celów środowiskowych została uznana za niezagrożoną. Jcwp o kodzie PLRW600017185549 jest naturalną częścią wód, jej stan aktualnie jest zły i zgodnie z oceną ryzyka nieosiągnięcia celów środowiskowych uznana została za zagrożoną</w:t>
      </w:r>
      <w:r w:rsidRPr="004707E0">
        <w:rPr>
          <w:rFonts w:ascii="Calibri" w:eastAsia="Times New Roman" w:hAnsi="Calibri" w:cs="Calibri"/>
          <w:sz w:val="28"/>
          <w:szCs w:val="28"/>
          <w:lang w:eastAsia="zh-CN"/>
        </w:rPr>
        <w:t>;</w:t>
      </w:r>
      <w:r w:rsidRPr="004707E0">
        <w:rPr>
          <w:rFonts w:ascii="Calibri" w:eastAsia="Times New Roman" w:hAnsi="Calibri" w:cs="Calibri"/>
          <w:bCs/>
          <w:sz w:val="28"/>
          <w:szCs w:val="28"/>
          <w:lang w:eastAsia="pl-PL"/>
        </w:rPr>
        <w:t xml:space="preserve"> </w:t>
      </w:r>
    </w:p>
    <w:p w14:paraId="12E39840" w14:textId="77777777" w:rsidR="004707E0" w:rsidRPr="004707E0" w:rsidRDefault="004707E0" w:rsidP="004707E0">
      <w:pPr>
        <w:numPr>
          <w:ilvl w:val="0"/>
          <w:numId w:val="3"/>
        </w:numPr>
        <w:tabs>
          <w:tab w:val="left" w:pos="426"/>
        </w:tabs>
        <w:spacing w:after="120" w:line="240" w:lineRule="auto"/>
        <w:ind w:left="284" w:hanging="284"/>
        <w:jc w:val="both"/>
        <w:rPr>
          <w:rFonts w:ascii="Calibri" w:eastAsia="Times New Roman" w:hAnsi="Calibri" w:cs="Calibri"/>
          <w:bCs/>
          <w:sz w:val="28"/>
          <w:szCs w:val="28"/>
          <w:lang w:eastAsia="zh-CN"/>
        </w:rPr>
      </w:pPr>
      <w:r w:rsidRPr="004707E0">
        <w:rPr>
          <w:rFonts w:ascii="Calibri" w:eastAsia="Times New Roman" w:hAnsi="Calibri" w:cs="Calibri"/>
          <w:bCs/>
          <w:sz w:val="28"/>
          <w:szCs w:val="28"/>
          <w:lang w:eastAsia="pl-PL"/>
        </w:rPr>
        <w:lastRenderedPageBreak/>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4707E0">
        <w:rPr>
          <w:rFonts w:ascii="Calibri" w:eastAsia="Times New Roman" w:hAnsi="Calibri" w:cs="Calibri"/>
          <w:sz w:val="28"/>
          <w:szCs w:val="28"/>
          <w:lang w:eastAsia="zh-CN"/>
        </w:rPr>
        <w:t xml:space="preserve"> </w:t>
      </w:r>
    </w:p>
    <w:p w14:paraId="4054826D" w14:textId="77777777" w:rsidR="004707E0" w:rsidRPr="004707E0" w:rsidRDefault="004707E0" w:rsidP="004707E0">
      <w:pPr>
        <w:tabs>
          <w:tab w:val="left" w:pos="426"/>
        </w:tabs>
        <w:spacing w:after="120" w:line="240" w:lineRule="auto"/>
        <w:ind w:left="284"/>
        <w:jc w:val="both"/>
        <w:rPr>
          <w:rFonts w:ascii="Calibri" w:eastAsia="Times New Roman" w:hAnsi="Calibri" w:cs="Calibri"/>
          <w:bCs/>
          <w:sz w:val="28"/>
          <w:szCs w:val="28"/>
          <w:lang w:eastAsia="zh-CN"/>
        </w:rPr>
      </w:pPr>
      <w:r w:rsidRPr="004707E0">
        <w:rPr>
          <w:rFonts w:ascii="Calibri" w:eastAsia="Times New Roman" w:hAnsi="Calibri" w:cs="Calibri"/>
          <w:sz w:val="28"/>
          <w:szCs w:val="28"/>
          <w:lang w:eastAsia="zh-CN"/>
        </w:rPr>
        <w:t xml:space="preserve">przedmiotowe przedsięwzięcie nie będzie transgranicznie oddziaływać na środowisko. </w:t>
      </w:r>
    </w:p>
    <w:p w14:paraId="051C6BC3" w14:textId="77777777" w:rsidR="004707E0" w:rsidRPr="004707E0" w:rsidRDefault="004707E0" w:rsidP="004707E0">
      <w:pPr>
        <w:tabs>
          <w:tab w:val="left" w:pos="426"/>
        </w:tabs>
        <w:spacing w:after="120" w:line="240" w:lineRule="auto"/>
        <w:ind w:firstLine="567"/>
        <w:jc w:val="both"/>
        <w:rPr>
          <w:rFonts w:ascii="Calibri" w:eastAsia="Times New Roman" w:hAnsi="Calibri" w:cs="Calibri"/>
          <w:bCs/>
          <w:sz w:val="28"/>
          <w:szCs w:val="28"/>
          <w:lang w:eastAsia="zh-CN"/>
        </w:rPr>
      </w:pPr>
      <w:r w:rsidRPr="004707E0">
        <w:rPr>
          <w:rFonts w:ascii="Calibri" w:eastAsia="Times New Roman" w:hAnsi="Calibri" w:cs="Calibri"/>
          <w:sz w:val="28"/>
          <w:szCs w:val="28"/>
          <w:lang w:eastAsia="pl-PL"/>
        </w:rPr>
        <w:t xml:space="preserve">Po przeanalizowaniu stanowisk Organów opiniujących (jeden Organ spośród trzech wyraził opinię o potrzebie przeprowadzenia oceny oddziaływania na środowisko), informacji zawartych w karcie informacyjnej przedsięwzięcia oraz uwzględniając łącznie kryteria wskazane w art. 63 ust. 1 ustawy, </w:t>
      </w:r>
      <w:r w:rsidRPr="004707E0">
        <w:rPr>
          <w:rFonts w:ascii="Calibri" w:eastAsia="Times New Roman" w:hAnsi="Calibri" w:cs="Calibri"/>
          <w:b/>
          <w:sz w:val="28"/>
          <w:szCs w:val="28"/>
          <w:lang w:eastAsia="pl-PL"/>
        </w:rPr>
        <w:t>Burmistrz Śremu stwierdził obowiązek przeprowadzenia oceny oddziaływania przedsięwzięcia na środowisko i sporządzenia raportu.</w:t>
      </w:r>
      <w:r w:rsidRPr="004707E0">
        <w:rPr>
          <w:rFonts w:ascii="Calibri" w:eastAsia="Times New Roman" w:hAnsi="Calibri" w:cs="Calibri"/>
          <w:bCs/>
          <w:sz w:val="28"/>
          <w:szCs w:val="28"/>
          <w:lang w:eastAsia="pl-PL"/>
        </w:rPr>
        <w:t xml:space="preserve"> </w:t>
      </w:r>
    </w:p>
    <w:p w14:paraId="2E5EDB5A"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Tutejszy organ podziela argumenty Regionalnego Dyrektora Ochrony Środowiska w Poznaniu przemawiające za koniecznością przeprowadzenia oceny oddziaływania na środowisko dla planowanego przedsięwzięcia, w szczególności w zakresie jego oddziaływania na klimat akustyczny na terenach zamieszkałych. Przeprowadzona ocena oddziaływania na środowisko wykaże, czy przedsięwzięcie spełniać będzie wymagania odnośnie dopuszczalnych poziomów hałasu w środowisku. W przypadku przekroczenia standardów jakości środowiska, ocenie poddane zostaną działania, które wnioskodawca podejmie w celu ograniczenia ponadnormatywnego oddziaływania oraz określona zostanie ich skuteczność.</w:t>
      </w:r>
    </w:p>
    <w:p w14:paraId="0811D86D"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b/>
          <w:bCs/>
          <w:sz w:val="28"/>
          <w:szCs w:val="28"/>
          <w:lang w:eastAsia="pl-PL"/>
        </w:rPr>
        <w:t>Raport o oddziaływaniu przedsięwzięcia na środowisko powinien być wykonany zgodnie z art. 66 ustawy</w:t>
      </w:r>
      <w:r w:rsidRPr="004707E0">
        <w:rPr>
          <w:rFonts w:ascii="Calibri" w:eastAsia="Calibri" w:hAnsi="Calibri" w:cs="Times New Roman"/>
          <w:sz w:val="28"/>
        </w:rPr>
        <w:t xml:space="preserve">, </w:t>
      </w:r>
      <w:r w:rsidRPr="004707E0">
        <w:rPr>
          <w:rFonts w:ascii="Calibri" w:eastAsia="Times New Roman" w:hAnsi="Calibri" w:cs="Calibri"/>
          <w:b/>
          <w:bCs/>
          <w:sz w:val="28"/>
          <w:szCs w:val="28"/>
          <w:lang w:eastAsia="pl-PL"/>
        </w:rPr>
        <w:t>w formacie wskazanym w rozporządzeniu Ministra Klimatu i Środowiska z dnia 17 marca 2022 r. w sprawie formatu dokumentu zawierającego wyniki inwentaryzacji przyrodniczej oraz formatu raportu o oddziaływaniu przedsięwzięcia na środowisko</w:t>
      </w:r>
      <w:r w:rsidRPr="004707E0">
        <w:rPr>
          <w:rFonts w:ascii="Calibri" w:eastAsia="Times New Roman" w:hAnsi="Calibri" w:cs="Calibri"/>
          <w:sz w:val="28"/>
          <w:szCs w:val="28"/>
          <w:lang w:eastAsia="pl-PL"/>
        </w:rPr>
        <w:t xml:space="preserve"> (Dz. U. poz. 652). Ustalając zakres raportu wskazano ponadto, że powinien on zawierać szczegółową i wnikliwą analizę aspektów związanych z oddziaływaniem na środowisko gruntowo-wodne oraz przyrodę. W postanowieniu wskazano również na konieczność przeprowadzenia analizy oddziaływania przedsięwzięcia na jakość powietrza podczas jego realizacji i eksploatacji, a także określenia wpływu przedsięwzięcia na zmiany klimatu oraz adaptacji do postępujących zmian klimatu.</w:t>
      </w:r>
    </w:p>
    <w:p w14:paraId="2FA88113"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Mając powyższe na uwadze należało orzec jak w sentencji postanowienia.</w:t>
      </w:r>
    </w:p>
    <w:p w14:paraId="6E6C8792" w14:textId="77777777" w:rsidR="004707E0" w:rsidRPr="004707E0" w:rsidRDefault="004707E0" w:rsidP="004707E0">
      <w:pPr>
        <w:spacing w:after="0" w:line="240" w:lineRule="auto"/>
        <w:jc w:val="both"/>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br w:type="page"/>
      </w:r>
    </w:p>
    <w:p w14:paraId="5499EBCA" w14:textId="77777777" w:rsidR="004707E0" w:rsidRPr="004707E0" w:rsidRDefault="004707E0" w:rsidP="004707E0">
      <w:pPr>
        <w:spacing w:after="120" w:line="240" w:lineRule="auto"/>
        <w:jc w:val="center"/>
        <w:rPr>
          <w:rFonts w:ascii="Calibri" w:eastAsia="Times New Roman" w:hAnsi="Calibri" w:cs="Calibri"/>
          <w:bCs/>
          <w:sz w:val="28"/>
          <w:szCs w:val="28"/>
          <w:lang w:eastAsia="pl-PL"/>
        </w:rPr>
      </w:pPr>
      <w:r w:rsidRPr="004707E0">
        <w:rPr>
          <w:rFonts w:ascii="Calibri" w:eastAsia="Times New Roman" w:hAnsi="Calibri" w:cs="Calibri"/>
          <w:bCs/>
          <w:sz w:val="28"/>
          <w:szCs w:val="28"/>
          <w:lang w:eastAsia="pl-PL"/>
        </w:rPr>
        <w:lastRenderedPageBreak/>
        <w:t>Pouczenie</w:t>
      </w:r>
    </w:p>
    <w:p w14:paraId="2FF7990C" w14:textId="77777777" w:rsidR="004707E0" w:rsidRPr="004707E0" w:rsidRDefault="004707E0" w:rsidP="004707E0">
      <w:pPr>
        <w:spacing w:after="120" w:line="240" w:lineRule="auto"/>
        <w:ind w:firstLine="708"/>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48B73414" w14:textId="5DCEEB9A" w:rsidR="004707E0" w:rsidRPr="004707E0" w:rsidRDefault="004707E0" w:rsidP="004707E0">
      <w:pPr>
        <w:spacing w:after="0" w:line="240" w:lineRule="auto"/>
        <w:ind w:left="3540"/>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z up. BURMISTRZA</w:t>
      </w:r>
    </w:p>
    <w:p w14:paraId="3755D17C" w14:textId="77777777" w:rsidR="004707E0" w:rsidRPr="004707E0" w:rsidRDefault="004707E0" w:rsidP="004707E0">
      <w:pPr>
        <w:spacing w:after="0" w:line="240" w:lineRule="auto"/>
        <w:ind w:left="3540"/>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Katarzyna Bednarowicz</w:t>
      </w:r>
    </w:p>
    <w:p w14:paraId="7252634D" w14:textId="77777777" w:rsidR="004707E0" w:rsidRPr="004707E0" w:rsidRDefault="004707E0" w:rsidP="004707E0">
      <w:pPr>
        <w:spacing w:after="0" w:line="240" w:lineRule="auto"/>
        <w:ind w:left="3540"/>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naczelnik Pionu Gospodarowania</w:t>
      </w:r>
    </w:p>
    <w:p w14:paraId="5DB87855" w14:textId="77777777" w:rsidR="004707E0" w:rsidRPr="004707E0" w:rsidRDefault="004707E0" w:rsidP="004707E0">
      <w:pPr>
        <w:spacing w:after="0" w:line="240" w:lineRule="auto"/>
        <w:ind w:left="3540"/>
        <w:jc w:val="center"/>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Przestrzenią i Środowiskiem</w:t>
      </w:r>
    </w:p>
    <w:p w14:paraId="08ED3C5C" w14:textId="6631686E" w:rsidR="004707E0" w:rsidRPr="004707E0" w:rsidRDefault="004707E0" w:rsidP="004707E0">
      <w:pPr>
        <w:spacing w:after="120" w:line="240" w:lineRule="auto"/>
        <w:ind w:left="3540"/>
        <w:jc w:val="center"/>
        <w:rPr>
          <w:rFonts w:ascii="Calibri" w:eastAsia="Times New Roman" w:hAnsi="Calibri" w:cs="Calibri"/>
          <w:sz w:val="28"/>
          <w:szCs w:val="28"/>
          <w:lang w:eastAsia="pl-PL"/>
        </w:rPr>
      </w:pPr>
    </w:p>
    <w:p w14:paraId="103142FB" w14:textId="77777777" w:rsidR="004707E0" w:rsidRPr="004707E0" w:rsidRDefault="004707E0" w:rsidP="004707E0">
      <w:pPr>
        <w:spacing w:after="0" w:line="240" w:lineRule="auto"/>
        <w:jc w:val="both"/>
        <w:rPr>
          <w:rFonts w:ascii="Calibri" w:eastAsia="Times New Roman" w:hAnsi="Calibri" w:cs="Calibri"/>
          <w:sz w:val="28"/>
          <w:szCs w:val="28"/>
          <w:lang w:eastAsia="pl-PL"/>
        </w:rPr>
      </w:pPr>
    </w:p>
    <w:p w14:paraId="4CE35B71"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Sprawę prowadzi:</w:t>
      </w:r>
    </w:p>
    <w:p w14:paraId="4937EA19"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Małgorzata Borowska</w:t>
      </w:r>
    </w:p>
    <w:p w14:paraId="011C9814"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inspektor</w:t>
      </w:r>
    </w:p>
    <w:p w14:paraId="4102E652" w14:textId="77777777" w:rsidR="004707E0" w:rsidRPr="004707E0" w:rsidRDefault="004707E0" w:rsidP="004707E0">
      <w:pPr>
        <w:spacing w:after="12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tel. 61 28 47 140</w:t>
      </w:r>
    </w:p>
    <w:p w14:paraId="274AB454" w14:textId="77777777" w:rsidR="004707E0" w:rsidRPr="004707E0" w:rsidRDefault="004707E0" w:rsidP="004707E0">
      <w:pPr>
        <w:spacing w:after="0" w:line="240" w:lineRule="auto"/>
        <w:jc w:val="both"/>
        <w:rPr>
          <w:rFonts w:ascii="Calibri" w:eastAsia="Times New Roman" w:hAnsi="Calibri" w:cs="Calibri"/>
          <w:sz w:val="28"/>
          <w:szCs w:val="28"/>
          <w:lang w:eastAsia="pl-PL"/>
        </w:rPr>
      </w:pPr>
    </w:p>
    <w:p w14:paraId="77F4C5F7"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Otrzymują:</w:t>
      </w:r>
    </w:p>
    <w:p w14:paraId="045B9191" w14:textId="77777777" w:rsidR="004707E0" w:rsidRPr="004707E0" w:rsidRDefault="004707E0" w:rsidP="004707E0">
      <w:pPr>
        <w:numPr>
          <w:ilvl w:val="0"/>
          <w:numId w:val="9"/>
        </w:numPr>
        <w:spacing w:after="0" w:line="240" w:lineRule="auto"/>
        <w:ind w:left="284" w:hanging="142"/>
        <w:contextualSpacing/>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Strony postępowania:</w:t>
      </w:r>
    </w:p>
    <w:p w14:paraId="47EC0C77" w14:textId="77777777" w:rsidR="004707E0" w:rsidRPr="004707E0" w:rsidRDefault="004707E0" w:rsidP="004707E0">
      <w:pPr>
        <w:numPr>
          <w:ilvl w:val="0"/>
          <w:numId w:val="10"/>
        </w:numPr>
        <w:spacing w:after="0" w:line="240" w:lineRule="auto"/>
        <w:ind w:left="567" w:hanging="283"/>
        <w:contextualSpacing/>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Wielkopolski Zarząd Dróg Wojewódzkich w Poznaniu (ePUAP)</w:t>
      </w:r>
    </w:p>
    <w:p w14:paraId="45A71230" w14:textId="77777777" w:rsidR="004707E0" w:rsidRPr="004707E0" w:rsidRDefault="004707E0" w:rsidP="004707E0">
      <w:pPr>
        <w:numPr>
          <w:ilvl w:val="0"/>
          <w:numId w:val="10"/>
        </w:numPr>
        <w:spacing w:after="0" w:line="240" w:lineRule="auto"/>
        <w:ind w:left="567" w:hanging="283"/>
        <w:contextualSpacing/>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 xml:space="preserve">Pozostałe strony postępowania przez obwieszczenie, zgodnie z art. 74 ust. 3 ustawy </w:t>
      </w:r>
    </w:p>
    <w:p w14:paraId="357196ED" w14:textId="77777777" w:rsidR="004707E0" w:rsidRPr="004707E0" w:rsidRDefault="004707E0" w:rsidP="004707E0">
      <w:pPr>
        <w:numPr>
          <w:ilvl w:val="0"/>
          <w:numId w:val="9"/>
        </w:numPr>
        <w:spacing w:after="0" w:line="240" w:lineRule="auto"/>
        <w:ind w:left="284" w:hanging="142"/>
        <w:contextualSpacing/>
        <w:jc w:val="both"/>
        <w:rPr>
          <w:rFonts w:ascii="Calibri" w:eastAsia="Calibri" w:hAnsi="Calibri" w:cs="Times New Roman"/>
          <w:sz w:val="28"/>
        </w:rPr>
      </w:pPr>
      <w:r w:rsidRPr="004707E0">
        <w:rPr>
          <w:rFonts w:ascii="Calibri" w:eastAsia="Calibri" w:hAnsi="Calibri" w:cs="Times New Roman"/>
          <w:sz w:val="28"/>
        </w:rPr>
        <w:t>aa</w:t>
      </w:r>
    </w:p>
    <w:p w14:paraId="61B7D39E" w14:textId="77777777" w:rsidR="004707E0" w:rsidRPr="004707E0" w:rsidRDefault="004707E0" w:rsidP="004707E0">
      <w:pPr>
        <w:spacing w:after="0" w:line="240" w:lineRule="auto"/>
        <w:jc w:val="both"/>
        <w:rPr>
          <w:rFonts w:ascii="Calibri" w:eastAsia="Times New Roman" w:hAnsi="Calibri" w:cs="Calibri"/>
          <w:sz w:val="28"/>
          <w:szCs w:val="28"/>
          <w:lang w:eastAsia="pl-PL"/>
        </w:rPr>
      </w:pPr>
    </w:p>
    <w:p w14:paraId="643E4636" w14:textId="77777777" w:rsidR="004707E0" w:rsidRPr="004707E0" w:rsidRDefault="004707E0" w:rsidP="004707E0">
      <w:pPr>
        <w:spacing w:after="0" w:line="240" w:lineRule="auto"/>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Do wiadomości:</w:t>
      </w:r>
    </w:p>
    <w:p w14:paraId="44188273" w14:textId="77777777" w:rsidR="004707E0" w:rsidRPr="004707E0" w:rsidRDefault="004707E0" w:rsidP="004707E0">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Regionalny Dyrektor Ochrony Środowiska w Poznaniu (ePUAP)</w:t>
      </w:r>
    </w:p>
    <w:p w14:paraId="7B5140C7" w14:textId="77777777" w:rsidR="004707E0" w:rsidRPr="004707E0" w:rsidRDefault="004707E0" w:rsidP="004707E0">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Państwowy Powiatowy Inspektor Sanitarny w Śremie (ePUAP)</w:t>
      </w:r>
    </w:p>
    <w:p w14:paraId="772F0BAC" w14:textId="77777777" w:rsidR="004707E0" w:rsidRPr="004707E0" w:rsidRDefault="004707E0" w:rsidP="004707E0">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4707E0">
        <w:rPr>
          <w:rFonts w:ascii="Calibri" w:eastAsia="Times New Roman" w:hAnsi="Calibri" w:cs="Calibri"/>
          <w:sz w:val="28"/>
          <w:szCs w:val="28"/>
          <w:lang w:eastAsia="pl-PL"/>
        </w:rPr>
        <w:t>Dyrektor Zarządu Zlewni Państwowego Gospodarstwa Wodnego Wody Polskie w Poznaniu (ePUAP)</w:t>
      </w:r>
    </w:p>
    <w:p w14:paraId="62DFCF93" w14:textId="77777777" w:rsidR="004707E0" w:rsidRPr="004707E0" w:rsidRDefault="004707E0" w:rsidP="004707E0">
      <w:pPr>
        <w:spacing w:after="120" w:line="240" w:lineRule="auto"/>
        <w:jc w:val="both"/>
        <w:rPr>
          <w:rFonts w:ascii="Calibri" w:eastAsia="Calibri" w:hAnsi="Calibri" w:cs="Times New Roman"/>
          <w:sz w:val="28"/>
        </w:rPr>
      </w:pPr>
    </w:p>
    <w:p w14:paraId="2F9DADA9" w14:textId="7C5C36A2" w:rsidR="00053E5A" w:rsidRPr="00DB7013" w:rsidRDefault="00053E5A" w:rsidP="004707E0">
      <w:pPr>
        <w:spacing w:before="120" w:after="120" w:line="240" w:lineRule="auto"/>
        <w:jc w:val="center"/>
        <w:rPr>
          <w:rFonts w:cstheme="minorHAnsi"/>
          <w:sz w:val="28"/>
          <w:szCs w:val="28"/>
        </w:rPr>
      </w:pPr>
    </w:p>
    <w:sectPr w:rsidR="00053E5A" w:rsidRPr="00DB7013" w:rsidSect="00BD2D28">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0456F" w14:textId="77777777" w:rsidR="00C27927" w:rsidRDefault="00C27927" w:rsidP="00053E5A">
      <w:pPr>
        <w:spacing w:after="0" w:line="240" w:lineRule="auto"/>
      </w:pPr>
      <w:r>
        <w:separator/>
      </w:r>
    </w:p>
  </w:endnote>
  <w:endnote w:type="continuationSeparator" w:id="0">
    <w:p w14:paraId="4F7A9E77" w14:textId="77777777" w:rsidR="00C27927" w:rsidRDefault="00C2792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D58D0" w14:textId="77777777" w:rsidR="00C27927" w:rsidRDefault="00C27927" w:rsidP="00053E5A">
      <w:pPr>
        <w:spacing w:after="0" w:line="240" w:lineRule="auto"/>
      </w:pPr>
      <w:r>
        <w:separator/>
      </w:r>
    </w:p>
  </w:footnote>
  <w:footnote w:type="continuationSeparator" w:id="0">
    <w:p w14:paraId="7A42BF4C" w14:textId="77777777" w:rsidR="00C27927" w:rsidRDefault="00C27927" w:rsidP="00053E5A">
      <w:pPr>
        <w:spacing w:after="0" w:line="240" w:lineRule="auto"/>
      </w:pPr>
      <w:r>
        <w:continuationSeparator/>
      </w:r>
    </w:p>
  </w:footnote>
  <w:footnote w:id="1">
    <w:p w14:paraId="3F2B319D" w14:textId="77777777" w:rsidR="004707E0" w:rsidRPr="00431CB1" w:rsidRDefault="004707E0" w:rsidP="004707E0">
      <w:pPr>
        <w:pStyle w:val="Tekstprzypisudolnego1"/>
        <w:rPr>
          <w:sz w:val="28"/>
          <w:szCs w:val="28"/>
        </w:rPr>
      </w:pPr>
      <w:r w:rsidRPr="00431CB1">
        <w:rPr>
          <w:rStyle w:val="Odwoanieprzypisudolnego"/>
          <w:sz w:val="28"/>
          <w:szCs w:val="28"/>
        </w:rPr>
        <w:footnoteRef/>
      </w:r>
      <w:r w:rsidRPr="00431CB1">
        <w:rPr>
          <w:sz w:val="28"/>
          <w:szCs w:val="28"/>
        </w:rPr>
        <w:t xml:space="preserve"> Karta informacyjna przedsięwzięcia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9030A"/>
    <w:multiLevelType w:val="hybridMultilevel"/>
    <w:tmpl w:val="42DA1F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B84F1F"/>
    <w:multiLevelType w:val="hybridMultilevel"/>
    <w:tmpl w:val="8E1C38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D200E3B"/>
    <w:multiLevelType w:val="hybridMultilevel"/>
    <w:tmpl w:val="0ED66B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28161E9E"/>
    <w:multiLevelType w:val="hybridMultilevel"/>
    <w:tmpl w:val="8AE287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99454D0"/>
    <w:multiLevelType w:val="hybridMultilevel"/>
    <w:tmpl w:val="6E4251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F533B51"/>
    <w:multiLevelType w:val="hybridMultilevel"/>
    <w:tmpl w:val="E482DCE6"/>
    <w:lvl w:ilvl="0" w:tplc="00A05F6E">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675900EC"/>
    <w:multiLevelType w:val="hybridMultilevel"/>
    <w:tmpl w:val="87F082F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219436">
    <w:abstractNumId w:val="9"/>
  </w:num>
  <w:num w:numId="2" w16cid:durableId="1573463217">
    <w:abstractNumId w:val="6"/>
  </w:num>
  <w:num w:numId="3" w16cid:durableId="1176190658">
    <w:abstractNumId w:val="5"/>
  </w:num>
  <w:num w:numId="4" w16cid:durableId="1465394026">
    <w:abstractNumId w:val="7"/>
  </w:num>
  <w:num w:numId="5" w16cid:durableId="1492865540">
    <w:abstractNumId w:val="8"/>
  </w:num>
  <w:num w:numId="6" w16cid:durableId="883949882">
    <w:abstractNumId w:val="3"/>
  </w:num>
  <w:num w:numId="7" w16cid:durableId="716514752">
    <w:abstractNumId w:val="2"/>
  </w:num>
  <w:num w:numId="8" w16cid:durableId="2026518415">
    <w:abstractNumId w:val="4"/>
  </w:num>
  <w:num w:numId="9" w16cid:durableId="502164781">
    <w:abstractNumId w:val="0"/>
  </w:num>
  <w:num w:numId="10" w16cid:durableId="947080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161A4A"/>
    <w:rsid w:val="00194C69"/>
    <w:rsid w:val="0021772C"/>
    <w:rsid w:val="00250690"/>
    <w:rsid w:val="0026640C"/>
    <w:rsid w:val="004519AC"/>
    <w:rsid w:val="00455EC2"/>
    <w:rsid w:val="004707E0"/>
    <w:rsid w:val="0048459B"/>
    <w:rsid w:val="0050534A"/>
    <w:rsid w:val="00525346"/>
    <w:rsid w:val="00574DAC"/>
    <w:rsid w:val="005811F1"/>
    <w:rsid w:val="005E5887"/>
    <w:rsid w:val="005F048F"/>
    <w:rsid w:val="005F23DE"/>
    <w:rsid w:val="006A6F3E"/>
    <w:rsid w:val="007362FC"/>
    <w:rsid w:val="007C6800"/>
    <w:rsid w:val="0081559F"/>
    <w:rsid w:val="00906B66"/>
    <w:rsid w:val="00917C21"/>
    <w:rsid w:val="00930F39"/>
    <w:rsid w:val="00945706"/>
    <w:rsid w:val="009614DC"/>
    <w:rsid w:val="00A644E2"/>
    <w:rsid w:val="00B91287"/>
    <w:rsid w:val="00BD2D28"/>
    <w:rsid w:val="00C27927"/>
    <w:rsid w:val="00DB7013"/>
    <w:rsid w:val="00E02B50"/>
    <w:rsid w:val="00E34C2B"/>
    <w:rsid w:val="00E410E4"/>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Tekstprzypisudolnego1">
    <w:name w:val="Tekst przypisu dolnego1"/>
    <w:basedOn w:val="Normalny"/>
    <w:next w:val="Tekstprzypisudolnego"/>
    <w:link w:val="TekstprzypisudolnegoZnak"/>
    <w:uiPriority w:val="99"/>
    <w:semiHidden/>
    <w:unhideWhenUsed/>
    <w:rsid w:val="004707E0"/>
    <w:pPr>
      <w:spacing w:after="0" w:line="240" w:lineRule="auto"/>
      <w:jc w:val="both"/>
    </w:pPr>
    <w:rPr>
      <w:rFonts w:ascii="Calibri" w:hAnsi="Calibri" w:cs="Times New Roman"/>
      <w:sz w:val="20"/>
      <w:szCs w:val="20"/>
    </w:rPr>
  </w:style>
  <w:style w:type="character" w:customStyle="1" w:styleId="TekstprzypisudolnegoZnak">
    <w:name w:val="Tekst przypisu dolnego Znak"/>
    <w:basedOn w:val="Domylnaczcionkaakapitu"/>
    <w:link w:val="Tekstprzypisudolnego1"/>
    <w:uiPriority w:val="99"/>
    <w:semiHidden/>
    <w:rsid w:val="004707E0"/>
    <w:rPr>
      <w:rFonts w:ascii="Calibri" w:hAnsi="Calibri" w:cs="Times New Roman"/>
      <w:sz w:val="20"/>
      <w:szCs w:val="20"/>
    </w:rPr>
  </w:style>
  <w:style w:type="character" w:styleId="Odwoanieprzypisudolnego">
    <w:name w:val="footnote reference"/>
    <w:basedOn w:val="Domylnaczcionkaakapitu"/>
    <w:uiPriority w:val="99"/>
    <w:semiHidden/>
    <w:unhideWhenUsed/>
    <w:rsid w:val="004707E0"/>
    <w:rPr>
      <w:vertAlign w:val="superscript"/>
    </w:rPr>
  </w:style>
  <w:style w:type="paragraph" w:styleId="Tekstprzypisudolnego">
    <w:name w:val="footnote text"/>
    <w:basedOn w:val="Normalny"/>
    <w:link w:val="TekstprzypisudolnegoZnak1"/>
    <w:uiPriority w:val="99"/>
    <w:semiHidden/>
    <w:unhideWhenUsed/>
    <w:rsid w:val="004707E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4707E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6492</Words>
  <Characters>38956</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12</cp:revision>
  <cp:lastPrinted>2023-01-30T13:47:00Z</cp:lastPrinted>
  <dcterms:created xsi:type="dcterms:W3CDTF">2023-01-05T08:58:00Z</dcterms:created>
  <dcterms:modified xsi:type="dcterms:W3CDTF">2023-02-16T13:58:00Z</dcterms:modified>
</cp:coreProperties>
</file>