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6318C" w14:textId="77777777" w:rsidR="00D55CB4" w:rsidRDefault="00D55CB4" w:rsidP="00D55CB4">
      <w:pPr>
        <w:jc w:val="right"/>
        <w:rPr>
          <w:rFonts w:cstheme="minorHAnsi"/>
          <w:szCs w:val="28"/>
        </w:rPr>
      </w:pPr>
    </w:p>
    <w:p w14:paraId="73E1558A" w14:textId="77777777" w:rsidR="00D55CB4" w:rsidRDefault="00D55CB4" w:rsidP="00D55CB4">
      <w:pPr>
        <w:jc w:val="right"/>
        <w:rPr>
          <w:rFonts w:cstheme="minorHAnsi"/>
          <w:szCs w:val="28"/>
        </w:rPr>
      </w:pPr>
    </w:p>
    <w:p w14:paraId="7BDCA7AD" w14:textId="77777777" w:rsidR="00D55CB4" w:rsidRPr="00CF716F" w:rsidRDefault="00D55CB4" w:rsidP="00CF1D73">
      <w:pPr>
        <w:widowControl w:val="0"/>
        <w:autoSpaceDE w:val="0"/>
        <w:autoSpaceDN w:val="0"/>
        <w:adjustRightInd w:val="0"/>
        <w:ind w:right="4960"/>
        <w:jc w:val="center"/>
        <w:rPr>
          <w:rFonts w:cs="Calibri"/>
          <w:bCs/>
          <w:szCs w:val="28"/>
        </w:rPr>
      </w:pPr>
      <w:r w:rsidRPr="00CF716F">
        <w:rPr>
          <w:rFonts w:cs="Calibri"/>
          <w:bCs/>
          <w:szCs w:val="28"/>
        </w:rPr>
        <w:t>Burmistrz Śremu</w:t>
      </w:r>
    </w:p>
    <w:p w14:paraId="5B199CD8" w14:textId="77777777" w:rsidR="00D55CB4" w:rsidRPr="00CF716F" w:rsidRDefault="00D55CB4" w:rsidP="00CF1D73">
      <w:pPr>
        <w:widowControl w:val="0"/>
        <w:autoSpaceDE w:val="0"/>
        <w:autoSpaceDN w:val="0"/>
        <w:adjustRightInd w:val="0"/>
        <w:ind w:right="4960"/>
        <w:jc w:val="center"/>
        <w:rPr>
          <w:rFonts w:cs="Calibri"/>
          <w:bCs/>
          <w:szCs w:val="28"/>
        </w:rPr>
      </w:pPr>
      <w:r w:rsidRPr="00CF716F">
        <w:rPr>
          <w:rFonts w:cs="Calibri"/>
          <w:bCs/>
          <w:szCs w:val="28"/>
        </w:rPr>
        <w:t>ul. Plac 20 Października 1</w:t>
      </w:r>
    </w:p>
    <w:p w14:paraId="00A2F432" w14:textId="77777777" w:rsidR="00D55CB4" w:rsidRPr="00CF1D73" w:rsidRDefault="00D55CB4" w:rsidP="005E0DF3">
      <w:pPr>
        <w:widowControl w:val="0"/>
        <w:autoSpaceDE w:val="0"/>
        <w:autoSpaceDN w:val="0"/>
        <w:adjustRightInd w:val="0"/>
        <w:spacing w:after="240"/>
        <w:ind w:right="4960"/>
        <w:jc w:val="center"/>
        <w:rPr>
          <w:rFonts w:cs="Calibri"/>
          <w:bCs/>
          <w:szCs w:val="28"/>
        </w:rPr>
      </w:pPr>
      <w:r w:rsidRPr="00CF716F">
        <w:rPr>
          <w:rFonts w:cs="Calibri"/>
          <w:bCs/>
          <w:szCs w:val="28"/>
        </w:rPr>
        <w:t>63 – 100 Śrem</w:t>
      </w:r>
    </w:p>
    <w:p w14:paraId="3835AF3B" w14:textId="66E76EDD" w:rsidR="00D55CB4" w:rsidRDefault="005E0DF3" w:rsidP="005E0DF3">
      <w:pPr>
        <w:rPr>
          <w:rFonts w:cstheme="minorHAnsi"/>
          <w:szCs w:val="28"/>
        </w:rPr>
      </w:pPr>
      <w:r w:rsidRPr="00B425B8">
        <w:rPr>
          <w:rFonts w:eastAsia="Calibri" w:cs="Calibri"/>
          <w:szCs w:val="28"/>
        </w:rPr>
        <w:t>PPSPP.6730.63.2023.GMON</w:t>
      </w:r>
    </w:p>
    <w:p w14:paraId="42C6B2D6" w14:textId="31F71EDC" w:rsidR="00D55CB4" w:rsidRPr="00DB7013" w:rsidRDefault="00D55CB4" w:rsidP="00D55CB4">
      <w:pPr>
        <w:jc w:val="right"/>
        <w:rPr>
          <w:rFonts w:cstheme="minorHAnsi"/>
          <w:szCs w:val="28"/>
        </w:rPr>
      </w:pPr>
      <w:r>
        <w:rPr>
          <w:rFonts w:cstheme="minorHAnsi"/>
          <w:szCs w:val="28"/>
        </w:rPr>
        <w:t xml:space="preserve">Śrem, </w:t>
      </w:r>
      <w:r w:rsidR="008226C1">
        <w:rPr>
          <w:rFonts w:cstheme="minorHAnsi"/>
          <w:szCs w:val="28"/>
        </w:rPr>
        <w:t>06</w:t>
      </w:r>
      <w:r>
        <w:rPr>
          <w:rFonts w:cstheme="minorHAnsi"/>
          <w:szCs w:val="28"/>
        </w:rPr>
        <w:t xml:space="preserve"> </w:t>
      </w:r>
      <w:r w:rsidR="00B425B8">
        <w:rPr>
          <w:rFonts w:cstheme="minorHAnsi"/>
          <w:szCs w:val="28"/>
        </w:rPr>
        <w:t>lipca</w:t>
      </w:r>
      <w:r>
        <w:rPr>
          <w:rFonts w:cstheme="minorHAnsi"/>
          <w:szCs w:val="28"/>
        </w:rPr>
        <w:t xml:space="preserve"> 2023 roku </w:t>
      </w:r>
    </w:p>
    <w:p w14:paraId="1243CC7F" w14:textId="4BE3044B" w:rsidR="00D55CB4" w:rsidRDefault="00D55CB4" w:rsidP="000C3CF3">
      <w:pPr>
        <w:spacing w:after="120"/>
        <w:jc w:val="center"/>
        <w:rPr>
          <w:rFonts w:cstheme="minorHAnsi"/>
          <w:szCs w:val="28"/>
        </w:rPr>
      </w:pPr>
      <w:r>
        <w:rPr>
          <w:rFonts w:cstheme="minorHAnsi"/>
          <w:szCs w:val="28"/>
        </w:rPr>
        <w:t xml:space="preserve">Obwieszczenie </w:t>
      </w:r>
      <w:r w:rsidR="000C3CF3">
        <w:rPr>
          <w:rFonts w:cstheme="minorHAnsi"/>
          <w:szCs w:val="28"/>
        </w:rPr>
        <w:br/>
      </w:r>
      <w:r>
        <w:rPr>
          <w:rFonts w:cstheme="minorHAnsi"/>
          <w:szCs w:val="28"/>
        </w:rPr>
        <w:t xml:space="preserve">o wydaniu decyzji o warunkach zabudowy </w:t>
      </w:r>
    </w:p>
    <w:p w14:paraId="32C2AD46" w14:textId="77777777" w:rsidR="000C3CF3" w:rsidRDefault="000C3CF3" w:rsidP="00D55CB4">
      <w:pPr>
        <w:spacing w:after="120"/>
        <w:ind w:firstLine="567"/>
        <w:jc w:val="both"/>
        <w:rPr>
          <w:rFonts w:cstheme="minorHAnsi"/>
          <w:szCs w:val="28"/>
        </w:rPr>
      </w:pPr>
    </w:p>
    <w:p w14:paraId="4E08CCAC" w14:textId="1CE5A533" w:rsidR="00D55CB4" w:rsidRDefault="000C3CF3" w:rsidP="00D55CB4">
      <w:pPr>
        <w:spacing w:after="120"/>
        <w:ind w:firstLine="567"/>
        <w:jc w:val="both"/>
        <w:rPr>
          <w:rFonts w:cstheme="minorHAnsi"/>
          <w:szCs w:val="28"/>
        </w:rPr>
      </w:pPr>
      <w:r>
        <w:rPr>
          <w:rFonts w:cstheme="minorHAnsi"/>
          <w:szCs w:val="28"/>
        </w:rPr>
        <w:t>Niniejszym p</w:t>
      </w:r>
      <w:r w:rsidR="00D55CB4">
        <w:rPr>
          <w:rFonts w:cstheme="minorHAnsi"/>
          <w:szCs w:val="28"/>
        </w:rPr>
        <w:t>odaję do publicznej wiadomości</w:t>
      </w:r>
      <w:r w:rsidR="00DF6BDB" w:rsidRPr="00DF6BDB">
        <w:rPr>
          <w:rFonts w:cstheme="minorHAnsi"/>
          <w:szCs w:val="28"/>
          <w:vertAlign w:val="superscript"/>
        </w:rPr>
        <w:t>1</w:t>
      </w:r>
      <w:r w:rsidR="00D55CB4">
        <w:rPr>
          <w:rFonts w:cstheme="minorHAnsi"/>
          <w:szCs w:val="28"/>
        </w:rPr>
        <w:t xml:space="preserve"> informację, że </w:t>
      </w:r>
      <w:r w:rsidR="00B425B8">
        <w:rPr>
          <w:rFonts w:cstheme="minorHAnsi"/>
          <w:szCs w:val="28"/>
        </w:rPr>
        <w:t>05</w:t>
      </w:r>
      <w:r w:rsidR="00D55CB4">
        <w:rPr>
          <w:rFonts w:cstheme="minorHAnsi"/>
          <w:szCs w:val="28"/>
        </w:rPr>
        <w:t>.0</w:t>
      </w:r>
      <w:r w:rsidR="00B425B8">
        <w:rPr>
          <w:rFonts w:cstheme="minorHAnsi"/>
          <w:szCs w:val="28"/>
        </w:rPr>
        <w:t>7</w:t>
      </w:r>
      <w:r w:rsidR="00D55CB4">
        <w:rPr>
          <w:rFonts w:cstheme="minorHAnsi"/>
          <w:szCs w:val="28"/>
        </w:rPr>
        <w:t>.2023</w:t>
      </w:r>
      <w:r>
        <w:rPr>
          <w:rFonts w:cstheme="minorHAnsi"/>
          <w:szCs w:val="28"/>
        </w:rPr>
        <w:t> </w:t>
      </w:r>
      <w:r w:rsidR="00D55CB4">
        <w:rPr>
          <w:rFonts w:cstheme="minorHAnsi"/>
          <w:szCs w:val="28"/>
        </w:rPr>
        <w:t xml:space="preserve">r. wydałem </w:t>
      </w:r>
      <w:r>
        <w:rPr>
          <w:rFonts w:cstheme="minorHAnsi"/>
          <w:szCs w:val="28"/>
        </w:rPr>
        <w:t xml:space="preserve">na rzecz </w:t>
      </w:r>
      <w:r w:rsidR="00B425B8" w:rsidRPr="00B425B8">
        <w:rPr>
          <w:rFonts w:cstheme="minorHAnsi"/>
          <w:szCs w:val="28"/>
        </w:rPr>
        <w:t>Pana Piotra Jędrzejczaka</w:t>
      </w:r>
      <w:r>
        <w:rPr>
          <w:rFonts w:cstheme="minorHAnsi"/>
          <w:szCs w:val="28"/>
        </w:rPr>
        <w:t xml:space="preserve">, </w:t>
      </w:r>
      <w:r w:rsidR="00D55CB4">
        <w:rPr>
          <w:rFonts w:cstheme="minorHAnsi"/>
          <w:szCs w:val="28"/>
        </w:rPr>
        <w:t xml:space="preserve">decyzję nr </w:t>
      </w:r>
      <w:r w:rsidR="00B425B8">
        <w:rPr>
          <w:rFonts w:cstheme="minorHAnsi"/>
          <w:szCs w:val="28"/>
        </w:rPr>
        <w:t>54</w:t>
      </w:r>
      <w:r w:rsidR="00D55CB4">
        <w:rPr>
          <w:rFonts w:cstheme="minorHAnsi"/>
          <w:szCs w:val="28"/>
        </w:rPr>
        <w:t>/2023 o</w:t>
      </w:r>
      <w:r w:rsidR="00DF6BDB">
        <w:rPr>
          <w:rFonts w:cstheme="minorHAnsi"/>
          <w:szCs w:val="28"/>
        </w:rPr>
        <w:t> </w:t>
      </w:r>
      <w:r w:rsidR="00D55CB4">
        <w:rPr>
          <w:rFonts w:cstheme="minorHAnsi"/>
          <w:szCs w:val="28"/>
        </w:rPr>
        <w:t>warunkach zabudowy</w:t>
      </w:r>
      <w:r>
        <w:rPr>
          <w:rFonts w:cstheme="minorHAnsi"/>
          <w:szCs w:val="28"/>
        </w:rPr>
        <w:t xml:space="preserve"> </w:t>
      </w:r>
      <w:r w:rsidR="00D55CB4">
        <w:rPr>
          <w:rFonts w:cstheme="minorHAnsi"/>
          <w:szCs w:val="28"/>
        </w:rPr>
        <w:t xml:space="preserve">dla przedsięwzięcia: </w:t>
      </w:r>
      <w:r w:rsidR="00B425B8" w:rsidRPr="00B425B8">
        <w:rPr>
          <w:rFonts w:cstheme="minorHAnsi"/>
          <w:szCs w:val="28"/>
        </w:rPr>
        <w:t>budow</w:t>
      </w:r>
      <w:r w:rsidR="00B425B8">
        <w:rPr>
          <w:rFonts w:cstheme="minorHAnsi"/>
          <w:szCs w:val="28"/>
        </w:rPr>
        <w:t>a</w:t>
      </w:r>
      <w:r w:rsidR="00B425B8" w:rsidRPr="00B425B8">
        <w:rPr>
          <w:rFonts w:cstheme="minorHAnsi"/>
          <w:szCs w:val="28"/>
        </w:rPr>
        <w:t xml:space="preserve"> budynku inwentarskiego do chowu trzody chlewnej w bezściółkowym systemie utrzymania z</w:t>
      </w:r>
      <w:r w:rsidR="00B425B8">
        <w:rPr>
          <w:rFonts w:cstheme="minorHAnsi"/>
          <w:szCs w:val="28"/>
        </w:rPr>
        <w:t> </w:t>
      </w:r>
      <w:r w:rsidR="00B425B8" w:rsidRPr="00B425B8">
        <w:rPr>
          <w:rFonts w:cstheme="minorHAnsi"/>
          <w:szCs w:val="28"/>
        </w:rPr>
        <w:t>infrastrukturą towarzyszącą: 2 szt. silosów na pasze o poj. ok 27 Mg każdy, 2</w:t>
      </w:r>
      <w:r w:rsidR="00B425B8">
        <w:rPr>
          <w:rFonts w:cstheme="minorHAnsi"/>
          <w:szCs w:val="28"/>
        </w:rPr>
        <w:t> </w:t>
      </w:r>
      <w:r w:rsidR="00B425B8" w:rsidRPr="00B425B8">
        <w:rPr>
          <w:rFonts w:cstheme="minorHAnsi"/>
          <w:szCs w:val="28"/>
        </w:rPr>
        <w:t>szt. silosów na pasze o poj. ok 40 Mg każdy, zbiornik do przechowywania (magazynowania) gnojowicy o poj. nie większej niż 2611 m</w:t>
      </w:r>
      <w:r w:rsidR="00B425B8" w:rsidRPr="00B425B8">
        <w:rPr>
          <w:rFonts w:cstheme="minorHAnsi"/>
          <w:szCs w:val="28"/>
          <w:vertAlign w:val="superscript"/>
        </w:rPr>
        <w:t>3</w:t>
      </w:r>
      <w:r w:rsidR="00B425B8" w:rsidRPr="00B425B8">
        <w:rPr>
          <w:rFonts w:cstheme="minorHAnsi"/>
          <w:szCs w:val="28"/>
        </w:rPr>
        <w:t>, zbiornik przepompowy na gnojowicę o poj. nie większej niż 100 m</w:t>
      </w:r>
      <w:r w:rsidR="00B425B8" w:rsidRPr="00B425B8">
        <w:rPr>
          <w:rFonts w:cstheme="minorHAnsi"/>
          <w:szCs w:val="28"/>
          <w:vertAlign w:val="superscript"/>
        </w:rPr>
        <w:t>3</w:t>
      </w:r>
      <w:r w:rsidR="00B425B8" w:rsidRPr="00B425B8">
        <w:rPr>
          <w:rFonts w:cstheme="minorHAnsi"/>
          <w:szCs w:val="28"/>
        </w:rPr>
        <w:t>, konfiskator na padłe zwierzęta, zbiornik na ścieki socjalno-bytowe o poj. do 10 m</w:t>
      </w:r>
      <w:r w:rsidR="00B425B8" w:rsidRPr="00B425B8">
        <w:rPr>
          <w:rFonts w:cstheme="minorHAnsi"/>
          <w:szCs w:val="28"/>
          <w:vertAlign w:val="superscript"/>
        </w:rPr>
        <w:t>3</w:t>
      </w:r>
      <w:r w:rsidR="00B425B8" w:rsidRPr="00B425B8">
        <w:rPr>
          <w:rFonts w:cstheme="minorHAnsi"/>
          <w:szCs w:val="28"/>
        </w:rPr>
        <w:t>, ujęcie wód podziemnych na terenie działki o nr ewid. 189/2, obręb Kadzewo</w:t>
      </w:r>
      <w:r w:rsidR="00D55CB4">
        <w:rPr>
          <w:rFonts w:cstheme="minorHAnsi"/>
          <w:szCs w:val="28"/>
        </w:rPr>
        <w:t>, która poprzedzona była decyzją o środowiskowych uwarunkowaniach.</w:t>
      </w:r>
    </w:p>
    <w:p w14:paraId="42A0C697" w14:textId="3656D9C4" w:rsidR="00D55CB4" w:rsidRDefault="00D55CB4" w:rsidP="00D55CB4">
      <w:pPr>
        <w:spacing w:after="120"/>
        <w:ind w:firstLine="567"/>
        <w:jc w:val="both"/>
        <w:rPr>
          <w:rFonts w:cstheme="minorHAnsi"/>
          <w:szCs w:val="28"/>
        </w:rPr>
      </w:pPr>
      <w:r>
        <w:rPr>
          <w:rFonts w:cstheme="minorHAnsi"/>
          <w:szCs w:val="28"/>
        </w:rPr>
        <w:t>Z decyzją można zapoznać się w Biuletynie Informacji Publicznej Urzędu Miejskiego w Śremie (</w:t>
      </w:r>
      <w:r w:rsidRPr="00AF319E">
        <w:rPr>
          <w:rFonts w:cstheme="minorHAnsi"/>
          <w:szCs w:val="28"/>
        </w:rPr>
        <w:t>http://umsrem.bip.eur.pl/public/?id=223142</w:t>
      </w:r>
      <w:r>
        <w:rPr>
          <w:rFonts w:cstheme="minorHAnsi"/>
          <w:szCs w:val="28"/>
        </w:rPr>
        <w:t>), a z decyzją oraz dokumentacją sprawy w Urzędzie Miejskim w Śremie, ul. Plac 20 Października 1, biuro nr 34, w godzinach od 7:00 do 15:00.</w:t>
      </w:r>
    </w:p>
    <w:p w14:paraId="75AD5C0F" w14:textId="77777777" w:rsidR="00D55CB4" w:rsidRPr="00D55CB4" w:rsidRDefault="00D55CB4" w:rsidP="00D55CB4">
      <w:pPr>
        <w:spacing w:after="120"/>
        <w:jc w:val="both"/>
        <w:rPr>
          <w:rFonts w:cstheme="minorHAnsi"/>
          <w:szCs w:val="28"/>
        </w:rPr>
      </w:pPr>
    </w:p>
    <w:p w14:paraId="0BBC57FE" w14:textId="77777777" w:rsidR="00B425B8" w:rsidRPr="00B425B8" w:rsidRDefault="00B425B8" w:rsidP="00B425B8">
      <w:pPr>
        <w:spacing w:after="120"/>
        <w:ind w:left="4395"/>
        <w:jc w:val="center"/>
        <w:rPr>
          <w:rFonts w:eastAsia="Times New Roman" w:cstheme="minorHAnsi"/>
          <w:szCs w:val="36"/>
        </w:rPr>
      </w:pPr>
      <w:r w:rsidRPr="00B425B8">
        <w:rPr>
          <w:rFonts w:eastAsia="Times New Roman" w:cstheme="minorHAnsi"/>
          <w:szCs w:val="36"/>
        </w:rPr>
        <w:t>z up. BURMISTRZA</w:t>
      </w:r>
    </w:p>
    <w:p w14:paraId="53887467" w14:textId="77777777" w:rsidR="00B425B8" w:rsidRPr="00B425B8" w:rsidRDefault="00B425B8" w:rsidP="00B425B8">
      <w:pPr>
        <w:spacing w:after="120"/>
        <w:ind w:left="4395"/>
        <w:jc w:val="center"/>
        <w:rPr>
          <w:rFonts w:eastAsia="Times New Roman" w:cstheme="minorHAnsi"/>
          <w:szCs w:val="36"/>
        </w:rPr>
      </w:pPr>
      <w:r w:rsidRPr="00B425B8">
        <w:rPr>
          <w:rFonts w:eastAsia="Times New Roman" w:cstheme="minorHAnsi"/>
          <w:szCs w:val="36"/>
        </w:rPr>
        <w:t>Bartosz Żeleźny</w:t>
      </w:r>
    </w:p>
    <w:p w14:paraId="3946B516" w14:textId="34E6780C" w:rsidR="00D55CB4" w:rsidRDefault="00B425B8" w:rsidP="00B425B8">
      <w:pPr>
        <w:spacing w:after="120"/>
        <w:ind w:left="4395"/>
        <w:jc w:val="center"/>
        <w:rPr>
          <w:rFonts w:eastAsia="Times New Roman" w:cstheme="minorHAnsi"/>
          <w:szCs w:val="36"/>
        </w:rPr>
      </w:pPr>
      <w:r w:rsidRPr="00B425B8">
        <w:rPr>
          <w:rFonts w:eastAsia="Times New Roman" w:cstheme="minorHAnsi"/>
          <w:szCs w:val="36"/>
        </w:rPr>
        <w:t>Zastępca Burmistrza</w:t>
      </w:r>
    </w:p>
    <w:p w14:paraId="0E091B68" w14:textId="77777777" w:rsidR="00D55CB4" w:rsidRDefault="00D55CB4" w:rsidP="00D55CB4">
      <w:pPr>
        <w:spacing w:after="120"/>
        <w:rPr>
          <w:rFonts w:eastAsia="Times New Roman" w:cstheme="minorHAnsi"/>
          <w:szCs w:val="36"/>
        </w:rPr>
      </w:pPr>
    </w:p>
    <w:p w14:paraId="0E6D17E3" w14:textId="0BC15BB6" w:rsidR="00D55CB4" w:rsidRPr="006A1681" w:rsidRDefault="00D55CB4" w:rsidP="00D55CB4">
      <w:pPr>
        <w:spacing w:after="120"/>
        <w:rPr>
          <w:rFonts w:eastAsia="Times New Roman" w:cstheme="minorHAnsi"/>
          <w:szCs w:val="36"/>
        </w:rPr>
      </w:pPr>
      <w:r w:rsidRPr="006A1681">
        <w:rPr>
          <w:rFonts w:eastAsia="Times New Roman" w:cstheme="minorHAnsi"/>
          <w:szCs w:val="36"/>
        </w:rPr>
        <w:t xml:space="preserve">Wywieszono: </w:t>
      </w:r>
      <w:r w:rsidR="00B425B8">
        <w:rPr>
          <w:rFonts w:eastAsia="Times New Roman" w:cstheme="minorHAnsi"/>
          <w:szCs w:val="36"/>
        </w:rPr>
        <w:t xml:space="preserve">… </w:t>
      </w:r>
      <w:r w:rsidR="00292521">
        <w:rPr>
          <w:rFonts w:eastAsia="Times New Roman" w:cstheme="minorHAnsi"/>
          <w:szCs w:val="36"/>
        </w:rPr>
        <w:t>.0</w:t>
      </w:r>
      <w:r w:rsidR="00B425B8">
        <w:rPr>
          <w:rFonts w:eastAsia="Times New Roman" w:cstheme="minorHAnsi"/>
          <w:szCs w:val="36"/>
        </w:rPr>
        <w:t>7</w:t>
      </w:r>
      <w:r w:rsidR="00292521">
        <w:rPr>
          <w:rFonts w:eastAsia="Times New Roman" w:cstheme="minorHAnsi"/>
          <w:szCs w:val="36"/>
        </w:rPr>
        <w:t>.2023 r.</w:t>
      </w:r>
    </w:p>
    <w:p w14:paraId="0A3A0E4C" w14:textId="77777777" w:rsidR="00D55CB4" w:rsidRPr="006A1681" w:rsidRDefault="00D55CB4" w:rsidP="00D55CB4">
      <w:pPr>
        <w:spacing w:after="120"/>
        <w:rPr>
          <w:rFonts w:eastAsia="Times New Roman" w:cstheme="minorHAnsi"/>
          <w:szCs w:val="36"/>
        </w:rPr>
      </w:pPr>
      <w:r w:rsidRPr="006A1681">
        <w:rPr>
          <w:rFonts w:eastAsia="Times New Roman" w:cstheme="minorHAnsi"/>
          <w:szCs w:val="36"/>
        </w:rPr>
        <w:t>Zdjęto: ……………………………..</w:t>
      </w:r>
    </w:p>
    <w:p w14:paraId="7D7E00E9" w14:textId="77777777" w:rsidR="000C3CF3" w:rsidRDefault="000C3CF3" w:rsidP="000C3CF3">
      <w:pPr>
        <w:jc w:val="both"/>
        <w:rPr>
          <w:rFonts w:cs="Calibri"/>
          <w:bCs/>
          <w:szCs w:val="28"/>
          <w:vertAlign w:val="superscript"/>
        </w:rPr>
      </w:pPr>
    </w:p>
    <w:p w14:paraId="34DC1799" w14:textId="701CB647" w:rsidR="006717DC" w:rsidRDefault="000C3CF3" w:rsidP="000C3CF3">
      <w:pPr>
        <w:jc w:val="both"/>
        <w:rPr>
          <w:rFonts w:cs="Calibri"/>
          <w:bCs/>
          <w:szCs w:val="28"/>
        </w:rPr>
      </w:pPr>
      <w:r w:rsidRPr="000C3CF3">
        <w:rPr>
          <w:rFonts w:cs="Calibri"/>
          <w:bCs/>
          <w:szCs w:val="28"/>
          <w:vertAlign w:val="superscript"/>
        </w:rPr>
        <w:t>1</w:t>
      </w:r>
      <w:r>
        <w:rPr>
          <w:rFonts w:cs="Calibri"/>
          <w:bCs/>
          <w:szCs w:val="28"/>
        </w:rPr>
        <w:t xml:space="preserve"> Podstawa prawna: </w:t>
      </w:r>
      <w:r w:rsidRPr="000C3CF3">
        <w:rPr>
          <w:rFonts w:cs="Calibri"/>
          <w:bCs/>
          <w:szCs w:val="28"/>
        </w:rPr>
        <w:t>art. 66a ustawy z dnia 27 marca 2003 r. o planowaniu i</w:t>
      </w:r>
      <w:r>
        <w:rPr>
          <w:rFonts w:cs="Calibri"/>
          <w:bCs/>
          <w:szCs w:val="28"/>
        </w:rPr>
        <w:t> </w:t>
      </w:r>
      <w:r w:rsidRPr="000C3CF3">
        <w:rPr>
          <w:rFonts w:cs="Calibri"/>
          <w:bCs/>
          <w:szCs w:val="28"/>
        </w:rPr>
        <w:t>zagospodarowaniu przestrzennym (</w:t>
      </w:r>
      <w:r w:rsidR="00B425B8" w:rsidRPr="00B425B8">
        <w:rPr>
          <w:rFonts w:cs="Calibri"/>
          <w:bCs/>
          <w:szCs w:val="28"/>
        </w:rPr>
        <w:t>Dz. U. z 2023 r. poz. 977</w:t>
      </w:r>
      <w:r w:rsidRPr="000C3CF3">
        <w:rPr>
          <w:rFonts w:cs="Calibri"/>
          <w:bCs/>
          <w:szCs w:val="28"/>
        </w:rPr>
        <w:t>)</w:t>
      </w:r>
      <w:r>
        <w:rPr>
          <w:rFonts w:cs="Calibri"/>
          <w:bCs/>
          <w:szCs w:val="28"/>
        </w:rPr>
        <w:t>.</w:t>
      </w:r>
      <w:r w:rsidR="006717DC">
        <w:rPr>
          <w:rFonts w:cs="Calibri"/>
          <w:bCs/>
          <w:szCs w:val="28"/>
        </w:rPr>
        <w:br w:type="page"/>
      </w:r>
    </w:p>
    <w:p w14:paraId="1F16D5A4" w14:textId="55B8FD59" w:rsidR="006717DC" w:rsidRPr="00CF716F" w:rsidRDefault="006717DC" w:rsidP="00CF1D73">
      <w:pPr>
        <w:widowControl w:val="0"/>
        <w:autoSpaceDE w:val="0"/>
        <w:autoSpaceDN w:val="0"/>
        <w:adjustRightInd w:val="0"/>
        <w:ind w:right="4960"/>
        <w:jc w:val="center"/>
        <w:rPr>
          <w:rFonts w:cs="Calibri"/>
          <w:bCs/>
          <w:szCs w:val="28"/>
        </w:rPr>
      </w:pPr>
      <w:r w:rsidRPr="00CF716F">
        <w:rPr>
          <w:rFonts w:cs="Calibri"/>
          <w:bCs/>
          <w:szCs w:val="28"/>
        </w:rPr>
        <w:lastRenderedPageBreak/>
        <w:t>Burmistrz Śremu</w:t>
      </w:r>
    </w:p>
    <w:p w14:paraId="4A0EC114" w14:textId="77777777" w:rsidR="006717DC" w:rsidRPr="00CF716F" w:rsidRDefault="006717DC" w:rsidP="00CF1D73">
      <w:pPr>
        <w:widowControl w:val="0"/>
        <w:autoSpaceDE w:val="0"/>
        <w:autoSpaceDN w:val="0"/>
        <w:adjustRightInd w:val="0"/>
        <w:ind w:right="4960"/>
        <w:jc w:val="center"/>
        <w:rPr>
          <w:rFonts w:cs="Calibri"/>
          <w:bCs/>
          <w:szCs w:val="28"/>
        </w:rPr>
      </w:pPr>
      <w:r w:rsidRPr="00CF716F">
        <w:rPr>
          <w:rFonts w:cs="Calibri"/>
          <w:bCs/>
          <w:szCs w:val="28"/>
        </w:rPr>
        <w:t>ul. Plac 20 Października 1</w:t>
      </w:r>
    </w:p>
    <w:p w14:paraId="33120790" w14:textId="77777777" w:rsidR="006717DC" w:rsidRPr="00CF1D73" w:rsidRDefault="006717DC" w:rsidP="00CF1D73">
      <w:pPr>
        <w:widowControl w:val="0"/>
        <w:autoSpaceDE w:val="0"/>
        <w:autoSpaceDN w:val="0"/>
        <w:adjustRightInd w:val="0"/>
        <w:ind w:right="4960"/>
        <w:jc w:val="center"/>
        <w:rPr>
          <w:rFonts w:cs="Calibri"/>
          <w:bCs/>
          <w:szCs w:val="28"/>
        </w:rPr>
      </w:pPr>
      <w:r w:rsidRPr="00CF716F">
        <w:rPr>
          <w:rFonts w:cs="Calibri"/>
          <w:bCs/>
          <w:szCs w:val="28"/>
        </w:rPr>
        <w:t>63 – 100 Śrem</w:t>
      </w:r>
    </w:p>
    <w:p w14:paraId="30AED0F4" w14:textId="77777777" w:rsidR="00B425B8" w:rsidRPr="00B425B8" w:rsidRDefault="00B425B8" w:rsidP="00B425B8">
      <w:pPr>
        <w:spacing w:after="120"/>
        <w:ind w:left="567"/>
        <w:jc w:val="right"/>
        <w:rPr>
          <w:rFonts w:eastAsia="Calibri" w:cs="Calibri"/>
          <w:szCs w:val="28"/>
        </w:rPr>
      </w:pPr>
      <w:r w:rsidRPr="00B425B8">
        <w:rPr>
          <w:rFonts w:eastAsia="Calibri" w:cs="Calibri"/>
          <w:szCs w:val="28"/>
        </w:rPr>
        <w:t>Śrem, 5 lipca 2023 roku</w:t>
      </w:r>
    </w:p>
    <w:p w14:paraId="3D92E187" w14:textId="77777777" w:rsidR="00B425B8" w:rsidRPr="00B425B8" w:rsidRDefault="00B425B8" w:rsidP="00B425B8">
      <w:pPr>
        <w:spacing w:after="120"/>
        <w:jc w:val="both"/>
        <w:rPr>
          <w:rFonts w:eastAsia="Calibri" w:cs="Calibri"/>
          <w:szCs w:val="28"/>
        </w:rPr>
      </w:pPr>
      <w:r w:rsidRPr="00B425B8">
        <w:rPr>
          <w:rFonts w:eastAsia="Calibri" w:cs="Calibri"/>
          <w:szCs w:val="28"/>
        </w:rPr>
        <w:t>PPSPP.6730.63.2023.GMON</w:t>
      </w:r>
    </w:p>
    <w:p w14:paraId="46E2DD6C" w14:textId="77777777" w:rsidR="00B425B8" w:rsidRPr="00B425B8" w:rsidRDefault="00B425B8" w:rsidP="00B425B8">
      <w:pPr>
        <w:spacing w:after="120"/>
        <w:jc w:val="center"/>
        <w:rPr>
          <w:rFonts w:eastAsia="Calibri" w:cs="Calibri"/>
          <w:szCs w:val="28"/>
        </w:rPr>
      </w:pPr>
      <w:r w:rsidRPr="00B425B8">
        <w:rPr>
          <w:rFonts w:eastAsia="Calibri" w:cs="Calibri"/>
          <w:szCs w:val="28"/>
        </w:rPr>
        <w:t>Decyzja nr 54/2023</w:t>
      </w:r>
      <w:r w:rsidRPr="00B425B8">
        <w:rPr>
          <w:rFonts w:eastAsia="Calibri" w:cs="Calibri"/>
          <w:szCs w:val="28"/>
        </w:rPr>
        <w:br/>
        <w:t xml:space="preserve"> o warunkach zabudowy</w:t>
      </w:r>
    </w:p>
    <w:p w14:paraId="085548DC" w14:textId="77777777" w:rsidR="00B425B8" w:rsidRPr="00B425B8" w:rsidRDefault="00B425B8" w:rsidP="00B425B8">
      <w:pPr>
        <w:spacing w:after="120"/>
        <w:jc w:val="center"/>
        <w:rPr>
          <w:rFonts w:eastAsia="Calibri" w:cs="Calibri"/>
          <w:szCs w:val="28"/>
        </w:rPr>
      </w:pPr>
    </w:p>
    <w:p w14:paraId="4AD8E47B"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Na podstawie art. 4 ust. 2 pkt 2 w związku z art. 59 ust. 1, ust. 2, art. 60 ust. 1 i ust. 1a ustawy z dnia 27 marca 2003 r. o planowaniu i zagospodarowaniu przestrzennym (Dz. U. z 2023 r. poz. 977), zwanej dalej u.p.z.p., oraz art. 104 ustawy z dnia 14 czerwca 1960 r. – Kodeks postępowania administracyjnego (Dz. U. z 2023 r. poz. 775 i 803), po rozpatrzeniu wniosku złożonego 06.04.2023 r., zmienionego 26.06.2023 r., przez:</w:t>
      </w:r>
    </w:p>
    <w:p w14:paraId="7DC2243D" w14:textId="77777777" w:rsidR="00B425B8" w:rsidRPr="00B425B8" w:rsidRDefault="00B425B8" w:rsidP="00B425B8">
      <w:pPr>
        <w:spacing w:after="120"/>
        <w:jc w:val="center"/>
        <w:rPr>
          <w:rFonts w:eastAsia="Calibri" w:cs="Calibri"/>
          <w:szCs w:val="28"/>
        </w:rPr>
      </w:pPr>
      <w:r w:rsidRPr="00B425B8">
        <w:rPr>
          <w:rFonts w:eastAsia="Calibri" w:cs="Calibri"/>
          <w:szCs w:val="28"/>
        </w:rPr>
        <w:t>Pana Piotra Jędrzejczaka</w:t>
      </w:r>
    </w:p>
    <w:p w14:paraId="1BF52509" w14:textId="77777777" w:rsidR="00B425B8" w:rsidRPr="00B425B8" w:rsidRDefault="00B425B8" w:rsidP="00B425B8">
      <w:pPr>
        <w:spacing w:after="120"/>
        <w:jc w:val="both"/>
        <w:rPr>
          <w:rFonts w:eastAsia="Calibri" w:cs="Calibri"/>
          <w:iCs/>
          <w:color w:val="FF0000"/>
          <w:sz w:val="24"/>
          <w:szCs w:val="24"/>
        </w:rPr>
      </w:pPr>
      <w:r w:rsidRPr="00B425B8">
        <w:rPr>
          <w:rFonts w:eastAsia="Calibri" w:cs="Calibri"/>
          <w:szCs w:val="28"/>
        </w:rPr>
        <w:t>w sprawie ustalenia warunków zabudowy dla przedsięwzięcia polegającego na</w:t>
      </w:r>
      <w:r w:rsidRPr="00B425B8">
        <w:rPr>
          <w:rFonts w:eastAsia="Calibri" w:cs="Calibri"/>
        </w:rPr>
        <w:t xml:space="preserve"> budowie budynku inwentarskiego do chowu trzody chlewnej w bezściółkowym systemie utrzymania z infrastrukturą towarzyszącą: 2 szt. silosów na pasze o poj. ok 27 Mg każdy, 2 szt. silosów na pasze o poj. ok 40 Mg każdy, zbiornik do przechowywania (magazynowania) gnojowicy o poj. nie większej niż 2611 m</w:t>
      </w:r>
      <w:r w:rsidRPr="00B425B8">
        <w:rPr>
          <w:rFonts w:eastAsia="Calibri" w:cs="Calibri"/>
          <w:vertAlign w:val="superscript"/>
        </w:rPr>
        <w:t>3</w:t>
      </w:r>
      <w:r w:rsidRPr="00B425B8">
        <w:rPr>
          <w:rFonts w:eastAsia="Calibri" w:cs="Calibri"/>
        </w:rPr>
        <w:t>, zbiornik przepompowy na gnojowicę o poj. nie większej niż 100 m</w:t>
      </w:r>
      <w:r w:rsidRPr="00B425B8">
        <w:rPr>
          <w:rFonts w:eastAsia="Calibri" w:cs="Calibri"/>
          <w:vertAlign w:val="superscript"/>
        </w:rPr>
        <w:t>3</w:t>
      </w:r>
      <w:r w:rsidRPr="00B425B8">
        <w:rPr>
          <w:rFonts w:eastAsia="Calibri" w:cs="Calibri"/>
        </w:rPr>
        <w:t>, konfiskator na padłe zwierzęta, zbiornik na ścieki socjalno-bytowe o poj. do 10 m</w:t>
      </w:r>
      <w:r w:rsidRPr="00B425B8">
        <w:rPr>
          <w:rFonts w:eastAsia="Calibri" w:cs="Calibri"/>
          <w:vertAlign w:val="superscript"/>
        </w:rPr>
        <w:t>3</w:t>
      </w:r>
      <w:r w:rsidRPr="00B425B8">
        <w:rPr>
          <w:rFonts w:eastAsia="Calibri" w:cs="Calibri"/>
        </w:rPr>
        <w:t>, ujęcie wód podziemnych na terenie działki o nr ewid. 189/2, obręb Kadzewo</w:t>
      </w:r>
      <w:r w:rsidRPr="00B425B8">
        <w:rPr>
          <w:rFonts w:eastAsia="Calibri" w:cs="Calibri"/>
          <w:szCs w:val="28"/>
        </w:rPr>
        <w:t>,</w:t>
      </w:r>
    </w:p>
    <w:p w14:paraId="269A7AE6" w14:textId="77777777" w:rsidR="00B425B8" w:rsidRPr="00B425B8" w:rsidRDefault="00B425B8" w:rsidP="00B425B8">
      <w:pPr>
        <w:spacing w:after="120"/>
        <w:jc w:val="center"/>
        <w:rPr>
          <w:rFonts w:eastAsia="Calibri" w:cs="Calibri"/>
          <w:szCs w:val="28"/>
        </w:rPr>
      </w:pPr>
      <w:r w:rsidRPr="00B425B8">
        <w:rPr>
          <w:rFonts w:eastAsia="Calibri" w:cs="Calibri"/>
          <w:szCs w:val="28"/>
        </w:rPr>
        <w:t>ustalam</w:t>
      </w:r>
      <w:r w:rsidRPr="00B425B8">
        <w:rPr>
          <w:rFonts w:eastAsia="Calibri" w:cs="Calibri"/>
          <w:szCs w:val="28"/>
        </w:rPr>
        <w:br/>
        <w:t xml:space="preserve"> na rzecz Wnioskodawcy</w:t>
      </w:r>
      <w:r w:rsidRPr="00B425B8">
        <w:rPr>
          <w:rFonts w:eastAsia="Calibri" w:cs="Calibri"/>
          <w:szCs w:val="28"/>
        </w:rPr>
        <w:br/>
        <w:t xml:space="preserve"> następujące warunki zabudowy i zagospodarowania terenu:</w:t>
      </w:r>
    </w:p>
    <w:p w14:paraId="0F699EFA" w14:textId="77777777" w:rsidR="00B425B8" w:rsidRPr="00B425B8" w:rsidRDefault="00B425B8" w:rsidP="00B425B8">
      <w:pPr>
        <w:numPr>
          <w:ilvl w:val="0"/>
          <w:numId w:val="14"/>
        </w:numPr>
        <w:tabs>
          <w:tab w:val="left" w:pos="426"/>
        </w:tabs>
        <w:spacing w:after="120"/>
        <w:ind w:left="414" w:hanging="357"/>
        <w:contextualSpacing/>
        <w:jc w:val="both"/>
        <w:rPr>
          <w:rFonts w:eastAsia="Calibri" w:cs="Calibri"/>
          <w:szCs w:val="28"/>
        </w:rPr>
      </w:pPr>
      <w:r w:rsidRPr="00B425B8">
        <w:rPr>
          <w:rFonts w:eastAsia="Calibri" w:cs="Calibri"/>
          <w:szCs w:val="28"/>
        </w:rPr>
        <w:t>Opis inwestycji:</w:t>
      </w:r>
    </w:p>
    <w:p w14:paraId="620492FE" w14:textId="77777777" w:rsidR="00B425B8" w:rsidRPr="00B425B8" w:rsidRDefault="00B425B8" w:rsidP="00B425B8">
      <w:pPr>
        <w:numPr>
          <w:ilvl w:val="0"/>
          <w:numId w:val="1"/>
        </w:numPr>
        <w:tabs>
          <w:tab w:val="left" w:pos="567"/>
        </w:tabs>
        <w:spacing w:after="120"/>
        <w:ind w:left="567"/>
        <w:contextualSpacing/>
        <w:jc w:val="both"/>
        <w:rPr>
          <w:rFonts w:eastAsia="Calibri" w:cs="Calibri"/>
          <w:szCs w:val="28"/>
        </w:rPr>
      </w:pPr>
      <w:r w:rsidRPr="00B425B8">
        <w:rPr>
          <w:rFonts w:eastAsia="Calibri" w:cs="Calibri"/>
          <w:szCs w:val="28"/>
        </w:rPr>
        <w:t>rodzaj: budynek inwentarski z niezbędną infrastrukturą towarzyszącą, w tym: cztery silosy paszowe, naziemny zbiornik na gnojowicę, zbiornik przepompowy na gnojowicę, konfiskator na padłe zwierzęta, zbiornik na ścieki socjalno-bytowe oraz ujęcie wód podziemnych;</w:t>
      </w:r>
    </w:p>
    <w:p w14:paraId="648800A0" w14:textId="77777777" w:rsidR="00B425B8" w:rsidRPr="00B425B8" w:rsidRDefault="00B425B8" w:rsidP="00B425B8">
      <w:pPr>
        <w:numPr>
          <w:ilvl w:val="0"/>
          <w:numId w:val="1"/>
        </w:numPr>
        <w:tabs>
          <w:tab w:val="left" w:pos="567"/>
        </w:tabs>
        <w:spacing w:after="120"/>
        <w:ind w:left="567"/>
        <w:contextualSpacing/>
        <w:jc w:val="both"/>
        <w:rPr>
          <w:rFonts w:eastAsia="Calibri" w:cs="Calibri"/>
          <w:szCs w:val="28"/>
        </w:rPr>
      </w:pPr>
      <w:r w:rsidRPr="00B425B8">
        <w:rPr>
          <w:rFonts w:eastAsia="Calibri" w:cs="Calibri"/>
          <w:szCs w:val="28"/>
        </w:rPr>
        <w:t>lokalizacja: działka o nr ewid. 189/2, obręb Kadzewo, zgodnie z liniami rozgraniczającymi teren inwestycji wyznaczonymi na mapie, stanowiącej załącznik nr 1 do decyzji;</w:t>
      </w:r>
    </w:p>
    <w:p w14:paraId="508CD89C" w14:textId="77777777" w:rsidR="00B425B8" w:rsidRPr="00B425B8" w:rsidRDefault="00B425B8" w:rsidP="00B425B8">
      <w:pPr>
        <w:numPr>
          <w:ilvl w:val="0"/>
          <w:numId w:val="1"/>
        </w:numPr>
        <w:tabs>
          <w:tab w:val="left" w:pos="567"/>
        </w:tabs>
        <w:spacing w:after="120"/>
        <w:ind w:left="567"/>
        <w:contextualSpacing/>
        <w:jc w:val="both"/>
        <w:rPr>
          <w:rFonts w:eastAsia="Calibri" w:cs="Calibri"/>
          <w:szCs w:val="28"/>
        </w:rPr>
      </w:pPr>
      <w:r w:rsidRPr="00B425B8">
        <w:rPr>
          <w:rFonts w:eastAsia="Calibri" w:cs="Calibri"/>
          <w:szCs w:val="28"/>
        </w:rPr>
        <w:t>funkcja zabudowy i zagospodarowania terenu: rolnicza, w tym zabudowa zagrodowa.</w:t>
      </w:r>
    </w:p>
    <w:p w14:paraId="465EB462" w14:textId="77777777" w:rsidR="00B425B8" w:rsidRPr="00B425B8" w:rsidRDefault="00B425B8" w:rsidP="00B425B8">
      <w:pPr>
        <w:numPr>
          <w:ilvl w:val="0"/>
          <w:numId w:val="14"/>
        </w:numPr>
        <w:tabs>
          <w:tab w:val="left" w:pos="426"/>
        </w:tabs>
        <w:spacing w:after="120"/>
        <w:ind w:left="414" w:hanging="357"/>
        <w:contextualSpacing/>
        <w:jc w:val="both"/>
        <w:rPr>
          <w:rFonts w:eastAsia="Calibri" w:cs="Calibri"/>
          <w:szCs w:val="28"/>
        </w:rPr>
      </w:pPr>
      <w:r w:rsidRPr="00B425B8">
        <w:rPr>
          <w:rFonts w:eastAsia="Calibri" w:cs="Calibri"/>
          <w:szCs w:val="28"/>
        </w:rPr>
        <w:lastRenderedPageBreak/>
        <w:t>Warunki i szczegółowe zasady zagospodarowania terenu oraz jego zabudowy wynikające z przepisów odrębnych w zakresie:</w:t>
      </w:r>
    </w:p>
    <w:p w14:paraId="3A3AFA07" w14:textId="77777777" w:rsidR="00B425B8" w:rsidRPr="00B425B8" w:rsidRDefault="00B425B8" w:rsidP="00B425B8">
      <w:pPr>
        <w:numPr>
          <w:ilvl w:val="0"/>
          <w:numId w:val="2"/>
        </w:numPr>
        <w:tabs>
          <w:tab w:val="left" w:pos="567"/>
        </w:tabs>
        <w:spacing w:after="120"/>
        <w:ind w:left="567"/>
        <w:contextualSpacing/>
        <w:jc w:val="both"/>
        <w:rPr>
          <w:rFonts w:eastAsia="Calibri" w:cs="Calibri"/>
          <w:szCs w:val="28"/>
        </w:rPr>
      </w:pPr>
      <w:r w:rsidRPr="00B425B8">
        <w:rPr>
          <w:rFonts w:eastAsia="Calibri" w:cs="Calibri"/>
          <w:szCs w:val="28"/>
        </w:rPr>
        <w:t>warunków i wymagań ochrony i kształtowania ładu przestrzennego:</w:t>
      </w:r>
    </w:p>
    <w:p w14:paraId="0396C400"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 xml:space="preserve">linia zabudowy: wyznaczona jako nieprzekraczalna i oznaczająca linię wyznaczającą najmniejszą odległość, w której mogą być zlokalizowane obiekty budowlane, wzdłuż istniejącego na działce budynku mieszkalnego jednorodzinnego, zgodnie z załącznikiem nr 1 do decyzji, </w:t>
      </w:r>
    </w:p>
    <w:p w14:paraId="49E9E53A"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wskaźnik powierzchni zabudowy (istniejącej i projektowanej)</w:t>
      </w:r>
      <w:r w:rsidRPr="00B425B8">
        <w:rPr>
          <w:rFonts w:eastAsia="Calibri" w:cs="Calibri"/>
          <w:szCs w:val="28"/>
          <w:vertAlign w:val="superscript"/>
        </w:rPr>
        <w:footnoteReference w:id="1"/>
      </w:r>
      <w:r w:rsidRPr="00B425B8">
        <w:rPr>
          <w:rFonts w:eastAsia="Calibri" w:cs="Calibri"/>
          <w:szCs w:val="28"/>
        </w:rPr>
        <w:t>: od 11,5 % do 18,0 % powierzchni terenu,</w:t>
      </w:r>
    </w:p>
    <w:p w14:paraId="2D0BC8E0"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powierzchnia biologicznie czynna: nie mniej niż 50 % powierzchni terenu,</w:t>
      </w:r>
    </w:p>
    <w:p w14:paraId="3825F4F2"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parametry budynku inwentarskiego:</w:t>
      </w:r>
    </w:p>
    <w:p w14:paraId="2332AAE7" w14:textId="77777777" w:rsidR="00B425B8" w:rsidRPr="00B425B8" w:rsidRDefault="00B425B8" w:rsidP="00B425B8">
      <w:pPr>
        <w:numPr>
          <w:ilvl w:val="0"/>
          <w:numId w:val="20"/>
        </w:numPr>
        <w:spacing w:after="120"/>
        <w:ind w:left="993"/>
        <w:contextualSpacing/>
        <w:jc w:val="both"/>
        <w:rPr>
          <w:rFonts w:eastAsia="Calibri" w:cs="Calibri"/>
          <w:szCs w:val="28"/>
        </w:rPr>
      </w:pPr>
      <w:r w:rsidRPr="00B425B8">
        <w:rPr>
          <w:rFonts w:eastAsia="Calibri" w:cs="Calibri"/>
          <w:szCs w:val="28"/>
        </w:rPr>
        <w:t>szerokość elewacji frontowej</w:t>
      </w:r>
      <w:r w:rsidRPr="00B425B8">
        <w:rPr>
          <w:rFonts w:eastAsia="Calibri" w:cs="Calibri"/>
          <w:szCs w:val="28"/>
          <w:vertAlign w:val="superscript"/>
        </w:rPr>
        <w:footnoteReference w:id="2"/>
      </w:r>
      <w:r w:rsidRPr="00B425B8">
        <w:rPr>
          <w:rFonts w:eastAsia="Calibri" w:cs="Calibri"/>
          <w:szCs w:val="28"/>
        </w:rPr>
        <w:t xml:space="preserve"> budynku: od 19,5 m do 21,5 m,</w:t>
      </w:r>
    </w:p>
    <w:p w14:paraId="69D3223A" w14:textId="77777777" w:rsidR="00B425B8" w:rsidRPr="00B425B8" w:rsidRDefault="00B425B8" w:rsidP="00B425B8">
      <w:pPr>
        <w:numPr>
          <w:ilvl w:val="0"/>
          <w:numId w:val="20"/>
        </w:numPr>
        <w:spacing w:after="120"/>
        <w:ind w:left="993"/>
        <w:contextualSpacing/>
        <w:jc w:val="both"/>
        <w:rPr>
          <w:rFonts w:eastAsia="Calibri" w:cs="Calibri"/>
          <w:szCs w:val="28"/>
        </w:rPr>
      </w:pPr>
      <w:r w:rsidRPr="00B425B8">
        <w:rPr>
          <w:rFonts w:eastAsia="Calibri" w:cs="Calibri"/>
          <w:szCs w:val="28"/>
        </w:rPr>
        <w:t>wysokość górnej krawędzi elewacji frontowej budynku: od 5,0 m do 6,5 m,</w:t>
      </w:r>
    </w:p>
    <w:p w14:paraId="63D501C1" w14:textId="77777777" w:rsidR="00B425B8" w:rsidRPr="00B425B8" w:rsidRDefault="00B425B8" w:rsidP="00B425B8">
      <w:pPr>
        <w:numPr>
          <w:ilvl w:val="0"/>
          <w:numId w:val="20"/>
        </w:numPr>
        <w:spacing w:after="120"/>
        <w:ind w:left="993"/>
        <w:contextualSpacing/>
        <w:jc w:val="both"/>
        <w:rPr>
          <w:rFonts w:eastAsia="Calibri" w:cs="Calibri"/>
          <w:szCs w:val="28"/>
        </w:rPr>
      </w:pPr>
      <w:r w:rsidRPr="00B425B8">
        <w:rPr>
          <w:rFonts w:eastAsia="Calibri" w:cs="Calibri"/>
          <w:szCs w:val="28"/>
        </w:rPr>
        <w:t>liczba kondygnacji nadziemnych: 1,</w:t>
      </w:r>
    </w:p>
    <w:p w14:paraId="7DB13E86" w14:textId="77777777" w:rsidR="00B425B8" w:rsidRPr="00B425B8" w:rsidRDefault="00B425B8" w:rsidP="00B425B8">
      <w:pPr>
        <w:numPr>
          <w:ilvl w:val="0"/>
          <w:numId w:val="20"/>
        </w:numPr>
        <w:spacing w:after="120"/>
        <w:ind w:left="993"/>
        <w:contextualSpacing/>
        <w:jc w:val="both"/>
        <w:rPr>
          <w:rFonts w:eastAsia="Calibri" w:cs="Calibri"/>
          <w:szCs w:val="28"/>
        </w:rPr>
      </w:pPr>
      <w:r w:rsidRPr="00B425B8">
        <w:rPr>
          <w:rFonts w:eastAsia="Calibri" w:cs="Calibri"/>
          <w:szCs w:val="28"/>
        </w:rPr>
        <w:t>geometria dachu:</w:t>
      </w:r>
    </w:p>
    <w:p w14:paraId="13B88CB9" w14:textId="77777777" w:rsidR="00B425B8" w:rsidRPr="00B425B8" w:rsidRDefault="00B425B8" w:rsidP="00B425B8">
      <w:pPr>
        <w:spacing w:after="120"/>
        <w:ind w:left="993"/>
        <w:jc w:val="both"/>
        <w:rPr>
          <w:rFonts w:eastAsia="Calibri" w:cs="Calibri"/>
          <w:szCs w:val="28"/>
        </w:rPr>
      </w:pPr>
      <w:r w:rsidRPr="00B425B8">
        <w:rPr>
          <w:rFonts w:eastAsia="Calibri" w:cs="Calibri"/>
          <w:szCs w:val="28"/>
        </w:rPr>
        <w:t>- - kąt nachylenia głównych połaci dachu: od 10° do 18°,</w:t>
      </w:r>
    </w:p>
    <w:p w14:paraId="29FB5A5E" w14:textId="77777777" w:rsidR="00B425B8" w:rsidRPr="00B425B8" w:rsidRDefault="00B425B8" w:rsidP="00B425B8">
      <w:pPr>
        <w:spacing w:after="120"/>
        <w:ind w:left="993"/>
        <w:jc w:val="both"/>
        <w:rPr>
          <w:rFonts w:eastAsia="Calibri" w:cs="Calibri"/>
          <w:szCs w:val="28"/>
        </w:rPr>
      </w:pPr>
      <w:r w:rsidRPr="00B425B8">
        <w:rPr>
          <w:rFonts w:eastAsia="Calibri" w:cs="Calibri"/>
          <w:szCs w:val="28"/>
        </w:rPr>
        <w:t>- - wysokość głównej kalenicy budynku: od 5,0 m do 6,5 m,</w:t>
      </w:r>
    </w:p>
    <w:p w14:paraId="2AC694BA" w14:textId="77777777" w:rsidR="00B425B8" w:rsidRPr="00B425B8" w:rsidRDefault="00B425B8" w:rsidP="00B425B8">
      <w:pPr>
        <w:spacing w:after="120"/>
        <w:ind w:left="993"/>
        <w:jc w:val="both"/>
        <w:rPr>
          <w:rFonts w:eastAsia="Calibri" w:cs="Calibri"/>
          <w:szCs w:val="28"/>
        </w:rPr>
      </w:pPr>
      <w:r w:rsidRPr="00B425B8">
        <w:rPr>
          <w:rFonts w:eastAsia="Calibri" w:cs="Calibri"/>
          <w:szCs w:val="28"/>
        </w:rPr>
        <w:t>- - układ połaci dachowych: dwuspadowy,</w:t>
      </w:r>
    </w:p>
    <w:p w14:paraId="1F446F7A" w14:textId="77777777" w:rsidR="00B425B8" w:rsidRPr="00B425B8" w:rsidRDefault="00B425B8" w:rsidP="00B425B8">
      <w:pPr>
        <w:spacing w:after="120"/>
        <w:ind w:left="993"/>
        <w:jc w:val="both"/>
        <w:rPr>
          <w:rFonts w:eastAsia="Calibri" w:cs="Calibri"/>
          <w:szCs w:val="28"/>
        </w:rPr>
      </w:pPr>
      <w:r w:rsidRPr="00B425B8">
        <w:rPr>
          <w:rFonts w:eastAsia="Calibri" w:cs="Calibri"/>
          <w:szCs w:val="28"/>
        </w:rPr>
        <w:t>- - kierunek głównej kalenicy dachu: szczytowy,</w:t>
      </w:r>
    </w:p>
    <w:p w14:paraId="1F754EE0"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parametry silosu paszowego:</w:t>
      </w:r>
    </w:p>
    <w:p w14:paraId="725F99A6" w14:textId="77777777" w:rsidR="00B425B8" w:rsidRPr="00B425B8" w:rsidRDefault="00B425B8" w:rsidP="00B425B8">
      <w:pPr>
        <w:numPr>
          <w:ilvl w:val="0"/>
          <w:numId w:val="21"/>
        </w:numPr>
        <w:spacing w:after="120"/>
        <w:ind w:left="993" w:hanging="284"/>
        <w:contextualSpacing/>
        <w:jc w:val="both"/>
        <w:rPr>
          <w:rFonts w:eastAsia="Calibri" w:cs="Calibri"/>
          <w:szCs w:val="28"/>
        </w:rPr>
      </w:pPr>
      <w:r w:rsidRPr="00B425B8">
        <w:rPr>
          <w:rFonts w:eastAsia="Calibri" w:cs="Calibri"/>
          <w:szCs w:val="28"/>
        </w:rPr>
        <w:t>wysokość silosu: od 7,0 m do 13,0 m,</w:t>
      </w:r>
    </w:p>
    <w:p w14:paraId="589670EF" w14:textId="77777777" w:rsidR="00B425B8" w:rsidRPr="00B425B8" w:rsidRDefault="00B425B8" w:rsidP="00B425B8">
      <w:pPr>
        <w:numPr>
          <w:ilvl w:val="0"/>
          <w:numId w:val="21"/>
        </w:numPr>
        <w:spacing w:after="120"/>
        <w:ind w:left="993" w:hanging="284"/>
        <w:contextualSpacing/>
        <w:jc w:val="both"/>
        <w:rPr>
          <w:rFonts w:eastAsia="Calibri" w:cs="Calibri"/>
          <w:szCs w:val="28"/>
        </w:rPr>
      </w:pPr>
      <w:r w:rsidRPr="00B425B8">
        <w:rPr>
          <w:rFonts w:eastAsia="Calibri" w:cs="Calibri"/>
          <w:szCs w:val="28"/>
        </w:rPr>
        <w:t>pojemność silosu: nie większa niż 65 m</w:t>
      </w:r>
      <w:r w:rsidRPr="00B425B8">
        <w:rPr>
          <w:rFonts w:eastAsia="Calibri" w:cs="Calibri"/>
          <w:szCs w:val="28"/>
          <w:vertAlign w:val="superscript"/>
        </w:rPr>
        <w:t>3</w:t>
      </w:r>
      <w:r w:rsidRPr="00B425B8">
        <w:rPr>
          <w:rFonts w:eastAsia="Calibri" w:cs="Calibri"/>
          <w:szCs w:val="28"/>
        </w:rPr>
        <w:t>,</w:t>
      </w:r>
    </w:p>
    <w:p w14:paraId="1E7775F1"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 xml:space="preserve">naziemny zbiornik na gnojowicę </w:t>
      </w:r>
      <w:r w:rsidRPr="00B425B8">
        <w:rPr>
          <w:rFonts w:eastAsia="Calibri" w:cs="Calibri"/>
        </w:rPr>
        <w:t>o pojemności nie większej niż 2611 m</w:t>
      </w:r>
      <w:r w:rsidRPr="00B425B8">
        <w:rPr>
          <w:rFonts w:eastAsia="Calibri" w:cs="Calibri"/>
          <w:vertAlign w:val="superscript"/>
        </w:rPr>
        <w:t>3</w:t>
      </w:r>
      <w:r w:rsidRPr="00B425B8">
        <w:rPr>
          <w:rFonts w:eastAsia="Calibri" w:cs="Calibri"/>
          <w:szCs w:val="28"/>
        </w:rPr>
        <w:t>,</w:t>
      </w:r>
    </w:p>
    <w:p w14:paraId="67F44E5A"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 xml:space="preserve">zbiornik przepompowy na gnojowicę </w:t>
      </w:r>
      <w:r w:rsidRPr="00B425B8">
        <w:rPr>
          <w:rFonts w:eastAsia="Calibri" w:cs="Calibri"/>
        </w:rPr>
        <w:t>o pojemności nie większej niż 100 m</w:t>
      </w:r>
      <w:r w:rsidRPr="00B425B8">
        <w:rPr>
          <w:rFonts w:eastAsia="Calibri" w:cs="Calibri"/>
          <w:vertAlign w:val="superscript"/>
        </w:rPr>
        <w:t>3</w:t>
      </w:r>
      <w:r w:rsidRPr="00B425B8">
        <w:rPr>
          <w:rFonts w:eastAsia="Calibri" w:cs="Calibri"/>
          <w:szCs w:val="28"/>
        </w:rPr>
        <w:t>,</w:t>
      </w:r>
    </w:p>
    <w:p w14:paraId="226ECE8E" w14:textId="77777777" w:rsidR="00B425B8" w:rsidRPr="00B425B8" w:rsidRDefault="00B425B8" w:rsidP="00B425B8">
      <w:pPr>
        <w:numPr>
          <w:ilvl w:val="0"/>
          <w:numId w:val="13"/>
        </w:numPr>
        <w:spacing w:after="120"/>
        <w:contextualSpacing/>
        <w:jc w:val="both"/>
        <w:rPr>
          <w:rFonts w:eastAsia="Calibri" w:cs="Calibri"/>
          <w:szCs w:val="28"/>
        </w:rPr>
      </w:pPr>
      <w:r w:rsidRPr="00B425B8">
        <w:rPr>
          <w:rFonts w:eastAsia="Calibri" w:cs="Calibri"/>
          <w:szCs w:val="28"/>
        </w:rPr>
        <w:t>konfiskator na padłe zwierzęta o powierzchni nie większej niż 6 m</w:t>
      </w:r>
      <w:r w:rsidRPr="00B425B8">
        <w:rPr>
          <w:rFonts w:eastAsia="Calibri" w:cs="Calibri"/>
          <w:szCs w:val="28"/>
          <w:vertAlign w:val="superscript"/>
        </w:rPr>
        <w:t>2</w:t>
      </w:r>
      <w:r w:rsidRPr="00B425B8">
        <w:rPr>
          <w:rFonts w:eastAsia="Calibri" w:cs="Calibri"/>
          <w:szCs w:val="28"/>
        </w:rPr>
        <w:t>;</w:t>
      </w:r>
    </w:p>
    <w:p w14:paraId="0FF6DABB" w14:textId="77777777" w:rsidR="00B425B8" w:rsidRPr="00B425B8" w:rsidRDefault="00B425B8" w:rsidP="00B425B8">
      <w:pPr>
        <w:spacing w:after="120"/>
        <w:ind w:left="720"/>
        <w:contextualSpacing/>
        <w:jc w:val="both"/>
        <w:rPr>
          <w:rFonts w:eastAsia="Calibri" w:cs="Calibri"/>
          <w:szCs w:val="28"/>
        </w:rPr>
      </w:pPr>
    </w:p>
    <w:p w14:paraId="0C31F3CE" w14:textId="77777777" w:rsidR="00B425B8" w:rsidRPr="00B425B8" w:rsidRDefault="00B425B8" w:rsidP="00B425B8">
      <w:pPr>
        <w:numPr>
          <w:ilvl w:val="0"/>
          <w:numId w:val="2"/>
        </w:numPr>
        <w:spacing w:after="120"/>
        <w:ind w:left="567"/>
        <w:contextualSpacing/>
        <w:jc w:val="both"/>
        <w:rPr>
          <w:rFonts w:eastAsia="Calibri" w:cs="Times New Roman"/>
          <w:szCs w:val="28"/>
        </w:rPr>
      </w:pPr>
      <w:r w:rsidRPr="00B425B8">
        <w:rPr>
          <w:rFonts w:eastAsia="Calibri" w:cs="Times New Roman"/>
          <w:szCs w:val="28"/>
        </w:rPr>
        <w:t xml:space="preserve">ochrony środowiska i zdrowia ludzi oraz dziedzictwa kulturowego i zabytków oraz dóbr kultury współczesnej: </w:t>
      </w:r>
    </w:p>
    <w:p w14:paraId="7362DE54" w14:textId="77777777" w:rsidR="00B425B8" w:rsidRPr="00B425B8" w:rsidRDefault="00B425B8" w:rsidP="00B425B8">
      <w:pPr>
        <w:numPr>
          <w:ilvl w:val="0"/>
          <w:numId w:val="22"/>
        </w:numPr>
        <w:spacing w:after="120"/>
        <w:ind w:left="714" w:hanging="357"/>
        <w:contextualSpacing/>
        <w:jc w:val="both"/>
        <w:rPr>
          <w:rFonts w:eastAsia="Calibri" w:cs="Times New Roman"/>
          <w:szCs w:val="28"/>
        </w:rPr>
      </w:pPr>
      <w:r w:rsidRPr="00B425B8">
        <w:rPr>
          <w:rFonts w:eastAsia="Calibri" w:cs="Times New Roman"/>
          <w:szCs w:val="28"/>
        </w:rPr>
        <w:t>konieczność ochrony wód, gleby i ziemi przed zanieczyszczeniem w związku z prowadzeniem gospodarki rolnej: zgodnie z ustaleniami decyzji Burmistrza Śremu o środowiskowych uwarunkowaniach z 03.06.2022 r.,</w:t>
      </w:r>
    </w:p>
    <w:p w14:paraId="32F83B12" w14:textId="77777777" w:rsidR="00B425B8" w:rsidRPr="00B425B8" w:rsidRDefault="00B425B8" w:rsidP="00B425B8">
      <w:pPr>
        <w:numPr>
          <w:ilvl w:val="0"/>
          <w:numId w:val="22"/>
        </w:numPr>
        <w:spacing w:after="120"/>
        <w:ind w:left="714" w:hanging="357"/>
        <w:contextualSpacing/>
        <w:jc w:val="both"/>
        <w:rPr>
          <w:rFonts w:eastAsia="Calibri" w:cs="Times New Roman"/>
          <w:szCs w:val="28"/>
        </w:rPr>
      </w:pPr>
      <w:r w:rsidRPr="00B425B8">
        <w:rPr>
          <w:rFonts w:eastAsia="Calibri" w:cs="Times New Roman"/>
          <w:szCs w:val="28"/>
        </w:rPr>
        <w:t>dla przedmiotowego przedsięwzięcia została wydana przez Burmistrza Śremu decyzja znak PPSOŚ.6220.14.2021.BM z 03.06.2022 r. (ostateczna 24.06.2022 r.) o środowiskowych uwarunkowaniach dla przedsięwzięcia polegającego na rozbudowie gospodarstwa rolnego poprzez budowę budynku inwentarskiego do chowu trzody chlewnej w bezściółkowym systemie utrzymania z niezbędną infrastrukturą techniczną na terenie działki o nr ewid. 189/2, obręb Kadzewo, w ramach której przeprowadzono postępowanie w sprawie oddziaływania na środowisko dla planowanego przedsięwzięcia, ustalono środowiskowe uwarunkowania dla planowanego przedsięwzięcia oraz określono rodzaj i miejsce realizacji przedsięwzięcia, istotne warunki korzystania ze środowiska w fazie realizacji i eksploatacji lub użytkowania przedsięwzięcia, wymagania dotyczące ochrony środowiska,</w:t>
      </w:r>
    </w:p>
    <w:p w14:paraId="77FEF36F" w14:textId="77777777" w:rsidR="00B425B8" w:rsidRPr="00B425B8" w:rsidRDefault="00B425B8" w:rsidP="00B425B8">
      <w:pPr>
        <w:numPr>
          <w:ilvl w:val="0"/>
          <w:numId w:val="22"/>
        </w:numPr>
        <w:spacing w:after="120"/>
        <w:ind w:left="714" w:hanging="357"/>
        <w:contextualSpacing/>
        <w:jc w:val="both"/>
        <w:rPr>
          <w:rFonts w:eastAsia="Calibri" w:cs="Times New Roman"/>
          <w:szCs w:val="28"/>
        </w:rPr>
      </w:pPr>
      <w:r w:rsidRPr="00B425B8">
        <w:rPr>
          <w:rFonts w:eastAsia="Calibri" w:cs="Times New Roman"/>
          <w:szCs w:val="28"/>
        </w:rPr>
        <w:t xml:space="preserve">liczba DJP dla gospodarstwa rolnego po rozbudowie: nie większa niż 773,58; </w:t>
      </w:r>
    </w:p>
    <w:p w14:paraId="0ACDD79F" w14:textId="77777777" w:rsidR="00B425B8" w:rsidRPr="00B425B8" w:rsidRDefault="00B425B8" w:rsidP="00B425B8">
      <w:pPr>
        <w:numPr>
          <w:ilvl w:val="0"/>
          <w:numId w:val="2"/>
        </w:numPr>
        <w:spacing w:after="120"/>
        <w:ind w:left="567"/>
        <w:contextualSpacing/>
        <w:jc w:val="both"/>
        <w:rPr>
          <w:rFonts w:eastAsia="Calibri" w:cs="Calibri"/>
          <w:szCs w:val="28"/>
        </w:rPr>
      </w:pPr>
      <w:r w:rsidRPr="00B425B8">
        <w:rPr>
          <w:rFonts w:eastAsia="Calibri" w:cs="Calibri"/>
          <w:szCs w:val="28"/>
        </w:rPr>
        <w:t>obsługi w zakresie infrastruktury technicznej i komunikacji:</w:t>
      </w:r>
    </w:p>
    <w:p w14:paraId="15D5B0A0" w14:textId="77777777" w:rsidR="00B425B8" w:rsidRPr="00B425B8" w:rsidRDefault="00B425B8" w:rsidP="00B425B8">
      <w:pPr>
        <w:numPr>
          <w:ilvl w:val="0"/>
          <w:numId w:val="4"/>
        </w:numPr>
        <w:tabs>
          <w:tab w:val="left" w:pos="709"/>
        </w:tabs>
        <w:spacing w:after="120"/>
        <w:contextualSpacing/>
        <w:jc w:val="both"/>
        <w:rPr>
          <w:rFonts w:eastAsia="Calibri" w:cs="Calibri"/>
          <w:szCs w:val="28"/>
        </w:rPr>
      </w:pPr>
      <w:r w:rsidRPr="00B425B8">
        <w:rPr>
          <w:rFonts w:eastAsia="Calibri" w:cs="Calibri"/>
          <w:szCs w:val="28"/>
        </w:rPr>
        <w:t>sposób zaopatrzenia w wodę: sieć wodociągowa (opinia Śremskich Wodociągów Sp. z o.o. z 25.08.2020 r.) oraz studnia do poboru wody dla zwierząt,</w:t>
      </w:r>
    </w:p>
    <w:p w14:paraId="41E5B700" w14:textId="77777777" w:rsidR="00B425B8" w:rsidRPr="00B425B8" w:rsidRDefault="00B425B8" w:rsidP="00B425B8">
      <w:pPr>
        <w:numPr>
          <w:ilvl w:val="0"/>
          <w:numId w:val="4"/>
        </w:numPr>
        <w:tabs>
          <w:tab w:val="left" w:pos="709"/>
        </w:tabs>
        <w:spacing w:after="120"/>
        <w:contextualSpacing/>
        <w:jc w:val="both"/>
        <w:rPr>
          <w:rFonts w:eastAsia="Calibri" w:cs="Calibri"/>
          <w:szCs w:val="28"/>
        </w:rPr>
      </w:pPr>
      <w:r w:rsidRPr="00B425B8">
        <w:rPr>
          <w:rFonts w:eastAsia="Calibri" w:cs="Calibri"/>
          <w:szCs w:val="28"/>
        </w:rPr>
        <w:t>sposób zaopatrzenia w energię elektryczną: istniejące przyłącze do sieci elektroenergetycznej,</w:t>
      </w:r>
    </w:p>
    <w:p w14:paraId="24AA62C7" w14:textId="77777777" w:rsidR="00B425B8" w:rsidRPr="00B425B8" w:rsidRDefault="00B425B8" w:rsidP="00B425B8">
      <w:pPr>
        <w:numPr>
          <w:ilvl w:val="0"/>
          <w:numId w:val="4"/>
        </w:numPr>
        <w:tabs>
          <w:tab w:val="left" w:pos="709"/>
        </w:tabs>
        <w:spacing w:after="120"/>
        <w:contextualSpacing/>
        <w:jc w:val="both"/>
        <w:rPr>
          <w:rFonts w:eastAsia="Calibri" w:cs="Calibri"/>
          <w:szCs w:val="28"/>
        </w:rPr>
      </w:pPr>
      <w:r w:rsidRPr="00B425B8">
        <w:rPr>
          <w:rFonts w:eastAsia="Calibri" w:cs="Calibri"/>
          <w:szCs w:val="28"/>
        </w:rPr>
        <w:t>odprowadzanie ścieków bytowych: rozwiązanie indywidualne,</w:t>
      </w:r>
    </w:p>
    <w:p w14:paraId="379C35B9" w14:textId="77777777" w:rsidR="00B425B8" w:rsidRPr="00B425B8" w:rsidRDefault="00B425B8" w:rsidP="00B425B8">
      <w:pPr>
        <w:numPr>
          <w:ilvl w:val="0"/>
          <w:numId w:val="4"/>
        </w:numPr>
        <w:tabs>
          <w:tab w:val="left" w:pos="709"/>
        </w:tabs>
        <w:spacing w:after="120"/>
        <w:contextualSpacing/>
        <w:jc w:val="both"/>
        <w:rPr>
          <w:rFonts w:eastAsia="Calibri" w:cs="Calibri"/>
          <w:szCs w:val="28"/>
        </w:rPr>
      </w:pPr>
      <w:r w:rsidRPr="00B425B8">
        <w:rPr>
          <w:rFonts w:eastAsia="Calibri" w:cs="Calibri"/>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7EC5D458" w14:textId="77777777" w:rsidR="00B425B8" w:rsidRPr="00B425B8" w:rsidRDefault="00B425B8" w:rsidP="00B425B8">
      <w:pPr>
        <w:numPr>
          <w:ilvl w:val="0"/>
          <w:numId w:val="4"/>
        </w:numPr>
        <w:tabs>
          <w:tab w:val="left" w:pos="709"/>
        </w:tabs>
        <w:spacing w:after="120"/>
        <w:contextualSpacing/>
        <w:jc w:val="both"/>
        <w:rPr>
          <w:rFonts w:eastAsia="Calibri" w:cs="Calibri"/>
          <w:szCs w:val="28"/>
        </w:rPr>
      </w:pPr>
      <w:r w:rsidRPr="00B425B8">
        <w:rPr>
          <w:rFonts w:eastAsia="Calibri" w:cs="Calibri"/>
          <w:szCs w:val="28"/>
        </w:rPr>
        <w:t>gospodarowanie odpadami: zgodnie z przepisami odrębnymi,</w:t>
      </w:r>
    </w:p>
    <w:p w14:paraId="06702185" w14:textId="77777777" w:rsidR="00B425B8" w:rsidRPr="00B425B8" w:rsidRDefault="00B425B8" w:rsidP="00B425B8">
      <w:pPr>
        <w:numPr>
          <w:ilvl w:val="0"/>
          <w:numId w:val="4"/>
        </w:numPr>
        <w:tabs>
          <w:tab w:val="left" w:pos="709"/>
        </w:tabs>
        <w:spacing w:after="120"/>
        <w:contextualSpacing/>
        <w:jc w:val="both"/>
        <w:rPr>
          <w:rFonts w:eastAsia="Calibri" w:cs="Calibri"/>
          <w:sz w:val="24"/>
          <w:szCs w:val="24"/>
        </w:rPr>
      </w:pPr>
      <w:r w:rsidRPr="00B425B8">
        <w:rPr>
          <w:rFonts w:eastAsia="Calibri" w:cs="Calibri"/>
          <w:szCs w:val="28"/>
        </w:rPr>
        <w:t>dostęp do drogi publicznej: bez</w:t>
      </w:r>
      <w:r w:rsidRPr="00B425B8">
        <w:rPr>
          <w:rFonts w:eastAsia="Calibri" w:cs="Calibri"/>
        </w:rPr>
        <w:t>pośredni do drogi powiatowej – działki o nr ewid. 80/2, obręb Kadzewo, poprzez istniejące zjazdy</w:t>
      </w:r>
      <w:r w:rsidRPr="00B425B8">
        <w:rPr>
          <w:rFonts w:eastAsia="Calibri" w:cs="Calibri"/>
          <w:szCs w:val="28"/>
        </w:rPr>
        <w:t>;</w:t>
      </w:r>
    </w:p>
    <w:p w14:paraId="16C28E03" w14:textId="77777777" w:rsidR="00B425B8" w:rsidRPr="00B425B8" w:rsidRDefault="00B425B8" w:rsidP="00B425B8">
      <w:pPr>
        <w:tabs>
          <w:tab w:val="left" w:pos="709"/>
        </w:tabs>
        <w:spacing w:after="120"/>
        <w:ind w:left="720"/>
        <w:contextualSpacing/>
        <w:jc w:val="both"/>
        <w:rPr>
          <w:rFonts w:eastAsia="Calibri" w:cs="Calibri"/>
          <w:szCs w:val="28"/>
        </w:rPr>
      </w:pPr>
    </w:p>
    <w:p w14:paraId="40CEC063" w14:textId="77777777" w:rsidR="00B425B8" w:rsidRPr="00B425B8" w:rsidRDefault="00B425B8" w:rsidP="00B425B8">
      <w:pPr>
        <w:tabs>
          <w:tab w:val="left" w:pos="709"/>
        </w:tabs>
        <w:spacing w:after="120"/>
        <w:ind w:left="720"/>
        <w:contextualSpacing/>
        <w:jc w:val="both"/>
        <w:rPr>
          <w:rFonts w:eastAsia="Calibri" w:cs="Calibri"/>
          <w:szCs w:val="28"/>
        </w:rPr>
      </w:pPr>
    </w:p>
    <w:p w14:paraId="56B771C0" w14:textId="77777777" w:rsidR="00B425B8" w:rsidRPr="00B425B8" w:rsidRDefault="00B425B8" w:rsidP="00B425B8">
      <w:pPr>
        <w:tabs>
          <w:tab w:val="left" w:pos="709"/>
        </w:tabs>
        <w:spacing w:after="120"/>
        <w:ind w:left="720"/>
        <w:contextualSpacing/>
        <w:jc w:val="both"/>
        <w:rPr>
          <w:rFonts w:eastAsia="Calibri" w:cs="Calibri"/>
          <w:szCs w:val="28"/>
        </w:rPr>
      </w:pPr>
    </w:p>
    <w:p w14:paraId="7D3F2CC5" w14:textId="77777777" w:rsidR="00B425B8" w:rsidRPr="00B425B8" w:rsidRDefault="00B425B8" w:rsidP="00B425B8">
      <w:pPr>
        <w:numPr>
          <w:ilvl w:val="0"/>
          <w:numId w:val="2"/>
        </w:numPr>
        <w:spacing w:after="120"/>
        <w:ind w:left="567" w:hanging="357"/>
        <w:contextualSpacing/>
        <w:jc w:val="both"/>
        <w:rPr>
          <w:rFonts w:eastAsia="Calibri" w:cs="Calibri"/>
          <w:szCs w:val="28"/>
        </w:rPr>
      </w:pPr>
      <w:r w:rsidRPr="00B425B8">
        <w:rPr>
          <w:rFonts w:eastAsia="Calibri" w:cs="Calibri"/>
          <w:szCs w:val="28"/>
        </w:rPr>
        <w:lastRenderedPageBreak/>
        <w:t>wymagań dotyczących ochrony interesów osób trzecich:</w:t>
      </w:r>
    </w:p>
    <w:p w14:paraId="7BA57FE4" w14:textId="77777777" w:rsidR="00B425B8" w:rsidRPr="00B425B8" w:rsidRDefault="00B425B8" w:rsidP="00B425B8">
      <w:pPr>
        <w:numPr>
          <w:ilvl w:val="0"/>
          <w:numId w:val="5"/>
        </w:numPr>
        <w:spacing w:after="120"/>
        <w:contextualSpacing/>
        <w:jc w:val="both"/>
        <w:rPr>
          <w:rFonts w:eastAsia="Calibri" w:cs="Calibri"/>
          <w:szCs w:val="28"/>
        </w:rPr>
      </w:pPr>
      <w:r w:rsidRPr="00B425B8">
        <w:rPr>
          <w:rFonts w:eastAsia="Calibri" w:cs="Calibri"/>
          <w:szCs w:val="28"/>
        </w:rPr>
        <w:t xml:space="preserve">warunki ochrony przed pozbawieniem: </w:t>
      </w:r>
    </w:p>
    <w:p w14:paraId="172857A0" w14:textId="77777777" w:rsidR="00B425B8" w:rsidRPr="00B425B8" w:rsidRDefault="00B425B8" w:rsidP="00B425B8">
      <w:pPr>
        <w:numPr>
          <w:ilvl w:val="0"/>
          <w:numId w:val="6"/>
        </w:numPr>
        <w:spacing w:after="120"/>
        <w:ind w:left="993" w:hanging="426"/>
        <w:contextualSpacing/>
        <w:jc w:val="both"/>
        <w:rPr>
          <w:rFonts w:eastAsia="Calibri" w:cs="Calibri"/>
          <w:szCs w:val="28"/>
        </w:rPr>
      </w:pPr>
      <w:r w:rsidRPr="00B425B8">
        <w:rPr>
          <w:rFonts w:eastAsia="Calibri" w:cs="Calibri"/>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01B64A1A" w14:textId="77777777" w:rsidR="00B425B8" w:rsidRPr="00B425B8" w:rsidRDefault="00B425B8" w:rsidP="00B425B8">
      <w:pPr>
        <w:numPr>
          <w:ilvl w:val="0"/>
          <w:numId w:val="6"/>
        </w:numPr>
        <w:spacing w:after="120"/>
        <w:ind w:left="993" w:hanging="426"/>
        <w:contextualSpacing/>
        <w:jc w:val="both"/>
        <w:rPr>
          <w:rFonts w:eastAsia="Calibri" w:cs="Calibri"/>
          <w:szCs w:val="28"/>
        </w:rPr>
      </w:pPr>
      <w:r w:rsidRPr="00B425B8">
        <w:rPr>
          <w:rFonts w:eastAsia="Calibri" w:cs="Calibri"/>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49458B08" w14:textId="77777777" w:rsidR="00B425B8" w:rsidRPr="00B425B8" w:rsidRDefault="00B425B8" w:rsidP="00B425B8">
      <w:pPr>
        <w:numPr>
          <w:ilvl w:val="0"/>
          <w:numId w:val="5"/>
        </w:numPr>
        <w:spacing w:after="120"/>
        <w:contextualSpacing/>
        <w:jc w:val="both"/>
        <w:rPr>
          <w:rFonts w:eastAsia="Calibri" w:cs="Calibri"/>
          <w:szCs w:val="28"/>
        </w:rPr>
      </w:pPr>
      <w:r w:rsidRPr="00B425B8">
        <w:rPr>
          <w:rFonts w:eastAsia="Calibri" w:cs="Calibri"/>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0BF3859B" w14:textId="77777777" w:rsidR="00B425B8" w:rsidRPr="00B425B8" w:rsidRDefault="00B425B8" w:rsidP="00B425B8">
      <w:pPr>
        <w:numPr>
          <w:ilvl w:val="0"/>
          <w:numId w:val="2"/>
        </w:numPr>
        <w:spacing w:after="120"/>
        <w:contextualSpacing/>
        <w:jc w:val="both"/>
        <w:rPr>
          <w:rFonts w:eastAsia="Calibri" w:cs="Calibri"/>
          <w:szCs w:val="28"/>
        </w:rPr>
      </w:pPr>
      <w:r w:rsidRPr="00B425B8">
        <w:rPr>
          <w:rFonts w:eastAsia="Calibri" w:cs="Calibri"/>
          <w:szCs w:val="28"/>
        </w:rPr>
        <w:t>ochrony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 w sąsiedztwie działki o nr ewid. 189/2 znajduje się ciek naturalny (Kanał Kadzewski) – przy realizacji inwestycji winny być wzięte pod uwagę ograniczenia wynikające z art. 232 i 233 ustawy z dnia 20 lipca 2017 r. – Prawo wodne (Dz. U. z 2022 r. poz. 1549, 2185, 2625, 2687, z 2023 r. poz. 295 i 412), zwanej dalej u.p.w.</w:t>
      </w:r>
    </w:p>
    <w:p w14:paraId="185951AB" w14:textId="77777777" w:rsidR="00B425B8" w:rsidRPr="00B425B8" w:rsidRDefault="00B425B8" w:rsidP="00B425B8">
      <w:pPr>
        <w:numPr>
          <w:ilvl w:val="0"/>
          <w:numId w:val="14"/>
        </w:numPr>
        <w:tabs>
          <w:tab w:val="left" w:pos="426"/>
        </w:tabs>
        <w:spacing w:after="120"/>
        <w:ind w:left="414" w:hanging="357"/>
        <w:contextualSpacing/>
        <w:jc w:val="both"/>
        <w:rPr>
          <w:rFonts w:eastAsia="Calibri" w:cs="Calibri"/>
          <w:szCs w:val="28"/>
        </w:rPr>
      </w:pPr>
      <w:r w:rsidRPr="00B425B8">
        <w:rPr>
          <w:rFonts w:eastAsia="Calibri" w:cs="Calibri"/>
          <w:szCs w:val="28"/>
        </w:rPr>
        <w:t>Linie rozgraniczające teren inwestycji wyznaczone na mapie zasadniczej w skali 1:1000.</w:t>
      </w:r>
    </w:p>
    <w:p w14:paraId="359ED61A" w14:textId="77777777" w:rsidR="00B425B8" w:rsidRPr="00B425B8" w:rsidRDefault="00B425B8" w:rsidP="00B425B8">
      <w:pPr>
        <w:spacing w:after="120"/>
        <w:jc w:val="center"/>
        <w:rPr>
          <w:rFonts w:eastAsia="Calibri" w:cs="Calibri"/>
          <w:szCs w:val="28"/>
        </w:rPr>
      </w:pPr>
    </w:p>
    <w:p w14:paraId="29887A24" w14:textId="77777777" w:rsidR="00B425B8" w:rsidRPr="00B425B8" w:rsidRDefault="00B425B8" w:rsidP="00B425B8">
      <w:pPr>
        <w:spacing w:after="120"/>
        <w:jc w:val="center"/>
        <w:rPr>
          <w:rFonts w:eastAsia="Calibri" w:cs="Calibri"/>
          <w:szCs w:val="28"/>
        </w:rPr>
      </w:pPr>
      <w:r w:rsidRPr="00B425B8">
        <w:rPr>
          <w:rFonts w:eastAsia="Calibri" w:cs="Calibri"/>
          <w:szCs w:val="28"/>
        </w:rPr>
        <w:t>Uzasadnienie</w:t>
      </w:r>
    </w:p>
    <w:p w14:paraId="73C2709F"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056770C9" w14:textId="77777777" w:rsidR="00B425B8" w:rsidRPr="00B425B8" w:rsidRDefault="00B425B8" w:rsidP="00B425B8">
      <w:pPr>
        <w:spacing w:after="120"/>
        <w:ind w:firstLine="567"/>
        <w:jc w:val="both"/>
        <w:rPr>
          <w:rFonts w:eastAsia="Calibri" w:cs="Times New Roman"/>
          <w:szCs w:val="28"/>
        </w:rPr>
      </w:pPr>
      <w:r w:rsidRPr="00B425B8">
        <w:rPr>
          <w:rFonts w:eastAsia="Calibri" w:cs="Times New Roman"/>
          <w:szCs w:val="28"/>
        </w:rPr>
        <w:t>W myśl art. 59 ust. 1 i ust. 2 u.p.z.p.:</w:t>
      </w:r>
    </w:p>
    <w:p w14:paraId="6C5E8D95" w14:textId="77777777" w:rsidR="00B425B8" w:rsidRPr="00B425B8" w:rsidRDefault="00B425B8" w:rsidP="00B425B8">
      <w:pPr>
        <w:numPr>
          <w:ilvl w:val="0"/>
          <w:numId w:val="17"/>
        </w:numPr>
        <w:tabs>
          <w:tab w:val="left" w:pos="993"/>
        </w:tabs>
        <w:spacing w:after="120"/>
        <w:ind w:firstLine="567"/>
        <w:contextualSpacing/>
        <w:jc w:val="both"/>
        <w:rPr>
          <w:rFonts w:eastAsia="Calibri" w:cs="Times New Roman"/>
          <w:szCs w:val="28"/>
        </w:rPr>
      </w:pPr>
      <w:r w:rsidRPr="00B425B8">
        <w:rPr>
          <w:rFonts w:eastAsia="Calibri" w:cs="Times New Roman"/>
          <w:szCs w:val="28"/>
        </w:rPr>
        <w:lastRenderedPageBreak/>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026A80AC" w14:textId="77777777" w:rsidR="00B425B8" w:rsidRPr="00B425B8" w:rsidRDefault="00B425B8" w:rsidP="00B425B8">
      <w:pPr>
        <w:numPr>
          <w:ilvl w:val="0"/>
          <w:numId w:val="17"/>
        </w:numPr>
        <w:tabs>
          <w:tab w:val="left" w:pos="993"/>
        </w:tabs>
        <w:spacing w:after="120"/>
        <w:ind w:firstLine="567"/>
        <w:contextualSpacing/>
        <w:jc w:val="both"/>
        <w:rPr>
          <w:rFonts w:eastAsia="Calibri" w:cs="Times New Roman"/>
          <w:szCs w:val="28"/>
        </w:rPr>
      </w:pPr>
      <w:r w:rsidRPr="00B425B8">
        <w:rPr>
          <w:rFonts w:eastAsia="Calibri" w:cs="Times New Roman"/>
          <w:szCs w:val="28"/>
        </w:rPr>
        <w:t>powyższy przepis stosuje się również do zmiany zagospodarowania terenu, która nie wymaga pozwolenia na budowę, z wyjątkiem tymczasowej, jednorazowej zmiany zagospodarowania terenu, trwającej do roku.</w:t>
      </w:r>
    </w:p>
    <w:p w14:paraId="4AD6FD8E" w14:textId="77777777" w:rsidR="00B425B8" w:rsidRPr="00B425B8" w:rsidRDefault="00B425B8" w:rsidP="00B425B8">
      <w:pPr>
        <w:widowControl w:val="0"/>
        <w:autoSpaceDE w:val="0"/>
        <w:autoSpaceDN w:val="0"/>
        <w:adjustRightInd w:val="0"/>
        <w:spacing w:after="120"/>
        <w:ind w:right="-1" w:firstLine="567"/>
        <w:jc w:val="both"/>
        <w:rPr>
          <w:rFonts w:eastAsia="Calibri" w:cs="Times New Roman"/>
          <w:szCs w:val="28"/>
        </w:rPr>
      </w:pPr>
      <w:r w:rsidRPr="00B425B8">
        <w:rPr>
          <w:rFonts w:eastAsia="Calibri" w:cs="Times New Roman"/>
          <w:szCs w:val="28"/>
        </w:rPr>
        <w:t>Zgodnie z art. 60 ust. 1 i ust. 1a u.p.z.p. decyzję o warunkach zabudowy wydaje (…) wójt, burmistrz albo prezydent miasta po uzgodnieniu z organami, o których mowa w art. 53 ust. 4, i uzyskaniu uzgodnień lub decyzji wymaganych przepisami odrębnymi. Do decyzji o warunkach zabudowy stosuje się art. 53 ust. 5b i 5c u.p.z.p.</w:t>
      </w:r>
    </w:p>
    <w:p w14:paraId="34CA1DD6" w14:textId="77777777" w:rsidR="00B425B8" w:rsidRPr="00B425B8" w:rsidRDefault="00B425B8" w:rsidP="00B425B8">
      <w:pPr>
        <w:widowControl w:val="0"/>
        <w:autoSpaceDE w:val="0"/>
        <w:autoSpaceDN w:val="0"/>
        <w:adjustRightInd w:val="0"/>
        <w:spacing w:after="120"/>
        <w:ind w:right="-1" w:firstLine="567"/>
        <w:jc w:val="both"/>
        <w:rPr>
          <w:rFonts w:eastAsia="Calibri" w:cs="Times New Roman"/>
          <w:szCs w:val="28"/>
        </w:rPr>
      </w:pPr>
      <w:r w:rsidRPr="00B425B8">
        <w:rPr>
          <w:rFonts w:eastAsia="Calibri" w:cs="Times New Roman"/>
          <w:szCs w:val="28"/>
        </w:rPr>
        <w:t>Stosownie do art. 104 § 1 i § 2 ustawy z dnia 14 czerwca 1960 r. – Kodeks postępowania administracyjnego organ administracji publicznej załatwia sprawę przez wydanie decyzji, chyba że przepisy kodeksu stanowią inaczej. Decyzje rozstrzygają sprawę co do jej istoty w całości lub w części albo w inny sposób kończą sprawę w danej instancji.</w:t>
      </w:r>
    </w:p>
    <w:p w14:paraId="48E75EC7" w14:textId="77777777" w:rsidR="00B425B8" w:rsidRPr="00B425B8" w:rsidRDefault="00B425B8" w:rsidP="00B425B8">
      <w:pPr>
        <w:tabs>
          <w:tab w:val="left" w:pos="993"/>
        </w:tabs>
        <w:spacing w:after="120"/>
        <w:ind w:firstLine="567"/>
        <w:jc w:val="both"/>
        <w:rPr>
          <w:rFonts w:eastAsia="Calibri" w:cs="Calibri"/>
          <w:szCs w:val="28"/>
        </w:rPr>
      </w:pPr>
      <w:r w:rsidRPr="00B425B8">
        <w:rPr>
          <w:rFonts w:eastAsia="Calibri" w:cs="Calibri"/>
          <w:szCs w:val="28"/>
        </w:rPr>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decyzję PPSOŚ.6220.14.2021.BM z 03.06.2022 r. o środowiskowych uwarunkowaniach oraz decyzję OS.6580.8.2020 z 22.12.2020 r. zatwierdzającą roboty geologiczne polegające na wykonaniu studni wierconej ujmującej wody podziemne. Treść wniosku oraz załącznik graficzny do wniosku są ze sobą spójne. W części graficznej Wnioskodawca wskazał również </w:t>
      </w:r>
      <w:r w:rsidRPr="00B425B8">
        <w:rPr>
          <w:rFonts w:eastAsia="Calibri" w:cs="Calibri"/>
        </w:rPr>
        <w:t>obszar, na który planowana inwestycja będzie oddziaływać</w:t>
      </w:r>
      <w:r w:rsidRPr="00B425B8">
        <w:rPr>
          <w:rFonts w:eastAsia="Calibri" w:cs="Calibri"/>
          <w:szCs w:val="28"/>
        </w:rPr>
        <w:t xml:space="preserve">. Wniosek zatem był kompletny. </w:t>
      </w:r>
    </w:p>
    <w:p w14:paraId="6F2BCF6F" w14:textId="77777777" w:rsidR="00B425B8" w:rsidRPr="00B425B8" w:rsidRDefault="00B425B8" w:rsidP="00B425B8">
      <w:pPr>
        <w:tabs>
          <w:tab w:val="left" w:pos="993"/>
        </w:tabs>
        <w:spacing w:after="120"/>
        <w:ind w:firstLine="567"/>
        <w:jc w:val="both"/>
        <w:rPr>
          <w:rFonts w:eastAsia="Calibri" w:cs="Calibri"/>
          <w:szCs w:val="28"/>
        </w:rPr>
      </w:pPr>
    </w:p>
    <w:p w14:paraId="7EC1B8AD" w14:textId="77777777" w:rsidR="00B425B8" w:rsidRPr="00B425B8" w:rsidRDefault="00B425B8" w:rsidP="00B425B8">
      <w:pPr>
        <w:tabs>
          <w:tab w:val="left" w:pos="993"/>
        </w:tabs>
        <w:spacing w:after="120"/>
        <w:ind w:firstLine="567"/>
        <w:jc w:val="both"/>
        <w:rPr>
          <w:rFonts w:eastAsia="Calibri" w:cs="Calibri"/>
          <w:szCs w:val="28"/>
        </w:rPr>
      </w:pPr>
    </w:p>
    <w:p w14:paraId="68D6BFA7" w14:textId="77777777" w:rsidR="00B425B8" w:rsidRDefault="00B425B8" w:rsidP="00B425B8">
      <w:pPr>
        <w:tabs>
          <w:tab w:val="left" w:pos="993"/>
        </w:tabs>
        <w:spacing w:after="120"/>
        <w:ind w:firstLine="567"/>
        <w:jc w:val="both"/>
        <w:rPr>
          <w:rFonts w:eastAsia="Calibri" w:cs="Calibri"/>
          <w:szCs w:val="28"/>
        </w:rPr>
      </w:pPr>
    </w:p>
    <w:p w14:paraId="5E57915F" w14:textId="77777777" w:rsidR="00B425B8" w:rsidRPr="00B425B8" w:rsidRDefault="00B425B8" w:rsidP="00B425B8">
      <w:pPr>
        <w:tabs>
          <w:tab w:val="left" w:pos="993"/>
        </w:tabs>
        <w:spacing w:after="120"/>
        <w:ind w:firstLine="567"/>
        <w:jc w:val="both"/>
        <w:rPr>
          <w:rFonts w:eastAsia="Calibri" w:cs="Calibri"/>
          <w:szCs w:val="28"/>
        </w:rPr>
      </w:pPr>
    </w:p>
    <w:p w14:paraId="11835EC9" w14:textId="77777777" w:rsidR="00B425B8" w:rsidRPr="00B425B8" w:rsidRDefault="00B425B8" w:rsidP="00B425B8">
      <w:pPr>
        <w:tabs>
          <w:tab w:val="left" w:pos="993"/>
        </w:tabs>
        <w:spacing w:after="120"/>
        <w:ind w:firstLine="567"/>
        <w:jc w:val="both"/>
        <w:rPr>
          <w:rFonts w:eastAsia="Calibri" w:cs="Calibri"/>
          <w:szCs w:val="28"/>
        </w:rPr>
      </w:pPr>
    </w:p>
    <w:p w14:paraId="77D7F4D2" w14:textId="77777777" w:rsidR="00B425B8" w:rsidRPr="00B425B8" w:rsidRDefault="00B425B8" w:rsidP="00B425B8">
      <w:pPr>
        <w:tabs>
          <w:tab w:val="left" w:pos="993"/>
        </w:tabs>
        <w:spacing w:after="120"/>
        <w:ind w:firstLine="567"/>
        <w:jc w:val="both"/>
        <w:rPr>
          <w:rFonts w:eastAsia="Calibri" w:cs="Calibri"/>
          <w:szCs w:val="28"/>
        </w:rPr>
      </w:pPr>
      <w:r w:rsidRPr="00B425B8">
        <w:rPr>
          <w:rFonts w:eastAsia="Calibri" w:cs="Calibri"/>
          <w:szCs w:val="28"/>
        </w:rPr>
        <w:lastRenderedPageBreak/>
        <w:t xml:space="preserve">Planowana inwestycja polega na </w:t>
      </w:r>
      <w:r w:rsidRPr="00B425B8">
        <w:rPr>
          <w:rFonts w:eastAsia="Calibri" w:cs="Calibri"/>
        </w:rPr>
        <w:t xml:space="preserve">budowie budynku inwentarskiego do chowu trzody chlewnej w bezściółkowym systemie utrzymania z infrastrukturą towarzyszącą: dwa silosy na paszę </w:t>
      </w:r>
      <w:r w:rsidRPr="00B425B8">
        <w:rPr>
          <w:rFonts w:eastAsia="Calibri" w:cs="Times New Roman"/>
        </w:rPr>
        <w:t>o pojemności</w:t>
      </w:r>
      <w:r w:rsidRPr="00B425B8">
        <w:rPr>
          <w:rFonts w:eastAsia="Calibri" w:cs="Calibri"/>
        </w:rPr>
        <w:t xml:space="preserve"> ok. 27 Mg każdy, dwa silosy na paszę o pojemności ok. 40 Mg każdy, zbiornik do przechowywania (magazynowania) gnojowicy o pojemności nie większej niż 2611 m</w:t>
      </w:r>
      <w:r w:rsidRPr="00B425B8">
        <w:rPr>
          <w:rFonts w:eastAsia="Calibri" w:cs="Calibri"/>
          <w:vertAlign w:val="superscript"/>
        </w:rPr>
        <w:t>3</w:t>
      </w:r>
      <w:r w:rsidRPr="00B425B8">
        <w:rPr>
          <w:rFonts w:eastAsia="Calibri" w:cs="Calibri"/>
        </w:rPr>
        <w:t>, zbiornik przepompowy na gnojowicę o pojemności nie większej niż 100 m</w:t>
      </w:r>
      <w:r w:rsidRPr="00B425B8">
        <w:rPr>
          <w:rFonts w:eastAsia="Calibri" w:cs="Calibri"/>
          <w:vertAlign w:val="superscript"/>
        </w:rPr>
        <w:t>3</w:t>
      </w:r>
      <w:r w:rsidRPr="00B425B8">
        <w:rPr>
          <w:rFonts w:eastAsia="Calibri" w:cs="Calibri"/>
        </w:rPr>
        <w:t>, konfiskator na padłe zwierzęta, zbiornik na ścieki socjalno-bytowe o pojemności do 10 m</w:t>
      </w:r>
      <w:r w:rsidRPr="00B425B8">
        <w:rPr>
          <w:rFonts w:eastAsia="Calibri" w:cs="Calibri"/>
          <w:vertAlign w:val="superscript"/>
        </w:rPr>
        <w:t>3</w:t>
      </w:r>
      <w:r w:rsidRPr="00B425B8">
        <w:rPr>
          <w:rFonts w:eastAsia="Calibri" w:cs="Calibri"/>
        </w:rPr>
        <w:t>, ujęcie wód podziemnych na terenie działki o nr ewid. 189/2, obręb Kadzewo</w:t>
      </w:r>
      <w:r w:rsidRPr="00B425B8">
        <w:rPr>
          <w:rFonts w:eastAsia="Calibri" w:cs="Calibri"/>
          <w:szCs w:val="28"/>
        </w:rPr>
        <w:t xml:space="preserve">. </w:t>
      </w:r>
    </w:p>
    <w:p w14:paraId="32D81826" w14:textId="77777777" w:rsidR="00B425B8" w:rsidRPr="00B425B8" w:rsidRDefault="00B425B8" w:rsidP="00B425B8">
      <w:pPr>
        <w:tabs>
          <w:tab w:val="left" w:pos="993"/>
        </w:tabs>
        <w:spacing w:after="120"/>
        <w:ind w:firstLine="567"/>
        <w:jc w:val="both"/>
        <w:rPr>
          <w:rFonts w:eastAsia="Calibri" w:cs="Calibri"/>
          <w:szCs w:val="28"/>
        </w:rPr>
      </w:pPr>
      <w:r w:rsidRPr="00B425B8">
        <w:rPr>
          <w:rFonts w:eastAsia="Calibri" w:cs="Calibri"/>
          <w:szCs w:val="28"/>
        </w:rPr>
        <w:t>Przedmiotowy teren o łącznej powierzchni 63363 m</w:t>
      </w:r>
      <w:r w:rsidRPr="00B425B8">
        <w:rPr>
          <w:rFonts w:eastAsia="Calibri" w:cs="Calibri"/>
          <w:szCs w:val="28"/>
          <w:vertAlign w:val="superscript"/>
        </w:rPr>
        <w:t>2</w:t>
      </w:r>
      <w:r w:rsidRPr="00B425B8">
        <w:rPr>
          <w:rFonts w:eastAsia="Calibri" w:cs="Calibri"/>
          <w:szCs w:val="28"/>
        </w:rPr>
        <w:t xml:space="preserve">, zgodnie z prowadzoną przez Starostę Śremskiego ewidencją gruntów i budynków, stanowi </w:t>
      </w:r>
      <w:r w:rsidRPr="00B425B8">
        <w:rPr>
          <w:rFonts w:eastAsia="Times New Roman" w:cs="Calibri"/>
          <w:lang w:eastAsia="pl-PL"/>
        </w:rPr>
        <w:t>w części grunty rolne zabudowane Br-RIIIa, łąki trwałe ŁII, ŁIII i ŁIV, grunty orne RIIIa i RIVa</w:t>
      </w:r>
      <w:r w:rsidRPr="00B425B8">
        <w:rPr>
          <w:rFonts w:eastAsia="Calibri" w:cs="Calibri"/>
          <w:szCs w:val="28"/>
        </w:rPr>
        <w:t xml:space="preserve">. Front terenu o szerokości ca 231,5 m to część przylegająca do działki o nr ewid. 80/2 – drogi powiatowej. Teren objęty wnioskiem </w:t>
      </w:r>
      <w:r w:rsidRPr="00B425B8">
        <w:rPr>
          <w:rFonts w:eastAsia="Calibri" w:cs="Calibri"/>
        </w:rPr>
        <w:t>od strony wschodniej graniczy z działką drogową, od strony północnej graniczy z zabudową związaną z działalnością rolniczą i terenami rolniczymi, od zachodu i południa graniczy z rowem melioracyjnym.</w:t>
      </w:r>
    </w:p>
    <w:p w14:paraId="27232706" w14:textId="77777777" w:rsidR="00B425B8" w:rsidRPr="00B425B8" w:rsidRDefault="00B425B8" w:rsidP="00B425B8">
      <w:pPr>
        <w:tabs>
          <w:tab w:val="left" w:pos="993"/>
        </w:tabs>
        <w:spacing w:after="120"/>
        <w:ind w:firstLine="567"/>
        <w:jc w:val="both"/>
        <w:rPr>
          <w:rFonts w:eastAsia="Calibri" w:cs="Calibri"/>
          <w:szCs w:val="28"/>
        </w:rPr>
      </w:pPr>
      <w:r w:rsidRPr="00B425B8">
        <w:rPr>
          <w:rFonts w:eastAsia="Calibri" w:cs="Calibri"/>
          <w:szCs w:val="28"/>
        </w:rPr>
        <w:t>Dla terenu projektowanej inwestycji nie został uchwalony miejscowy plan zagospodarowania przestrzennego ani nie została podjęta uchwała w sprawie przystąpienia do sporządzenia miejscowego planu zagospodarowania przestrzennego.</w:t>
      </w:r>
    </w:p>
    <w:p w14:paraId="0A9CD405"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3D7E7831"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 xml:space="preserve">Zgodnie z art. 60 ust. 4 u.p.z.p. sporządzenie projektu decyzji o warunków zabudowy powierzono osobie spełniającej warunki określone w art. 5 pkt 4. Projekt decyzji znajduje się w aktach sprawy. </w:t>
      </w:r>
    </w:p>
    <w:p w14:paraId="37D5C85E" w14:textId="77777777" w:rsidR="00B425B8" w:rsidRPr="00B425B8" w:rsidRDefault="00B425B8" w:rsidP="00B425B8">
      <w:pPr>
        <w:widowControl w:val="0"/>
        <w:autoSpaceDE w:val="0"/>
        <w:spacing w:after="120"/>
        <w:ind w:firstLine="567"/>
        <w:jc w:val="both"/>
        <w:rPr>
          <w:rFonts w:eastAsia="Calibri" w:cs="Calibri"/>
          <w:szCs w:val="28"/>
        </w:rPr>
      </w:pPr>
      <w:r w:rsidRPr="00B425B8">
        <w:rPr>
          <w:rFonts w:eastAsia="Calibri" w:cs="Calibri"/>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1F748C73" w14:textId="77777777" w:rsidR="00B425B8" w:rsidRPr="00B425B8" w:rsidRDefault="00B425B8" w:rsidP="00B425B8">
      <w:pPr>
        <w:numPr>
          <w:ilvl w:val="0"/>
          <w:numId w:val="8"/>
        </w:numPr>
        <w:tabs>
          <w:tab w:val="left" w:pos="851"/>
        </w:tabs>
        <w:spacing w:after="120"/>
        <w:ind w:left="0" w:firstLine="567"/>
        <w:contextualSpacing/>
        <w:jc w:val="both"/>
        <w:rPr>
          <w:rFonts w:eastAsia="Calibri" w:cs="Calibri"/>
          <w:szCs w:val="28"/>
        </w:rPr>
      </w:pPr>
      <w:r w:rsidRPr="00B425B8">
        <w:rPr>
          <w:rFonts w:eastAsia="Calibri" w:cs="Calibri"/>
          <w:szCs w:val="28"/>
        </w:rPr>
        <w:t>występowaniem złóż kopalin oraz obecnych i przyszłych potrzeb eksploatacji tych złóż;</w:t>
      </w:r>
    </w:p>
    <w:p w14:paraId="553CEA7F" w14:textId="77777777" w:rsidR="00B425B8" w:rsidRPr="00B425B8" w:rsidRDefault="00B425B8" w:rsidP="00B425B8">
      <w:pPr>
        <w:numPr>
          <w:ilvl w:val="0"/>
          <w:numId w:val="8"/>
        </w:numPr>
        <w:tabs>
          <w:tab w:val="left" w:pos="851"/>
        </w:tabs>
        <w:spacing w:after="120"/>
        <w:ind w:left="0" w:firstLine="567"/>
        <w:contextualSpacing/>
        <w:jc w:val="both"/>
        <w:rPr>
          <w:rFonts w:eastAsia="Calibri" w:cs="Calibri"/>
          <w:szCs w:val="28"/>
        </w:rPr>
      </w:pPr>
      <w:r w:rsidRPr="00B425B8">
        <w:rPr>
          <w:rFonts w:eastAsia="Calibri" w:cs="Calibri"/>
          <w:szCs w:val="28"/>
        </w:rPr>
        <w:t>potrzebami w zakresie zapobiegania ruchom masowym ziemi i ich skutkom;</w:t>
      </w:r>
    </w:p>
    <w:p w14:paraId="1CFCF85C" w14:textId="77777777" w:rsidR="00B425B8" w:rsidRPr="00B425B8" w:rsidRDefault="00B425B8" w:rsidP="00B425B8">
      <w:pPr>
        <w:numPr>
          <w:ilvl w:val="0"/>
          <w:numId w:val="8"/>
        </w:numPr>
        <w:tabs>
          <w:tab w:val="left" w:pos="851"/>
        </w:tabs>
        <w:spacing w:after="120"/>
        <w:ind w:left="0" w:firstLine="567"/>
        <w:contextualSpacing/>
        <w:jc w:val="both"/>
        <w:rPr>
          <w:rFonts w:eastAsia="Calibri" w:cs="Calibri"/>
          <w:szCs w:val="28"/>
        </w:rPr>
      </w:pPr>
      <w:r w:rsidRPr="00B425B8">
        <w:rPr>
          <w:rFonts w:eastAsia="Calibri" w:cs="Calibri"/>
          <w:szCs w:val="28"/>
        </w:rPr>
        <w:lastRenderedPageBreak/>
        <w:t>innymi potrzebami w zakresie ochrony powietrza, wód, gleby, ziemi, ochrony przed hałasem, wibracjami i polami elektromagnetycznymi;</w:t>
      </w:r>
    </w:p>
    <w:p w14:paraId="2FD09C51" w14:textId="77777777" w:rsidR="00B425B8" w:rsidRPr="00B425B8" w:rsidRDefault="00B425B8" w:rsidP="00B425B8">
      <w:pPr>
        <w:numPr>
          <w:ilvl w:val="0"/>
          <w:numId w:val="8"/>
        </w:numPr>
        <w:tabs>
          <w:tab w:val="left" w:pos="851"/>
        </w:tabs>
        <w:spacing w:after="120"/>
        <w:ind w:left="0" w:firstLine="567"/>
        <w:contextualSpacing/>
        <w:jc w:val="both"/>
        <w:rPr>
          <w:rFonts w:eastAsia="Calibri" w:cs="Calibri"/>
          <w:szCs w:val="28"/>
        </w:rPr>
      </w:pPr>
      <w:r w:rsidRPr="00B425B8">
        <w:rPr>
          <w:rFonts w:eastAsia="Calibri" w:cs="Calibri"/>
          <w:szCs w:val="28"/>
        </w:rPr>
        <w:t>ograniczeniami wynikającymi z ustanowienia w trybie ustawy z dnia 16 kwietnia 2004 r. o ochronie przyrody (Dz. U. z 2022 r. poz. 916, 1726, 2375, 2185) form ochrony przyrody oraz ustaleń obowiązujących planów ochrony;</w:t>
      </w:r>
    </w:p>
    <w:p w14:paraId="7109A06C" w14:textId="77777777" w:rsidR="00B425B8" w:rsidRPr="00B425B8" w:rsidRDefault="00B425B8" w:rsidP="00B425B8">
      <w:pPr>
        <w:numPr>
          <w:ilvl w:val="0"/>
          <w:numId w:val="8"/>
        </w:numPr>
        <w:tabs>
          <w:tab w:val="left" w:pos="851"/>
        </w:tabs>
        <w:spacing w:after="120"/>
        <w:ind w:left="0" w:firstLine="567"/>
        <w:contextualSpacing/>
        <w:jc w:val="both"/>
        <w:rPr>
          <w:rFonts w:eastAsia="Calibri" w:cs="Calibri"/>
          <w:szCs w:val="28"/>
        </w:rPr>
      </w:pPr>
      <w:r w:rsidRPr="00B425B8">
        <w:rPr>
          <w:rFonts w:eastAsia="Calibri" w:cs="Calibri"/>
          <w:szCs w:val="28"/>
        </w:rPr>
        <w:t>ograniczeniami wynikającymi z ustalenia w trybie przepisów u.p.w. warunków korzystania z wód regionu wodnego i zlewni oraz ustanowienia stref ochronnych ujęć wód, a także obszarów ochronnych zbiorników wód śródlądowych;</w:t>
      </w:r>
    </w:p>
    <w:p w14:paraId="195C36A3" w14:textId="77777777" w:rsidR="00B425B8" w:rsidRPr="00B425B8" w:rsidRDefault="00B425B8" w:rsidP="00B425B8">
      <w:pPr>
        <w:numPr>
          <w:ilvl w:val="0"/>
          <w:numId w:val="8"/>
        </w:numPr>
        <w:tabs>
          <w:tab w:val="left" w:pos="851"/>
        </w:tabs>
        <w:spacing w:after="120"/>
        <w:ind w:left="0" w:firstLine="567"/>
        <w:contextualSpacing/>
        <w:jc w:val="both"/>
        <w:rPr>
          <w:rFonts w:eastAsia="Calibri" w:cs="Calibri"/>
          <w:szCs w:val="28"/>
        </w:rPr>
      </w:pPr>
      <w:r w:rsidRPr="00B425B8">
        <w:rPr>
          <w:rFonts w:eastAsia="Calibri" w:cs="Calibri"/>
          <w:szCs w:val="28"/>
        </w:rPr>
        <w:t>ograniczeniami w zabudowie i zagospodarowaniu terenu wynikających z lokalizacji terenu w strefie ochrony konserwatorskiej lub wykonywaniem robót budowlanych w budynku wpisanym do rejestru lub gminnej ewidencji zabytków,</w:t>
      </w:r>
    </w:p>
    <w:p w14:paraId="01A8D82C" w14:textId="77777777" w:rsidR="00B425B8" w:rsidRPr="00B425B8" w:rsidRDefault="00B425B8" w:rsidP="00B425B8">
      <w:pPr>
        <w:widowControl w:val="0"/>
        <w:tabs>
          <w:tab w:val="left" w:pos="993"/>
        </w:tabs>
        <w:autoSpaceDE w:val="0"/>
        <w:spacing w:after="120"/>
        <w:ind w:firstLine="567"/>
        <w:jc w:val="both"/>
        <w:rPr>
          <w:rFonts w:eastAsia="Calibri" w:cs="Calibri"/>
          <w:szCs w:val="28"/>
        </w:rPr>
      </w:pPr>
      <w:r w:rsidRPr="00B425B8">
        <w:rPr>
          <w:rFonts w:eastAsia="Calibri" w:cs="Calibri"/>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4579B200" w14:textId="77777777" w:rsidR="00B425B8" w:rsidRPr="00B425B8" w:rsidRDefault="00B425B8" w:rsidP="00B425B8">
      <w:pPr>
        <w:widowControl w:val="0"/>
        <w:tabs>
          <w:tab w:val="left" w:pos="993"/>
        </w:tabs>
        <w:autoSpaceDE w:val="0"/>
        <w:spacing w:after="120"/>
        <w:jc w:val="both"/>
        <w:rPr>
          <w:rFonts w:eastAsia="Calibri" w:cs="Calibri"/>
          <w:szCs w:val="28"/>
        </w:rPr>
      </w:pPr>
      <w:r w:rsidRPr="00B425B8">
        <w:rPr>
          <w:rFonts w:eastAsia="Calibri" w:cs="Calibri"/>
          <w:szCs w:val="28"/>
        </w:rPr>
        <w:t>ponieważ nie wynikały z nich żadne nakazy, zakazy i ograniczenia w zagospodarowaniu przedmiotowego terenu.</w:t>
      </w:r>
    </w:p>
    <w:p w14:paraId="68AE95AC"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Wydanie decyzji o warunkach zabudowy jest możliwe jedynie w przypadku łącznego spełnienia warunków, o których mowa w art. 61 ust. 1 u.p.z.p., a mianowicie:</w:t>
      </w:r>
    </w:p>
    <w:p w14:paraId="0CB0CD77" w14:textId="77777777" w:rsidR="00B425B8" w:rsidRPr="00B425B8" w:rsidRDefault="00B425B8" w:rsidP="00B425B8">
      <w:pPr>
        <w:numPr>
          <w:ilvl w:val="0"/>
          <w:numId w:val="15"/>
        </w:numPr>
        <w:tabs>
          <w:tab w:val="left" w:pos="993"/>
        </w:tabs>
        <w:spacing w:after="120"/>
        <w:ind w:left="142" w:firstLine="567"/>
        <w:contextualSpacing/>
        <w:jc w:val="both"/>
        <w:rPr>
          <w:rFonts w:eastAsia="Calibri" w:cs="Calibri"/>
          <w:szCs w:val="28"/>
        </w:rPr>
      </w:pPr>
      <w:r w:rsidRPr="00B425B8">
        <w:rPr>
          <w:rFonts w:eastAsia="Calibri" w:cs="Calibri"/>
          <w:szCs w:val="28"/>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75C709DF" w14:textId="77777777" w:rsidR="00B425B8" w:rsidRPr="00B425B8" w:rsidRDefault="00B425B8" w:rsidP="00B425B8">
      <w:pPr>
        <w:numPr>
          <w:ilvl w:val="0"/>
          <w:numId w:val="15"/>
        </w:numPr>
        <w:tabs>
          <w:tab w:val="left" w:pos="993"/>
        </w:tabs>
        <w:spacing w:after="120"/>
        <w:ind w:left="142" w:firstLine="567"/>
        <w:contextualSpacing/>
        <w:jc w:val="both"/>
        <w:rPr>
          <w:rFonts w:eastAsia="Calibri" w:cs="Calibri"/>
          <w:szCs w:val="28"/>
        </w:rPr>
      </w:pPr>
      <w:r w:rsidRPr="00B425B8">
        <w:rPr>
          <w:rFonts w:eastAsia="Calibri" w:cs="Calibri"/>
          <w:szCs w:val="28"/>
        </w:rPr>
        <w:t>teren ma dostęp do drogi publicznej rozumiany jako bezpośredni dostęp do tej drogi albo dostęp do niej przez drogę wewnętrzną lub przez ustanowienie odpowiedniej służebności drogowej;</w:t>
      </w:r>
    </w:p>
    <w:p w14:paraId="6FD2A054" w14:textId="77777777" w:rsidR="00B425B8" w:rsidRPr="00B425B8" w:rsidRDefault="00B425B8" w:rsidP="00B425B8">
      <w:pPr>
        <w:numPr>
          <w:ilvl w:val="0"/>
          <w:numId w:val="15"/>
        </w:numPr>
        <w:tabs>
          <w:tab w:val="left" w:pos="993"/>
        </w:tabs>
        <w:spacing w:after="120"/>
        <w:ind w:left="142" w:firstLine="567"/>
        <w:contextualSpacing/>
        <w:jc w:val="both"/>
        <w:rPr>
          <w:rFonts w:eastAsia="Calibri" w:cs="Calibri"/>
          <w:szCs w:val="28"/>
        </w:rPr>
      </w:pPr>
      <w:r w:rsidRPr="00B425B8">
        <w:rPr>
          <w:rFonts w:eastAsia="Calibri" w:cs="Calibri"/>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6815B22E" w14:textId="77777777" w:rsidR="00B425B8" w:rsidRPr="00B425B8" w:rsidRDefault="00B425B8" w:rsidP="00B425B8">
      <w:pPr>
        <w:numPr>
          <w:ilvl w:val="0"/>
          <w:numId w:val="15"/>
        </w:numPr>
        <w:tabs>
          <w:tab w:val="left" w:pos="993"/>
        </w:tabs>
        <w:spacing w:after="120"/>
        <w:ind w:left="142" w:firstLine="567"/>
        <w:contextualSpacing/>
        <w:jc w:val="both"/>
        <w:rPr>
          <w:rFonts w:eastAsia="Calibri" w:cs="Calibri"/>
          <w:szCs w:val="28"/>
        </w:rPr>
      </w:pPr>
      <w:r w:rsidRPr="00B425B8">
        <w:rPr>
          <w:rFonts w:eastAsia="Calibri" w:cs="Calibri"/>
          <w:szCs w:val="28"/>
        </w:rPr>
        <w:t xml:space="preserve">teren nie wymaga uzyskania zgody na zmianę przeznaczenia gruntów rolnych i leśnych na cele nierolnicze i nieleśne albo jest objęty zgodą </w:t>
      </w:r>
      <w:r w:rsidRPr="00B425B8">
        <w:rPr>
          <w:rFonts w:eastAsia="Calibri" w:cs="Calibri"/>
          <w:szCs w:val="28"/>
        </w:rPr>
        <w:lastRenderedPageBreak/>
        <w:t>uzyskaną przy sporządzaniu miejscowych planów, które utraciły moc na podstawie art. 67 ustawy, o której mowa w art. 88 ust. 1;</w:t>
      </w:r>
    </w:p>
    <w:p w14:paraId="23618387" w14:textId="77777777" w:rsidR="00B425B8" w:rsidRPr="00B425B8" w:rsidRDefault="00B425B8" w:rsidP="00B425B8">
      <w:pPr>
        <w:numPr>
          <w:ilvl w:val="0"/>
          <w:numId w:val="15"/>
        </w:numPr>
        <w:tabs>
          <w:tab w:val="left" w:pos="993"/>
        </w:tabs>
        <w:spacing w:after="120"/>
        <w:ind w:left="142" w:firstLine="567"/>
        <w:contextualSpacing/>
        <w:jc w:val="both"/>
        <w:rPr>
          <w:rFonts w:eastAsia="Calibri" w:cs="Calibri"/>
          <w:szCs w:val="28"/>
        </w:rPr>
      </w:pPr>
      <w:r w:rsidRPr="00B425B8">
        <w:rPr>
          <w:rFonts w:eastAsia="Calibri" w:cs="Calibri"/>
          <w:szCs w:val="28"/>
        </w:rPr>
        <w:t>decyzja jest zgodna z przepisami odrębnymi;</w:t>
      </w:r>
    </w:p>
    <w:p w14:paraId="6EFF8C56" w14:textId="77777777" w:rsidR="00B425B8" w:rsidRPr="00B425B8" w:rsidRDefault="00B425B8" w:rsidP="00B425B8">
      <w:pPr>
        <w:numPr>
          <w:ilvl w:val="0"/>
          <w:numId w:val="15"/>
        </w:numPr>
        <w:tabs>
          <w:tab w:val="left" w:pos="993"/>
        </w:tabs>
        <w:spacing w:after="120"/>
        <w:ind w:left="142" w:firstLine="567"/>
        <w:contextualSpacing/>
        <w:jc w:val="both"/>
        <w:rPr>
          <w:rFonts w:eastAsia="Calibri" w:cs="Calibri"/>
          <w:szCs w:val="28"/>
        </w:rPr>
      </w:pPr>
      <w:r w:rsidRPr="00B425B8">
        <w:rPr>
          <w:rFonts w:eastAsia="Calibri" w:cs="Calibri"/>
          <w:szCs w:val="28"/>
          <w:shd w:val="clear" w:color="auto" w:fill="FFFFFF"/>
        </w:rPr>
        <w:t>zamierzenie budowlane nie znajdzie się w obszarze</w:t>
      </w:r>
      <w:r w:rsidRPr="00B425B8">
        <w:rPr>
          <w:rFonts w:eastAsia="Calibri" w:cs="Calibri"/>
          <w:szCs w:val="28"/>
          <w:lang w:eastAsia="pl-PL"/>
        </w:rPr>
        <w:t xml:space="preserve">: </w:t>
      </w:r>
    </w:p>
    <w:p w14:paraId="5CB7A538" w14:textId="77777777" w:rsidR="00B425B8" w:rsidRPr="00B425B8" w:rsidRDefault="00B425B8" w:rsidP="00B425B8">
      <w:pPr>
        <w:numPr>
          <w:ilvl w:val="0"/>
          <w:numId w:val="11"/>
        </w:numPr>
        <w:tabs>
          <w:tab w:val="left" w:pos="1134"/>
        </w:tabs>
        <w:spacing w:after="120"/>
        <w:ind w:left="1134"/>
        <w:contextualSpacing/>
        <w:jc w:val="both"/>
        <w:rPr>
          <w:rFonts w:eastAsia="Calibri" w:cs="Calibri"/>
          <w:szCs w:val="28"/>
        </w:rPr>
      </w:pPr>
      <w:r w:rsidRPr="00B425B8">
        <w:rPr>
          <w:rFonts w:eastAsia="Calibri" w:cs="Calibri"/>
          <w:szCs w:val="28"/>
        </w:rPr>
        <w:t>w stosunku do którego decyzją o ustaleniu lokalizacji strategicznej inwestycji w zakresie sieci przesyłowej, o której mowa w art. 5 ust. 1 ustawy z dnia 24 lipca 2015 r. o przygotowaniu i realizacji strategicznych inwestycji w zakresie sieci przesyłowych (</w:t>
      </w:r>
      <w:r w:rsidRPr="00B425B8">
        <w:rPr>
          <w:rFonts w:eastAsia="Calibri" w:cs="Calibri"/>
          <w:shd w:val="clear" w:color="auto" w:fill="FFFFFF"/>
        </w:rPr>
        <w:t>Dz. U. z 2022 r. poz. 273 i 1846, z 2023 r. poz. 595</w:t>
      </w:r>
      <w:r w:rsidRPr="00B425B8">
        <w:rPr>
          <w:rFonts w:eastAsia="Calibri" w:cs="Calibri"/>
          <w:szCs w:val="28"/>
        </w:rPr>
        <w:t>), ustanowiony został zakaz, o którym mowa w art. 22 ust. 2 pkt 1 tej ustawy,</w:t>
      </w:r>
    </w:p>
    <w:p w14:paraId="0C4A376E" w14:textId="77777777" w:rsidR="00B425B8" w:rsidRPr="00B425B8" w:rsidRDefault="00B425B8" w:rsidP="00B425B8">
      <w:pPr>
        <w:numPr>
          <w:ilvl w:val="0"/>
          <w:numId w:val="11"/>
        </w:numPr>
        <w:tabs>
          <w:tab w:val="left" w:pos="1134"/>
        </w:tabs>
        <w:spacing w:after="120"/>
        <w:ind w:left="1134"/>
        <w:contextualSpacing/>
        <w:jc w:val="both"/>
        <w:rPr>
          <w:rFonts w:eastAsia="Calibri" w:cs="Calibri"/>
          <w:szCs w:val="28"/>
        </w:rPr>
      </w:pPr>
      <w:r w:rsidRPr="00B425B8">
        <w:rPr>
          <w:rFonts w:eastAsia="Calibri" w:cs="Calibri"/>
          <w:szCs w:val="28"/>
          <w:lang w:eastAsia="pl-PL"/>
        </w:rPr>
        <w:t xml:space="preserve">strefy kontrolowanej wyznaczonej po obu stronach gazociągu, </w:t>
      </w:r>
    </w:p>
    <w:p w14:paraId="163D2186" w14:textId="77777777" w:rsidR="00B425B8" w:rsidRPr="00B425B8" w:rsidRDefault="00B425B8" w:rsidP="00B425B8">
      <w:pPr>
        <w:numPr>
          <w:ilvl w:val="0"/>
          <w:numId w:val="11"/>
        </w:numPr>
        <w:tabs>
          <w:tab w:val="left" w:pos="1134"/>
        </w:tabs>
        <w:spacing w:after="120"/>
        <w:ind w:left="1134"/>
        <w:contextualSpacing/>
        <w:jc w:val="both"/>
        <w:rPr>
          <w:rFonts w:eastAsia="Calibri" w:cs="Calibri"/>
          <w:szCs w:val="28"/>
        </w:rPr>
      </w:pPr>
      <w:r w:rsidRPr="00B425B8">
        <w:rPr>
          <w:rFonts w:eastAsia="Calibri" w:cs="Calibri"/>
          <w:szCs w:val="28"/>
          <w:lang w:eastAsia="pl-PL"/>
        </w:rPr>
        <w:t>strefy bezpieczeństwa wyznaczonej po obu stronach rurociągu.</w:t>
      </w:r>
    </w:p>
    <w:p w14:paraId="423BCBC0"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 xml:space="preserve">Zgodnie z informacją Wnioskodawcy, zawartą we wniosku, powierzchnia gospodarstwa rolnego związanego z tą zabudową wynosi ca 138 ha, przy średniej powierzchni gospodarstwa rolnego w gminie Śrem wynoszącej 14,5119 ha. </w:t>
      </w:r>
    </w:p>
    <w:p w14:paraId="0B0455D3" w14:textId="77777777" w:rsidR="00B425B8" w:rsidRPr="00B425B8" w:rsidRDefault="00B425B8" w:rsidP="00B425B8">
      <w:pPr>
        <w:tabs>
          <w:tab w:val="left" w:pos="993"/>
        </w:tabs>
        <w:spacing w:after="120"/>
        <w:ind w:firstLine="567"/>
        <w:jc w:val="both"/>
        <w:rPr>
          <w:rFonts w:eastAsia="Calibri" w:cs="Times New Roman"/>
          <w:szCs w:val="28"/>
        </w:rPr>
      </w:pPr>
      <w:r w:rsidRPr="00B425B8">
        <w:rPr>
          <w:rFonts w:eastAsia="Calibri" w:cs="Times New Roman"/>
          <w:szCs w:val="28"/>
        </w:rPr>
        <w:t>W związku z powyższym w analizowanej sprawie zastosowanie ma art. 61 ust. 4 u.p.z.p., który głosi, że w przypadku, gdy powierzchnia gospodarstwa rolnego związanego z zabudową zagrodową przekracza średnią powierzchnię gospodarstwa rolnego w danej gminie przepisów art. 64 ust 1 pkt 1 u.p.z.p. nie stosuje się (spełnienia wymogów zasady tzw. dobrego sąsiedztwa).</w:t>
      </w:r>
    </w:p>
    <w:p w14:paraId="405D47A9" w14:textId="77777777" w:rsidR="00B425B8" w:rsidRPr="00B425B8" w:rsidRDefault="00B425B8" w:rsidP="00B425B8">
      <w:pPr>
        <w:tabs>
          <w:tab w:val="left" w:pos="993"/>
        </w:tabs>
        <w:spacing w:after="120"/>
        <w:ind w:firstLine="567"/>
        <w:jc w:val="both"/>
        <w:rPr>
          <w:rFonts w:eastAsia="Calibri" w:cs="Times New Roman"/>
          <w:szCs w:val="28"/>
        </w:rPr>
      </w:pPr>
      <w:r w:rsidRPr="00B425B8">
        <w:rPr>
          <w:rFonts w:eastAsia="Calibri" w:cs="Times New Roman"/>
          <w:szCs w:val="28"/>
        </w:rPr>
        <w:t>Biorąc powyższe pod uwagę analiza warunków, o których mowa w art. 61 ust. 1 pkt 2 – 6 u.p.z.p., dokonana w trakcie prowadzonego postępowania potwierdza, że zostały one spełnione, bowiem</w:t>
      </w:r>
      <w:r w:rsidRPr="00B425B8">
        <w:rPr>
          <w:rFonts w:eastAsia="Calibri" w:cs="Calibri"/>
          <w:szCs w:val="28"/>
        </w:rPr>
        <w:t>:</w:t>
      </w:r>
    </w:p>
    <w:p w14:paraId="5592E739" w14:textId="77777777" w:rsidR="00B425B8" w:rsidRPr="00B425B8" w:rsidRDefault="00B425B8" w:rsidP="00B425B8">
      <w:pPr>
        <w:numPr>
          <w:ilvl w:val="0"/>
          <w:numId w:val="16"/>
        </w:numPr>
        <w:tabs>
          <w:tab w:val="left" w:pos="993"/>
        </w:tabs>
        <w:spacing w:after="120"/>
        <w:ind w:left="142" w:firstLine="567"/>
        <w:contextualSpacing/>
        <w:jc w:val="both"/>
        <w:rPr>
          <w:rFonts w:eastAsia="Calibri" w:cs="Calibri"/>
          <w:szCs w:val="28"/>
        </w:rPr>
      </w:pPr>
      <w:r w:rsidRPr="00B425B8">
        <w:rPr>
          <w:rFonts w:eastAsia="Calibri" w:cs="Calibri"/>
          <w:szCs w:val="28"/>
        </w:rPr>
        <w:t xml:space="preserve">teren ma zapewniony bezpośredni dostęp do drogi publicznej (powiatowej) – działki o nr ewid. 80/2, obręb Kadzewo, </w:t>
      </w:r>
      <w:r w:rsidRPr="00B425B8">
        <w:rPr>
          <w:rFonts w:eastAsia="Calibri" w:cs="Calibri"/>
        </w:rPr>
        <w:t xml:space="preserve">poprzez </w:t>
      </w:r>
      <w:r w:rsidRPr="00B425B8">
        <w:rPr>
          <w:rFonts w:eastAsia="Calibri" w:cs="Calibri"/>
          <w:szCs w:val="28"/>
        </w:rPr>
        <w:t>istniejący zjazd;</w:t>
      </w:r>
    </w:p>
    <w:p w14:paraId="7FBD64D2" w14:textId="77777777" w:rsidR="00B425B8" w:rsidRPr="00B425B8" w:rsidRDefault="00B425B8" w:rsidP="00B425B8">
      <w:pPr>
        <w:numPr>
          <w:ilvl w:val="0"/>
          <w:numId w:val="16"/>
        </w:numPr>
        <w:tabs>
          <w:tab w:val="left" w:pos="993"/>
        </w:tabs>
        <w:spacing w:after="120"/>
        <w:ind w:left="142" w:firstLine="567"/>
        <w:contextualSpacing/>
        <w:jc w:val="both"/>
        <w:rPr>
          <w:rFonts w:eastAsia="Calibri" w:cs="Calibri"/>
          <w:szCs w:val="28"/>
        </w:rPr>
      </w:pPr>
      <w:r w:rsidRPr="00B425B8">
        <w:rPr>
          <w:rFonts w:eastAsia="Calibri" w:cs="Calibri"/>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235F5493" w14:textId="77777777" w:rsidR="00B425B8" w:rsidRPr="00B425B8" w:rsidRDefault="00B425B8" w:rsidP="00B425B8">
      <w:pPr>
        <w:numPr>
          <w:ilvl w:val="0"/>
          <w:numId w:val="16"/>
        </w:numPr>
        <w:tabs>
          <w:tab w:val="left" w:pos="993"/>
        </w:tabs>
        <w:spacing w:after="120"/>
        <w:ind w:left="142" w:firstLine="567"/>
        <w:contextualSpacing/>
        <w:jc w:val="both"/>
        <w:rPr>
          <w:rFonts w:eastAsia="Calibri" w:cs="Calibri"/>
          <w:szCs w:val="28"/>
        </w:rPr>
      </w:pPr>
      <w:r w:rsidRPr="00B425B8">
        <w:rPr>
          <w:rFonts w:eastAsia="Calibri" w:cs="Times New Roman"/>
          <w:szCs w:val="28"/>
        </w:rPr>
        <w:t>teren inwestycji nie wymaga uzyskania zgody na zmianę przeznaczenia gruntów rolnych i leśnych na cele nierolnicze i nieleśne, bowiem inwestycja polega na budowie budynku inwentarskiego wraz z niezbędną infrastrukturą towarzyszącą w ramach istniejącego gospodarstwa rolnego, co pozostaje bez wpływu na przeznaczenie terenu (jest dalej przeznaczeniem rolniczym)</w:t>
      </w:r>
      <w:r w:rsidRPr="00B425B8">
        <w:rPr>
          <w:rFonts w:eastAsia="Calibri" w:cs="Calibri"/>
          <w:szCs w:val="28"/>
        </w:rPr>
        <w:t>;</w:t>
      </w:r>
    </w:p>
    <w:p w14:paraId="1B3C4374" w14:textId="77777777" w:rsidR="00B425B8" w:rsidRPr="00B425B8" w:rsidRDefault="00B425B8" w:rsidP="00B425B8">
      <w:pPr>
        <w:numPr>
          <w:ilvl w:val="0"/>
          <w:numId w:val="16"/>
        </w:numPr>
        <w:tabs>
          <w:tab w:val="left" w:pos="993"/>
        </w:tabs>
        <w:spacing w:after="120"/>
        <w:ind w:left="142" w:firstLine="567"/>
        <w:contextualSpacing/>
        <w:jc w:val="both"/>
        <w:rPr>
          <w:rFonts w:eastAsia="Calibri" w:cs="Calibri"/>
          <w:szCs w:val="28"/>
        </w:rPr>
      </w:pPr>
      <w:r w:rsidRPr="00B425B8">
        <w:rPr>
          <w:rFonts w:eastAsia="Calibri" w:cs="Calibri"/>
          <w:szCs w:val="28"/>
        </w:rPr>
        <w:t>decyzja jest zgodna z przepisami odrębnymi;</w:t>
      </w:r>
    </w:p>
    <w:p w14:paraId="71F46785" w14:textId="77777777" w:rsidR="00B425B8" w:rsidRPr="00B425B8" w:rsidRDefault="00B425B8" w:rsidP="00B425B8">
      <w:pPr>
        <w:numPr>
          <w:ilvl w:val="0"/>
          <w:numId w:val="16"/>
        </w:numPr>
        <w:tabs>
          <w:tab w:val="left" w:pos="993"/>
        </w:tabs>
        <w:spacing w:after="120"/>
        <w:ind w:left="142" w:firstLine="567"/>
        <w:contextualSpacing/>
        <w:jc w:val="both"/>
        <w:rPr>
          <w:rFonts w:eastAsia="Calibri" w:cs="Calibri"/>
          <w:szCs w:val="28"/>
        </w:rPr>
      </w:pPr>
      <w:r w:rsidRPr="00B425B8">
        <w:rPr>
          <w:rFonts w:eastAsia="Calibri" w:cs="Calibri"/>
          <w:szCs w:val="28"/>
        </w:rPr>
        <w:t>zamierzenie budowlane nie znajdzie się w obszarze:</w:t>
      </w:r>
    </w:p>
    <w:p w14:paraId="483443DD" w14:textId="77777777" w:rsidR="00B425B8" w:rsidRPr="00B425B8" w:rsidRDefault="00B425B8" w:rsidP="00B425B8">
      <w:pPr>
        <w:numPr>
          <w:ilvl w:val="0"/>
          <w:numId w:val="12"/>
        </w:numPr>
        <w:tabs>
          <w:tab w:val="left" w:pos="1134"/>
        </w:tabs>
        <w:spacing w:after="120"/>
        <w:ind w:left="1134"/>
        <w:contextualSpacing/>
        <w:jc w:val="both"/>
        <w:rPr>
          <w:rFonts w:eastAsia="Calibri" w:cs="Calibri"/>
          <w:szCs w:val="28"/>
        </w:rPr>
      </w:pPr>
      <w:r w:rsidRPr="00B425B8">
        <w:rPr>
          <w:rFonts w:eastAsia="Calibri" w:cs="Calibri"/>
          <w:szCs w:val="28"/>
          <w:shd w:val="clear" w:color="auto" w:fill="FFFFFF"/>
        </w:rPr>
        <w:lastRenderedPageBreak/>
        <w:t>objętym zakazem wznoszenia i utrzymywania obiektów budowlanych przeznaczonych na pobyt ludzi związanym z lokalizacją sieci przesyłowej,</w:t>
      </w:r>
    </w:p>
    <w:p w14:paraId="181C5A84" w14:textId="77777777" w:rsidR="00B425B8" w:rsidRPr="00B425B8" w:rsidRDefault="00B425B8" w:rsidP="00B425B8">
      <w:pPr>
        <w:numPr>
          <w:ilvl w:val="0"/>
          <w:numId w:val="12"/>
        </w:numPr>
        <w:tabs>
          <w:tab w:val="left" w:pos="1134"/>
        </w:tabs>
        <w:spacing w:after="120"/>
        <w:ind w:left="1134"/>
        <w:contextualSpacing/>
        <w:jc w:val="both"/>
        <w:rPr>
          <w:rFonts w:eastAsia="Calibri" w:cs="Calibri"/>
          <w:szCs w:val="28"/>
        </w:rPr>
      </w:pPr>
      <w:r w:rsidRPr="00B425B8">
        <w:rPr>
          <w:rFonts w:eastAsia="Calibri" w:cs="Calibri"/>
          <w:szCs w:val="28"/>
          <w:lang w:eastAsia="pl-PL"/>
        </w:rPr>
        <w:t xml:space="preserve">strefy kontrolowanej wyznaczonej po obu stronach gazociągu, </w:t>
      </w:r>
    </w:p>
    <w:p w14:paraId="12C93CA4" w14:textId="77777777" w:rsidR="00B425B8" w:rsidRPr="00B425B8" w:rsidRDefault="00B425B8" w:rsidP="00B425B8">
      <w:pPr>
        <w:numPr>
          <w:ilvl w:val="0"/>
          <w:numId w:val="12"/>
        </w:numPr>
        <w:tabs>
          <w:tab w:val="left" w:pos="1134"/>
        </w:tabs>
        <w:spacing w:after="120"/>
        <w:ind w:left="1134"/>
        <w:contextualSpacing/>
        <w:jc w:val="both"/>
        <w:rPr>
          <w:rFonts w:eastAsia="Calibri" w:cs="Calibri"/>
          <w:szCs w:val="28"/>
        </w:rPr>
      </w:pPr>
      <w:r w:rsidRPr="00B425B8">
        <w:rPr>
          <w:rFonts w:eastAsia="Calibri" w:cs="Calibri"/>
          <w:szCs w:val="28"/>
          <w:lang w:eastAsia="pl-PL"/>
        </w:rPr>
        <w:t>strefy bezpieczeństwa wyznaczonej po obu stronach rurociągu.</w:t>
      </w:r>
    </w:p>
    <w:p w14:paraId="193B660C" w14:textId="4614F38D" w:rsidR="00B425B8" w:rsidRPr="00B425B8" w:rsidRDefault="00B425B8" w:rsidP="00B425B8">
      <w:pPr>
        <w:spacing w:after="120"/>
        <w:ind w:firstLine="567"/>
        <w:jc w:val="both"/>
        <w:rPr>
          <w:rFonts w:eastAsia="Calibri" w:cs="Calibri"/>
          <w:szCs w:val="28"/>
        </w:rPr>
      </w:pPr>
      <w:r w:rsidRPr="00B425B8">
        <w:rPr>
          <w:rFonts w:eastAsia="Calibri" w:cs="Calibri"/>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w:t>
      </w:r>
      <w:r>
        <w:rPr>
          <w:rFonts w:eastAsia="Calibri" w:cs="Calibri"/>
          <w:szCs w:val="28"/>
        </w:rPr>
        <w:t xml:space="preserve"> </w:t>
      </w:r>
      <w:r w:rsidRPr="00B425B8">
        <w:rPr>
          <w:rFonts w:eastAsia="Calibri" w:cs="Calibri"/>
          <w:szCs w:val="28"/>
        </w:rPr>
        <w:t>Wyznaczenie linii zabudowy powoduje wytyczenie na nieruchomości inwestora obszaru, na którym może odbywać się zabudowa (wyrok WSA w Warszawie z dnia 11.01.2017 r. sygn. akt IV SA/Wa 2123/16).</w:t>
      </w:r>
    </w:p>
    <w:p w14:paraId="16C6A7EA"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5E246F68"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 xml:space="preserve">Dla planowanej inwestycji ustalono nieprzekraczalną linię zabudowy wyznaczoną wzdłuż istniejącego na działce budynku mieszkalnego jednorodzinnego, oznaczoną jako linię ciągłą, </w:t>
      </w:r>
      <w:r w:rsidRPr="00B425B8">
        <w:rPr>
          <w:rFonts w:eastAsia="Calibri" w:cs="Times New Roman"/>
        </w:rPr>
        <w:t>z umieszczonymi</w:t>
      </w:r>
      <w:r w:rsidRPr="00B425B8">
        <w:rPr>
          <w:rFonts w:eastAsia="Calibri" w:cs="Calibri"/>
          <w:szCs w:val="28"/>
        </w:rPr>
        <w:t xml:space="preserve"> stycznie niewypełnionymi trójkątami. 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p>
    <w:p w14:paraId="36D2D9D9" w14:textId="77777777" w:rsidR="00B425B8" w:rsidRDefault="00B425B8" w:rsidP="00B425B8">
      <w:pPr>
        <w:spacing w:after="120"/>
        <w:jc w:val="both"/>
        <w:rPr>
          <w:rFonts w:eastAsia="Calibri" w:cs="Calibri"/>
          <w:szCs w:val="28"/>
        </w:rPr>
      </w:pPr>
      <w:r w:rsidRPr="00B425B8">
        <w:rPr>
          <w:rFonts w:eastAsia="Calibri" w:cs="Calibri"/>
          <w:szCs w:val="28"/>
        </w:rPr>
        <w:t xml:space="preserve">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4B6F3DE6" w14:textId="77777777" w:rsidR="00B425B8" w:rsidRDefault="00B425B8" w:rsidP="00B425B8">
      <w:pPr>
        <w:spacing w:after="120"/>
        <w:jc w:val="both"/>
        <w:rPr>
          <w:rFonts w:eastAsia="Calibri" w:cs="Calibri"/>
          <w:szCs w:val="28"/>
        </w:rPr>
      </w:pPr>
    </w:p>
    <w:p w14:paraId="606CF272" w14:textId="77777777" w:rsidR="00B425B8" w:rsidRDefault="00B425B8" w:rsidP="00B425B8">
      <w:pPr>
        <w:spacing w:after="120"/>
        <w:jc w:val="both"/>
        <w:rPr>
          <w:rFonts w:eastAsia="Calibri" w:cs="Calibri"/>
          <w:szCs w:val="28"/>
        </w:rPr>
      </w:pPr>
    </w:p>
    <w:p w14:paraId="1B33C6CD" w14:textId="77777777" w:rsidR="00B425B8" w:rsidRPr="00B425B8" w:rsidRDefault="00B425B8" w:rsidP="00B425B8">
      <w:pPr>
        <w:spacing w:after="120"/>
        <w:jc w:val="both"/>
        <w:rPr>
          <w:rFonts w:eastAsia="Calibri" w:cs="Calibri"/>
          <w:szCs w:val="28"/>
        </w:rPr>
      </w:pPr>
    </w:p>
    <w:p w14:paraId="51FC3757"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lastRenderedPageBreak/>
        <w:t>Wyznaczona w niniejszej decyzji linia zabudowy ma charakter nieprzekraczalnej, co oznacza, że określa ona jedynie maksymalny zasięg położenia planowanej inwestycji względem drogi powiatowej</w:t>
      </w:r>
      <w:r w:rsidRPr="00B425B8">
        <w:rPr>
          <w:rFonts w:eastAsia="Calibri" w:cs="Calibri"/>
          <w:color w:val="1F497D"/>
          <w:szCs w:val="28"/>
        </w:rPr>
        <w:t xml:space="preserve">, </w:t>
      </w:r>
      <w:r w:rsidRPr="00B425B8">
        <w:rPr>
          <w:rFonts w:eastAsia="Calibri" w:cs="Calibri"/>
          <w:szCs w:val="28"/>
        </w:rPr>
        <w:t>nie przesądzając jednak o ostatecznej lokalizacji poszczególnych obiektów na działce.</w:t>
      </w:r>
    </w:p>
    <w:p w14:paraId="53E3F8D1"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6BCD5F90"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W niniejszej decyzji Burmistrz Śremu nie określił zasad związanych z lokalizacją miejsc parkingowych na terenie inwestycji, bowiem planowane przedsięwzięcie, ze względu na swój charakter, nie generuje dodatkowych potrzeb parkingowych.</w:t>
      </w:r>
    </w:p>
    <w:p w14:paraId="40D7F7E5" w14:textId="77777777" w:rsidR="00B425B8" w:rsidRPr="00B425B8" w:rsidRDefault="00B425B8" w:rsidP="00B425B8">
      <w:pPr>
        <w:spacing w:after="120"/>
        <w:ind w:firstLine="567"/>
        <w:jc w:val="both"/>
        <w:rPr>
          <w:rFonts w:eastAsia="Calibri" w:cs="Times New Roman"/>
          <w:szCs w:val="28"/>
        </w:rPr>
      </w:pPr>
      <w:r w:rsidRPr="00B425B8">
        <w:rPr>
          <w:rFonts w:eastAsia="Calibri" w:cs="Calibri"/>
          <w:szCs w:val="28"/>
        </w:rPr>
        <w:t xml:space="preserve">Planowane przedsięwzięcie zostało zakwalifikowane do przedsięwzięć mogących </w:t>
      </w:r>
      <w:r w:rsidRPr="00B425B8">
        <w:rPr>
          <w:rFonts w:eastAsia="Calibri" w:cs="Calibri"/>
          <w:color w:val="000000"/>
          <w:szCs w:val="28"/>
        </w:rPr>
        <w:t xml:space="preserve">znacząco </w:t>
      </w:r>
      <w:r w:rsidRPr="00B425B8">
        <w:rPr>
          <w:rFonts w:eastAsia="Calibri" w:cs="Calibri"/>
          <w:szCs w:val="28"/>
        </w:rPr>
        <w:t xml:space="preserve">oddziaływać na środowisko, o których mowa w rozporządzeniu Rady Ministrów z dnia 10 września 2019 r. w sprawie przedsięwzięć mogących znacząco oddziaływać na środowisko (Dz. U. poz. 1839, z 2022 r. 1071). </w:t>
      </w:r>
      <w:r w:rsidRPr="00B425B8">
        <w:rPr>
          <w:rFonts w:eastAsia="Calibri" w:cs="Times New Roman"/>
          <w:szCs w:val="28"/>
        </w:rPr>
        <w:t>Dla planowanej inwestycji 03.06.2022 r. została wydana decyzja o środowiskowych uwarunkowaniach (PPSOŚ.6220.14.2021.BM), w której określono istotne warunki korzystania ze środowiska w fazie realizacji i eksploatacji lub użytkowania przedsięwzięcia. W ramach postępowania stwierdzono potrzebę przeprowadzenia oceny oddziaływania na środowisko dla planowanego przedsięwzięcia. Decyzja stała się ostateczna 24.06.2022 r.</w:t>
      </w:r>
    </w:p>
    <w:p w14:paraId="384DEB47" w14:textId="77777777" w:rsidR="00B425B8" w:rsidRPr="00B425B8" w:rsidRDefault="00B425B8" w:rsidP="00B425B8">
      <w:pPr>
        <w:widowControl w:val="0"/>
        <w:autoSpaceDE w:val="0"/>
        <w:spacing w:after="120"/>
        <w:ind w:firstLine="567"/>
        <w:jc w:val="both"/>
        <w:rPr>
          <w:rFonts w:eastAsia="Calibri" w:cs="Times New Roman"/>
        </w:rPr>
      </w:pPr>
      <w:r w:rsidRPr="00B425B8">
        <w:rPr>
          <w:rFonts w:eastAsia="Calibri" w:cs="Calibri"/>
          <w:szCs w:val="28"/>
        </w:rPr>
        <w:t>Projekt decyzji został uzgodniony z organami, o których mowa w art. 53 ust. 4 pkt 6 i pkt 9, w związku z art. 64 ust. 1 u.p.z.p., a mianowicie z(e)</w:t>
      </w:r>
      <w:r w:rsidRPr="00B425B8">
        <w:rPr>
          <w:rFonts w:eastAsia="Calibri" w:cs="Times New Roman"/>
        </w:rPr>
        <w:t>:</w:t>
      </w:r>
    </w:p>
    <w:p w14:paraId="2047C987" w14:textId="77777777" w:rsidR="00B425B8" w:rsidRPr="00B425B8" w:rsidRDefault="00B425B8" w:rsidP="00B425B8">
      <w:pPr>
        <w:widowControl w:val="0"/>
        <w:numPr>
          <w:ilvl w:val="0"/>
          <w:numId w:val="19"/>
        </w:numPr>
        <w:autoSpaceDE w:val="0"/>
        <w:spacing w:after="120"/>
        <w:contextualSpacing/>
        <w:jc w:val="both"/>
        <w:rPr>
          <w:rFonts w:eastAsia="Calibri" w:cs="Times New Roman"/>
        </w:rPr>
      </w:pPr>
      <w:r w:rsidRPr="00B425B8">
        <w:rPr>
          <w:rFonts w:eastAsia="Times New Roman" w:cs="Calibri"/>
          <w:szCs w:val="28"/>
          <w:lang w:eastAsia="pl-PL"/>
        </w:rPr>
        <w:t>Starostą Śremskim i Dyrektorem Zarządu Zlewni Państwowego Gospodarstwa Wodnego Wody Polskie w Poznaniu,</w:t>
      </w:r>
    </w:p>
    <w:p w14:paraId="7D0B0580" w14:textId="77777777" w:rsidR="00B425B8" w:rsidRPr="00B425B8" w:rsidRDefault="00B425B8" w:rsidP="00B425B8">
      <w:pPr>
        <w:widowControl w:val="0"/>
        <w:numPr>
          <w:ilvl w:val="0"/>
          <w:numId w:val="19"/>
        </w:numPr>
        <w:autoSpaceDE w:val="0"/>
        <w:spacing w:after="120"/>
        <w:contextualSpacing/>
        <w:jc w:val="both"/>
        <w:rPr>
          <w:rFonts w:eastAsia="Calibri" w:cs="Times New Roman"/>
        </w:rPr>
      </w:pPr>
      <w:r w:rsidRPr="00B425B8">
        <w:rPr>
          <w:rFonts w:eastAsia="Times New Roman" w:cs="Calibri"/>
          <w:szCs w:val="28"/>
          <w:lang w:eastAsia="pl-PL"/>
        </w:rPr>
        <w:t>Dyrektorem Powiatowego Zarządu Dróg w Śremie.</w:t>
      </w:r>
    </w:p>
    <w:p w14:paraId="2ADEE7F4" w14:textId="77777777" w:rsidR="00B425B8" w:rsidRPr="00B425B8" w:rsidRDefault="00B425B8" w:rsidP="00B425B8">
      <w:pPr>
        <w:widowControl w:val="0"/>
        <w:autoSpaceDE w:val="0"/>
        <w:spacing w:after="120"/>
        <w:ind w:firstLine="567"/>
        <w:jc w:val="both"/>
        <w:rPr>
          <w:rFonts w:eastAsia="Calibri" w:cs="Calibri"/>
          <w:szCs w:val="28"/>
        </w:rPr>
      </w:pPr>
      <w:r w:rsidRPr="00B425B8">
        <w:rPr>
          <w:rFonts w:eastAsia="Calibri" w:cs="Calibri"/>
          <w:szCs w:val="28"/>
        </w:rPr>
        <w:t>Projekt decyzji nie wymagał zaopiniowania przez operatorów, o których mowa w art. 53 ust. 5e w związku z art. 64 ust. 1 ww. ustawy.</w:t>
      </w:r>
    </w:p>
    <w:p w14:paraId="3D87B01A" w14:textId="77777777" w:rsidR="00B425B8" w:rsidRDefault="00B425B8" w:rsidP="00B425B8">
      <w:pPr>
        <w:widowControl w:val="0"/>
        <w:autoSpaceDE w:val="0"/>
        <w:spacing w:after="120"/>
        <w:ind w:firstLine="567"/>
        <w:jc w:val="both"/>
        <w:rPr>
          <w:rFonts w:eastAsia="Calibri" w:cs="Calibri"/>
        </w:rPr>
      </w:pPr>
      <w:r w:rsidRPr="00B425B8">
        <w:rPr>
          <w:rFonts w:eastAsia="Calibri" w:cs="Calibri"/>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w:t>
      </w:r>
    </w:p>
    <w:p w14:paraId="5CB65D9E" w14:textId="2C5E6CFB" w:rsidR="00B425B8" w:rsidRPr="00B425B8" w:rsidRDefault="00B425B8" w:rsidP="00B425B8">
      <w:pPr>
        <w:widowControl w:val="0"/>
        <w:autoSpaceDE w:val="0"/>
        <w:spacing w:after="120"/>
        <w:jc w:val="both"/>
        <w:rPr>
          <w:rFonts w:eastAsia="Calibri" w:cs="Calibri"/>
        </w:rPr>
      </w:pPr>
      <w:r w:rsidRPr="00B425B8">
        <w:rPr>
          <w:rFonts w:eastAsia="Calibri" w:cs="Calibri"/>
        </w:rPr>
        <w:lastRenderedPageBreak/>
        <w:t xml:space="preserve">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5B326D15" w14:textId="77777777" w:rsidR="00B425B8" w:rsidRPr="00B425B8" w:rsidRDefault="00B425B8" w:rsidP="00B425B8">
      <w:pPr>
        <w:widowControl w:val="0"/>
        <w:autoSpaceDE w:val="0"/>
        <w:spacing w:after="120"/>
        <w:ind w:firstLine="567"/>
        <w:jc w:val="both"/>
        <w:rPr>
          <w:rFonts w:eastAsia="Calibri" w:cs="Calibri"/>
        </w:rPr>
      </w:pPr>
      <w:r w:rsidRPr="00B425B8">
        <w:rPr>
          <w:rFonts w:eastAsia="Calibri" w:cs="Calibri"/>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bookmarkStart w:id="0" w:name="_Hlk92801010"/>
    </w:p>
    <w:p w14:paraId="388FB40B" w14:textId="77777777" w:rsidR="00B425B8" w:rsidRPr="00B425B8" w:rsidRDefault="00B425B8" w:rsidP="00B425B8">
      <w:pPr>
        <w:widowControl w:val="0"/>
        <w:autoSpaceDE w:val="0"/>
        <w:spacing w:after="120"/>
        <w:ind w:firstLine="567"/>
        <w:jc w:val="both"/>
        <w:rPr>
          <w:rFonts w:eastAsia="Calibri" w:cs="Calibri"/>
        </w:rPr>
      </w:pPr>
      <w:r w:rsidRPr="00B425B8">
        <w:rPr>
          <w:rFonts w:eastAsia="Calibri" w:cs="Calibri"/>
        </w:rPr>
        <w:t>Zakresem oddziaływania planowanej inwestycji objęty jest teren: działka o nr ewid. 189/2, obręb Kadzewo.</w:t>
      </w:r>
    </w:p>
    <w:p w14:paraId="7BFAD5AC" w14:textId="77777777" w:rsidR="00B425B8" w:rsidRPr="00B425B8" w:rsidRDefault="00B425B8" w:rsidP="00B425B8">
      <w:pPr>
        <w:widowControl w:val="0"/>
        <w:autoSpaceDE w:val="0"/>
        <w:spacing w:after="120"/>
        <w:ind w:firstLine="567"/>
        <w:jc w:val="both"/>
        <w:rPr>
          <w:rFonts w:eastAsia="Calibri" w:cs="Calibri"/>
        </w:rPr>
      </w:pPr>
      <w:r w:rsidRPr="00B425B8">
        <w:rPr>
          <w:rFonts w:eastAsia="Calibri" w:cs="Calibri"/>
        </w:rPr>
        <w:t>Biorąc powyższe pod uwagę za stronę postępowania został uznany Wnioskodawca, będący jednocześnie właścicielem terenu objętego wnioskiem.</w:t>
      </w:r>
    </w:p>
    <w:bookmarkEnd w:id="0"/>
    <w:p w14:paraId="60E412DB" w14:textId="77777777" w:rsidR="00B425B8" w:rsidRPr="00B425B8" w:rsidRDefault="00B425B8" w:rsidP="00B425B8">
      <w:pPr>
        <w:tabs>
          <w:tab w:val="left" w:pos="851"/>
        </w:tabs>
        <w:spacing w:after="120"/>
        <w:ind w:firstLine="567"/>
        <w:jc w:val="both"/>
        <w:rPr>
          <w:rFonts w:eastAsia="Calibri" w:cs="Calibri"/>
        </w:rPr>
      </w:pPr>
      <w:r w:rsidRPr="00B425B8">
        <w:rPr>
          <w:rFonts w:eastAsia="Calibri" w:cs="Calibri"/>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28B440A3" w14:textId="77777777" w:rsidR="00B425B8" w:rsidRPr="00B425B8" w:rsidRDefault="00B425B8" w:rsidP="00B425B8">
      <w:pPr>
        <w:tabs>
          <w:tab w:val="left" w:pos="851"/>
        </w:tabs>
        <w:spacing w:after="120"/>
        <w:ind w:firstLine="567"/>
        <w:jc w:val="both"/>
        <w:rPr>
          <w:rFonts w:eastAsia="Calibri" w:cs="Calibri"/>
          <w:szCs w:val="28"/>
        </w:rPr>
      </w:pPr>
      <w:r w:rsidRPr="00B425B8">
        <w:rPr>
          <w:rFonts w:eastAsia="Calibri" w:cs="Calibri"/>
          <w:szCs w:val="28"/>
        </w:rPr>
        <w:t xml:space="preserve">Stosownie do art. 56, w związku z art. 64 u.p.z.p. nie można odmówić ustalenia warunków zabudowy, jeżeli zamierzenie inwestycyjne jest zgodne z przepisami odrębnymi. </w:t>
      </w:r>
    </w:p>
    <w:p w14:paraId="26208854" w14:textId="77777777" w:rsidR="00B425B8" w:rsidRPr="00B425B8" w:rsidRDefault="00B425B8" w:rsidP="00B425B8">
      <w:pPr>
        <w:tabs>
          <w:tab w:val="left" w:pos="851"/>
        </w:tabs>
        <w:spacing w:after="120"/>
        <w:ind w:firstLine="567"/>
        <w:jc w:val="both"/>
        <w:rPr>
          <w:rFonts w:eastAsia="Calibri" w:cs="Calibri"/>
          <w:szCs w:val="28"/>
        </w:rPr>
      </w:pPr>
      <w:r w:rsidRPr="00B425B8">
        <w:rPr>
          <w:rFonts w:eastAsia="Calibri" w:cs="Calibri"/>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491AD38F" w14:textId="77777777" w:rsidR="00B425B8" w:rsidRPr="00B425B8" w:rsidRDefault="00B425B8" w:rsidP="00B425B8">
      <w:pPr>
        <w:spacing w:after="120"/>
        <w:jc w:val="center"/>
        <w:rPr>
          <w:rFonts w:eastAsia="Calibri" w:cs="Calibri"/>
          <w:szCs w:val="28"/>
        </w:rPr>
      </w:pPr>
      <w:r w:rsidRPr="00B425B8">
        <w:rPr>
          <w:rFonts w:eastAsia="Calibri" w:cs="Calibri"/>
          <w:szCs w:val="28"/>
        </w:rPr>
        <w:t>W związku z powyższym orzeczono jak w sentencji.</w:t>
      </w:r>
    </w:p>
    <w:p w14:paraId="2532F502" w14:textId="77777777" w:rsidR="00B425B8" w:rsidRPr="00B425B8" w:rsidRDefault="00B425B8" w:rsidP="00B425B8">
      <w:pPr>
        <w:spacing w:after="120"/>
        <w:jc w:val="center"/>
        <w:rPr>
          <w:rFonts w:eastAsia="Calibri" w:cs="Calibri"/>
          <w:szCs w:val="28"/>
        </w:rPr>
      </w:pPr>
      <w:r w:rsidRPr="00B425B8">
        <w:rPr>
          <w:rFonts w:eastAsia="Calibri" w:cs="Calibri"/>
          <w:szCs w:val="28"/>
        </w:rPr>
        <w:lastRenderedPageBreak/>
        <w:t>Pouczenie</w:t>
      </w:r>
    </w:p>
    <w:p w14:paraId="2EEE2252"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Od niniejszej decyzji służy stronom prawo wniesienia odwołania do Samorządowego Kolegium Odwoławczego w Poznaniu, za moim pośrednictwem, w terminie 14 dni od dnia doręczenia.</w:t>
      </w:r>
    </w:p>
    <w:p w14:paraId="00A78068"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 xml:space="preserve">Przed upływem terminu do wniesienia odwołania strona może, na podstawie art. 127a § 1 ustawy z dnia 14 czerwca 1960 r. – Kodeks postępowania administracyjnego, zrzec się prawa do wniesienia odwołania wobec organu administracji publicznej, który wydał decyzję. </w:t>
      </w:r>
    </w:p>
    <w:p w14:paraId="34F5B660"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Z dniem doręczenia organowi administracji publicznej oświadczenia o zrzeczeniu się prawa do wniesienia odwołania przez ostatnią ze stron postępowania, decyzja staje się ostateczna i prawomocna.</w:t>
      </w:r>
    </w:p>
    <w:p w14:paraId="51625B3D"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B425B8">
        <w:rPr>
          <w:rFonts w:eastAsia="Calibri" w:cs="Calibri"/>
          <w:szCs w:val="28"/>
          <w:shd w:val="clear" w:color="auto" w:fill="FFFFFF"/>
        </w:rPr>
        <w:t>wnosi się za pośrednictwem Burmistrza Śremu.</w:t>
      </w:r>
    </w:p>
    <w:p w14:paraId="45531AC0" w14:textId="77777777" w:rsidR="00B425B8" w:rsidRPr="00B425B8" w:rsidRDefault="00B425B8" w:rsidP="00B425B8">
      <w:pPr>
        <w:spacing w:after="120"/>
        <w:jc w:val="center"/>
        <w:rPr>
          <w:rFonts w:eastAsia="Calibri" w:cs="Calibri"/>
          <w:szCs w:val="28"/>
        </w:rPr>
      </w:pPr>
      <w:r w:rsidRPr="00B425B8">
        <w:rPr>
          <w:rFonts w:eastAsia="Calibri" w:cs="Calibri"/>
          <w:szCs w:val="28"/>
        </w:rPr>
        <w:t>Informacja</w:t>
      </w:r>
    </w:p>
    <w:p w14:paraId="203602FB"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Stosownie do art. 63 pkt 2 u.p.z.p. decyzja o warunkach zabudowy nie rodzi praw do terenu oraz nie narusza prawa własności i uprawnień osób trzecich.</w:t>
      </w:r>
    </w:p>
    <w:p w14:paraId="531D18BF" w14:textId="77777777" w:rsidR="00B425B8" w:rsidRPr="00B425B8" w:rsidRDefault="00B425B8" w:rsidP="00B425B8">
      <w:pPr>
        <w:spacing w:after="120"/>
        <w:ind w:firstLine="567"/>
        <w:jc w:val="both"/>
        <w:rPr>
          <w:rFonts w:eastAsia="Calibri" w:cs="Calibri"/>
          <w:szCs w:val="28"/>
        </w:rPr>
      </w:pPr>
      <w:r w:rsidRPr="00B425B8">
        <w:rPr>
          <w:rFonts w:eastAsia="Calibri" w:cs="Calibri"/>
          <w:szCs w:val="28"/>
        </w:rPr>
        <w:t>Stosownie do art. 65 u.p.z.p. w drodze decyzji, stwierdza się wygaśnięcie decyzji o warunkach zabudowy albo decyzji o lokalizacji inwestycji celu publicznego, jeżeli:</w:t>
      </w:r>
    </w:p>
    <w:p w14:paraId="1E4B2EC1" w14:textId="77777777" w:rsidR="00B425B8" w:rsidRPr="00B425B8" w:rsidRDefault="00B425B8" w:rsidP="00B425B8">
      <w:pPr>
        <w:widowControl w:val="0"/>
        <w:numPr>
          <w:ilvl w:val="1"/>
          <w:numId w:val="9"/>
        </w:numPr>
        <w:tabs>
          <w:tab w:val="left" w:pos="993"/>
        </w:tabs>
        <w:autoSpaceDE w:val="0"/>
        <w:autoSpaceDN w:val="0"/>
        <w:adjustRightInd w:val="0"/>
        <w:spacing w:after="120"/>
        <w:ind w:left="0" w:firstLine="567"/>
        <w:jc w:val="both"/>
        <w:rPr>
          <w:rFonts w:eastAsia="Calibri" w:cs="Calibri"/>
          <w:szCs w:val="28"/>
        </w:rPr>
      </w:pPr>
      <w:r w:rsidRPr="00B425B8">
        <w:rPr>
          <w:rFonts w:eastAsia="Calibri" w:cs="Calibri"/>
          <w:szCs w:val="28"/>
        </w:rPr>
        <w:t>inny wnioskodawca uzyskał pozwolenie na budowę;</w:t>
      </w:r>
    </w:p>
    <w:p w14:paraId="454D7403" w14:textId="77777777" w:rsidR="00B425B8" w:rsidRPr="00B425B8" w:rsidRDefault="00B425B8" w:rsidP="00B425B8">
      <w:pPr>
        <w:widowControl w:val="0"/>
        <w:numPr>
          <w:ilvl w:val="1"/>
          <w:numId w:val="9"/>
        </w:numPr>
        <w:tabs>
          <w:tab w:val="left" w:pos="993"/>
        </w:tabs>
        <w:autoSpaceDE w:val="0"/>
        <w:autoSpaceDN w:val="0"/>
        <w:adjustRightInd w:val="0"/>
        <w:spacing w:after="120"/>
        <w:ind w:left="0" w:firstLine="567"/>
        <w:jc w:val="both"/>
        <w:rPr>
          <w:rFonts w:eastAsia="Calibri" w:cs="Calibri"/>
          <w:szCs w:val="28"/>
        </w:rPr>
      </w:pPr>
      <w:r w:rsidRPr="00B425B8">
        <w:rPr>
          <w:rFonts w:eastAsia="Calibri" w:cs="Calibri"/>
          <w:szCs w:val="28"/>
        </w:rPr>
        <w:t>dla tego terenu uchwalono plan miejscowy, którego ustalenia są inne niż w wydanej decyzji.</w:t>
      </w:r>
    </w:p>
    <w:p w14:paraId="47685F05" w14:textId="77777777" w:rsidR="00B425B8" w:rsidRPr="00B425B8" w:rsidRDefault="00B425B8" w:rsidP="00B425B8">
      <w:pPr>
        <w:widowControl w:val="0"/>
        <w:autoSpaceDE w:val="0"/>
        <w:autoSpaceDN w:val="0"/>
        <w:adjustRightInd w:val="0"/>
        <w:spacing w:after="120"/>
        <w:ind w:right="-1"/>
        <w:jc w:val="both"/>
        <w:rPr>
          <w:rFonts w:eastAsia="Calibri" w:cs="Calibri"/>
          <w:szCs w:val="28"/>
        </w:rPr>
      </w:pPr>
    </w:p>
    <w:p w14:paraId="0A122B0C" w14:textId="77777777" w:rsidR="00B425B8" w:rsidRPr="00B425B8" w:rsidRDefault="00B425B8" w:rsidP="00B425B8">
      <w:pPr>
        <w:widowControl w:val="0"/>
        <w:autoSpaceDE w:val="0"/>
        <w:autoSpaceDN w:val="0"/>
        <w:adjustRightInd w:val="0"/>
        <w:spacing w:after="120"/>
        <w:ind w:right="-1"/>
        <w:jc w:val="both"/>
        <w:rPr>
          <w:rFonts w:eastAsia="Calibri" w:cs="Calibri"/>
          <w:szCs w:val="28"/>
        </w:rPr>
      </w:pPr>
    </w:p>
    <w:p w14:paraId="760A11DF" w14:textId="77777777" w:rsidR="00B425B8" w:rsidRPr="00B425B8" w:rsidRDefault="00B425B8" w:rsidP="00B425B8">
      <w:pPr>
        <w:widowControl w:val="0"/>
        <w:autoSpaceDE w:val="0"/>
        <w:autoSpaceDN w:val="0"/>
        <w:adjustRightInd w:val="0"/>
        <w:spacing w:after="120"/>
        <w:ind w:right="-1"/>
        <w:jc w:val="both"/>
        <w:rPr>
          <w:rFonts w:eastAsia="Calibri" w:cs="Calibri"/>
          <w:szCs w:val="28"/>
        </w:rPr>
      </w:pPr>
    </w:p>
    <w:p w14:paraId="7B5C7FC9" w14:textId="77777777" w:rsidR="00B425B8" w:rsidRPr="00B425B8" w:rsidRDefault="00B425B8" w:rsidP="00B425B8">
      <w:pPr>
        <w:widowControl w:val="0"/>
        <w:autoSpaceDE w:val="0"/>
        <w:autoSpaceDN w:val="0"/>
        <w:adjustRightInd w:val="0"/>
        <w:spacing w:after="120"/>
        <w:ind w:right="-1"/>
        <w:jc w:val="both"/>
        <w:rPr>
          <w:rFonts w:eastAsia="Calibri" w:cs="Calibri"/>
          <w:szCs w:val="28"/>
        </w:rPr>
      </w:pPr>
      <w:r w:rsidRPr="00B425B8">
        <w:rPr>
          <w:rFonts w:eastAsia="Calibri" w:cs="Calibri"/>
          <w:szCs w:val="28"/>
        </w:rPr>
        <w:t>Załączniki:</w:t>
      </w:r>
    </w:p>
    <w:p w14:paraId="269F31E4" w14:textId="77777777" w:rsidR="00B425B8" w:rsidRPr="00B425B8" w:rsidRDefault="00B425B8" w:rsidP="00B425B8">
      <w:pPr>
        <w:numPr>
          <w:ilvl w:val="0"/>
          <w:numId w:val="10"/>
        </w:numPr>
        <w:spacing w:after="120"/>
        <w:ind w:right="-1"/>
        <w:jc w:val="both"/>
        <w:rPr>
          <w:rFonts w:eastAsia="Calibri" w:cs="Calibri"/>
          <w:szCs w:val="28"/>
        </w:rPr>
      </w:pPr>
      <w:r w:rsidRPr="00B425B8">
        <w:rPr>
          <w:rFonts w:eastAsia="Calibri" w:cs="Calibri"/>
          <w:szCs w:val="28"/>
        </w:rPr>
        <w:t>załącznik nr 1 – część graficzna decyzji,</w:t>
      </w:r>
    </w:p>
    <w:p w14:paraId="4449B2A6" w14:textId="77777777" w:rsidR="00B425B8" w:rsidRPr="00B425B8" w:rsidRDefault="00B425B8" w:rsidP="00B425B8">
      <w:pPr>
        <w:numPr>
          <w:ilvl w:val="0"/>
          <w:numId w:val="10"/>
        </w:numPr>
        <w:spacing w:after="120"/>
        <w:ind w:right="-1"/>
        <w:jc w:val="both"/>
        <w:rPr>
          <w:rFonts w:eastAsia="Calibri" w:cs="Calibri"/>
          <w:szCs w:val="28"/>
        </w:rPr>
      </w:pPr>
      <w:r w:rsidRPr="00B425B8">
        <w:rPr>
          <w:rFonts w:eastAsia="Calibri" w:cs="Calibri"/>
          <w:szCs w:val="28"/>
        </w:rPr>
        <w:t>załącznik nr 2 – część tekstowa wyników analizy funkcji oraz cech zabudowy i zagospodarowania terenu.</w:t>
      </w:r>
    </w:p>
    <w:p w14:paraId="5A575455" w14:textId="77777777" w:rsidR="00B425B8" w:rsidRPr="00B425B8" w:rsidRDefault="00B425B8" w:rsidP="00B425B8">
      <w:pPr>
        <w:jc w:val="both"/>
        <w:rPr>
          <w:rFonts w:eastAsia="Calibri" w:cs="Calibri"/>
          <w:szCs w:val="28"/>
        </w:rPr>
      </w:pPr>
    </w:p>
    <w:p w14:paraId="634B2C66" w14:textId="77777777" w:rsidR="00B425B8" w:rsidRPr="00B425B8" w:rsidRDefault="00B425B8" w:rsidP="00B425B8">
      <w:pPr>
        <w:jc w:val="both"/>
        <w:rPr>
          <w:rFonts w:eastAsia="Calibri" w:cs="Calibri"/>
          <w:szCs w:val="28"/>
        </w:rPr>
      </w:pPr>
      <w:r w:rsidRPr="00B425B8">
        <w:rPr>
          <w:rFonts w:eastAsia="Calibri" w:cs="Calibri"/>
          <w:szCs w:val="28"/>
        </w:rPr>
        <w:lastRenderedPageBreak/>
        <w:t>Sprawę prowadzi:</w:t>
      </w:r>
    </w:p>
    <w:p w14:paraId="55F337FE" w14:textId="77777777" w:rsidR="00B425B8" w:rsidRPr="00B425B8" w:rsidRDefault="00B425B8" w:rsidP="00B425B8">
      <w:pPr>
        <w:jc w:val="both"/>
        <w:rPr>
          <w:rFonts w:eastAsia="Calibri" w:cs="Calibri"/>
          <w:szCs w:val="28"/>
        </w:rPr>
      </w:pPr>
      <w:r w:rsidRPr="00B425B8">
        <w:rPr>
          <w:rFonts w:eastAsia="Calibri" w:cs="Calibri"/>
          <w:szCs w:val="28"/>
        </w:rPr>
        <w:t>wz. Magdalena Nerling</w:t>
      </w:r>
      <w:r w:rsidRPr="00B425B8">
        <w:rPr>
          <w:rFonts w:eastAsia="Calibri" w:cs="Calibri"/>
          <w:szCs w:val="28"/>
        </w:rPr>
        <w:tab/>
      </w:r>
    </w:p>
    <w:p w14:paraId="6EB7FD89" w14:textId="77777777" w:rsidR="00B425B8" w:rsidRPr="00B425B8" w:rsidRDefault="00B425B8" w:rsidP="00B425B8">
      <w:pPr>
        <w:jc w:val="both"/>
        <w:rPr>
          <w:rFonts w:eastAsia="Calibri" w:cs="Calibri"/>
          <w:szCs w:val="28"/>
        </w:rPr>
      </w:pPr>
      <w:r w:rsidRPr="00B425B8">
        <w:rPr>
          <w:rFonts w:eastAsia="Calibri" w:cs="Calibri"/>
          <w:szCs w:val="28"/>
        </w:rPr>
        <w:t>inspektor</w:t>
      </w:r>
    </w:p>
    <w:p w14:paraId="2386710C" w14:textId="77777777" w:rsidR="00B425B8" w:rsidRPr="00B425B8" w:rsidRDefault="00B425B8" w:rsidP="00B425B8">
      <w:pPr>
        <w:jc w:val="both"/>
        <w:rPr>
          <w:rFonts w:eastAsia="Calibri" w:cs="Calibri"/>
          <w:szCs w:val="28"/>
        </w:rPr>
      </w:pPr>
      <w:r w:rsidRPr="00B425B8">
        <w:rPr>
          <w:rFonts w:eastAsia="Calibri" w:cs="Calibri"/>
          <w:szCs w:val="28"/>
        </w:rPr>
        <w:t xml:space="preserve">tel. 61 28 47 131 </w:t>
      </w:r>
    </w:p>
    <w:p w14:paraId="77ABB1FF" w14:textId="77777777" w:rsidR="00B425B8" w:rsidRPr="00B425B8" w:rsidRDefault="00B425B8" w:rsidP="00B425B8">
      <w:pPr>
        <w:spacing w:after="120"/>
        <w:ind w:left="567"/>
        <w:jc w:val="both"/>
        <w:rPr>
          <w:rFonts w:eastAsia="Calibri" w:cs="Calibri"/>
          <w:szCs w:val="28"/>
        </w:rPr>
      </w:pPr>
    </w:p>
    <w:p w14:paraId="10D87F46" w14:textId="77777777" w:rsidR="00B425B8" w:rsidRPr="00B425B8" w:rsidRDefault="00B425B8" w:rsidP="00B425B8">
      <w:pPr>
        <w:spacing w:after="120"/>
        <w:jc w:val="both"/>
        <w:rPr>
          <w:rFonts w:eastAsia="Calibri" w:cs="Calibri"/>
          <w:szCs w:val="28"/>
        </w:rPr>
      </w:pPr>
      <w:r w:rsidRPr="00B425B8">
        <w:rPr>
          <w:rFonts w:eastAsia="Calibri" w:cs="Calibri"/>
          <w:szCs w:val="28"/>
        </w:rPr>
        <w:t>Otrzymują:</w:t>
      </w:r>
    </w:p>
    <w:p w14:paraId="5C9748D1" w14:textId="77777777" w:rsidR="00B425B8" w:rsidRPr="00B425B8" w:rsidRDefault="00B425B8" w:rsidP="00B425B8">
      <w:pPr>
        <w:numPr>
          <w:ilvl w:val="0"/>
          <w:numId w:val="18"/>
        </w:numPr>
        <w:spacing w:after="120"/>
        <w:contextualSpacing/>
        <w:jc w:val="both"/>
        <w:rPr>
          <w:rFonts w:eastAsia="Calibri" w:cs="Calibri"/>
          <w:szCs w:val="28"/>
        </w:rPr>
      </w:pPr>
      <w:r w:rsidRPr="00B425B8">
        <w:rPr>
          <w:rFonts w:eastAsia="Calibri" w:cs="Calibri"/>
          <w:szCs w:val="28"/>
        </w:rPr>
        <w:t xml:space="preserve">Strona postępowania: </w:t>
      </w:r>
    </w:p>
    <w:p w14:paraId="32D15018" w14:textId="77777777" w:rsidR="00B425B8" w:rsidRPr="00B425B8" w:rsidRDefault="00B425B8" w:rsidP="00B425B8">
      <w:pPr>
        <w:spacing w:after="120"/>
        <w:ind w:left="720"/>
        <w:contextualSpacing/>
        <w:jc w:val="both"/>
        <w:rPr>
          <w:rFonts w:eastAsia="Calibri" w:cs="Calibri"/>
          <w:szCs w:val="28"/>
        </w:rPr>
      </w:pPr>
      <w:r w:rsidRPr="00B425B8">
        <w:rPr>
          <w:rFonts w:eastAsia="Calibri" w:cs="Calibri"/>
          <w:szCs w:val="28"/>
        </w:rPr>
        <w:t>Pan Piotr Jędrzejczak; Kadzewo 14, 63-100 Śrem</w:t>
      </w:r>
    </w:p>
    <w:p w14:paraId="22FA7E37" w14:textId="77777777" w:rsidR="00B425B8" w:rsidRPr="00B425B8" w:rsidRDefault="00B425B8" w:rsidP="00B425B8">
      <w:pPr>
        <w:spacing w:after="120"/>
        <w:ind w:left="720"/>
        <w:contextualSpacing/>
        <w:jc w:val="both"/>
        <w:rPr>
          <w:rFonts w:eastAsia="Calibri" w:cs="Calibri"/>
          <w:szCs w:val="28"/>
        </w:rPr>
      </w:pPr>
      <w:r w:rsidRPr="00B425B8">
        <w:rPr>
          <w:rFonts w:eastAsia="Calibri" w:cs="Calibri"/>
          <w:szCs w:val="28"/>
        </w:rPr>
        <w:t>pełnomocnik: Pani Natalia Gałczyńska; ul. Lotnicza 21B, 99-100 Łęczyca</w:t>
      </w:r>
    </w:p>
    <w:p w14:paraId="7EC8C11E" w14:textId="77777777" w:rsidR="00B425B8" w:rsidRPr="00B425B8" w:rsidRDefault="00B425B8" w:rsidP="00B425B8">
      <w:pPr>
        <w:numPr>
          <w:ilvl w:val="0"/>
          <w:numId w:val="18"/>
        </w:numPr>
        <w:spacing w:after="120"/>
        <w:contextualSpacing/>
        <w:jc w:val="both"/>
        <w:rPr>
          <w:rFonts w:eastAsia="Calibri" w:cs="Calibri"/>
          <w:szCs w:val="28"/>
        </w:rPr>
      </w:pPr>
      <w:r w:rsidRPr="00B425B8">
        <w:rPr>
          <w:rFonts w:eastAsia="Calibri" w:cs="Calibri"/>
          <w:szCs w:val="28"/>
        </w:rPr>
        <w:t>Aa</w:t>
      </w:r>
    </w:p>
    <w:p w14:paraId="76A5A47D" w14:textId="77777777" w:rsidR="00B425B8" w:rsidRPr="00B425B8" w:rsidRDefault="00B425B8" w:rsidP="00B425B8">
      <w:pPr>
        <w:spacing w:after="120"/>
        <w:ind w:left="720"/>
        <w:contextualSpacing/>
        <w:jc w:val="both"/>
        <w:rPr>
          <w:rFonts w:eastAsia="Calibri" w:cs="Calibri"/>
          <w:szCs w:val="28"/>
        </w:rPr>
      </w:pPr>
    </w:p>
    <w:p w14:paraId="12EAF38D" w14:textId="4BA454B5" w:rsidR="006717DC" w:rsidRDefault="00B425B8" w:rsidP="00B425B8">
      <w:pPr>
        <w:spacing w:after="120"/>
        <w:contextualSpacing/>
        <w:jc w:val="both"/>
        <w:rPr>
          <w:rFonts w:asciiTheme="minorHAnsi" w:hAnsiTheme="minorHAnsi" w:cstheme="minorHAnsi"/>
          <w:szCs w:val="28"/>
        </w:rPr>
        <w:sectPr w:rsidR="006717DC" w:rsidSect="00D55CB4">
          <w:headerReference w:type="default" r:id="rId7"/>
          <w:footerReference w:type="default" r:id="rId8"/>
          <w:headerReference w:type="first" r:id="rId9"/>
          <w:footerReference w:type="first" r:id="rId10"/>
          <w:pgSz w:w="11906" w:h="16838"/>
          <w:pgMar w:top="1417" w:right="1417" w:bottom="1701" w:left="1701" w:header="709" w:footer="709" w:gutter="0"/>
          <w:cols w:space="708"/>
          <w:titlePg/>
          <w:docGrid w:linePitch="381"/>
        </w:sectPr>
      </w:pPr>
      <w:r w:rsidRPr="00B425B8">
        <w:rPr>
          <w:rFonts w:eastAsia="Calibri" w:cs="Calibri"/>
          <w:szCs w:val="28"/>
        </w:rPr>
        <w:t>Decyzja zwolniona od opłaty skarbowej zgodnie z załącznikiem do ustawy z dnia 16 listopada 2006 r. o opłacie skarbowej (Dz. U. z 2022 r. poz. 2142, 1812 i 2236, z 2023 r. poz. 412 i 919) część I ust. 8.</w:t>
      </w:r>
    </w:p>
    <w:p w14:paraId="3B7F57C5" w14:textId="6EC57DC1" w:rsidR="006717DC" w:rsidRDefault="00713C27" w:rsidP="00713C27">
      <w:pPr>
        <w:spacing w:after="120"/>
        <w:ind w:right="-1"/>
        <w:jc w:val="center"/>
        <w:rPr>
          <w:rFonts w:asciiTheme="minorHAnsi" w:hAnsiTheme="minorHAnsi" w:cstheme="minorHAnsi"/>
          <w:szCs w:val="28"/>
        </w:rPr>
        <w:sectPr w:rsidR="006717DC" w:rsidSect="006717DC">
          <w:pgSz w:w="16838" w:h="11906" w:orient="landscape"/>
          <w:pgMar w:top="1701" w:right="1417" w:bottom="1417" w:left="1701" w:header="709" w:footer="709" w:gutter="0"/>
          <w:cols w:space="708"/>
          <w:docGrid w:linePitch="381"/>
        </w:sectPr>
      </w:pPr>
      <w:r>
        <w:rPr>
          <w:rFonts w:asciiTheme="minorHAnsi" w:hAnsiTheme="minorHAnsi" w:cstheme="minorHAnsi"/>
          <w:noProof/>
          <w:szCs w:val="28"/>
        </w:rPr>
        <w:lastRenderedPageBreak/>
        <w:drawing>
          <wp:inline distT="0" distB="0" distL="0" distR="0" wp14:anchorId="21BA4815" wp14:editId="71F8BF08">
            <wp:extent cx="7905750" cy="5572125"/>
            <wp:effectExtent l="0" t="0" r="0" b="9525"/>
            <wp:docPr id="1188403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05750" cy="5572125"/>
                    </a:xfrm>
                    <a:prstGeom prst="rect">
                      <a:avLst/>
                    </a:prstGeom>
                    <a:noFill/>
                    <a:ln>
                      <a:noFill/>
                    </a:ln>
                  </pic:spPr>
                </pic:pic>
              </a:graphicData>
            </a:graphic>
          </wp:inline>
        </w:drawing>
      </w:r>
    </w:p>
    <w:p w14:paraId="72765241" w14:textId="77777777" w:rsidR="00713C27" w:rsidRPr="00713C27" w:rsidRDefault="00713C27" w:rsidP="00713C27">
      <w:pPr>
        <w:spacing w:after="120"/>
        <w:rPr>
          <w:rFonts w:eastAsia="Calibri" w:cs="Calibri"/>
          <w:szCs w:val="28"/>
        </w:rPr>
      </w:pPr>
      <w:r w:rsidRPr="00713C27">
        <w:rPr>
          <w:rFonts w:eastAsia="Calibri" w:cs="Calibri"/>
          <w:szCs w:val="28"/>
        </w:rPr>
        <w:lastRenderedPageBreak/>
        <w:t>PPSPP.6730.63.2023.GMON</w:t>
      </w:r>
    </w:p>
    <w:p w14:paraId="403E86C4" w14:textId="77777777" w:rsidR="00713C27" w:rsidRPr="00713C27" w:rsidRDefault="00713C27" w:rsidP="00713C27">
      <w:pPr>
        <w:spacing w:after="120"/>
        <w:rPr>
          <w:rFonts w:eastAsia="Calibri" w:cs="Calibri"/>
          <w:szCs w:val="28"/>
        </w:rPr>
      </w:pPr>
    </w:p>
    <w:p w14:paraId="39C4F07C" w14:textId="77777777" w:rsidR="00713C27" w:rsidRPr="00713C27" w:rsidRDefault="00713C27" w:rsidP="00713C27">
      <w:pPr>
        <w:spacing w:after="120"/>
        <w:jc w:val="center"/>
        <w:rPr>
          <w:rFonts w:eastAsia="Calibri" w:cs="Calibri"/>
          <w:szCs w:val="28"/>
        </w:rPr>
      </w:pPr>
      <w:r w:rsidRPr="00713C27">
        <w:rPr>
          <w:rFonts w:eastAsia="Calibri" w:cs="Calibri"/>
          <w:szCs w:val="28"/>
        </w:rPr>
        <w:t>Wyniki analizy funkcji oraz cech zabudowy i zagospodarowania terenu w zakresie warunków, o których mowa w art. 61 ust. 1 – 5 ustawy z dnia 27 marca 2003 r. o planowaniu i zagospodarowaniu przestrzennym</w:t>
      </w:r>
    </w:p>
    <w:p w14:paraId="534A925F" w14:textId="77777777" w:rsidR="00713C27" w:rsidRPr="00713C27" w:rsidRDefault="00713C27" w:rsidP="00713C27">
      <w:pPr>
        <w:spacing w:after="120"/>
        <w:rPr>
          <w:rFonts w:eastAsia="Calibri" w:cs="Calibri"/>
          <w:szCs w:val="28"/>
        </w:rPr>
      </w:pPr>
    </w:p>
    <w:p w14:paraId="6EDE31BB" w14:textId="77777777" w:rsidR="00713C27" w:rsidRPr="00713C27" w:rsidRDefault="00713C27" w:rsidP="00713C27">
      <w:pPr>
        <w:spacing w:after="120"/>
        <w:ind w:firstLine="567"/>
        <w:jc w:val="both"/>
        <w:rPr>
          <w:rFonts w:eastAsia="Calibri" w:cs="Calibri"/>
          <w:szCs w:val="28"/>
        </w:rPr>
      </w:pPr>
      <w:r w:rsidRPr="00713C27">
        <w:rPr>
          <w:rFonts w:eastAsia="Calibri" w:cs="Calibri"/>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1"/>
        <w:tblW w:w="0" w:type="auto"/>
        <w:tblInd w:w="108" w:type="dxa"/>
        <w:tblLook w:val="04A0" w:firstRow="1" w:lastRow="0" w:firstColumn="1" w:lastColumn="0" w:noHBand="0" w:noVBand="1"/>
      </w:tblPr>
      <w:tblGrid>
        <w:gridCol w:w="880"/>
        <w:gridCol w:w="5962"/>
        <w:gridCol w:w="1828"/>
      </w:tblGrid>
      <w:tr w:rsidR="00713C27" w:rsidRPr="00713C27" w14:paraId="69269C24" w14:textId="77777777" w:rsidTr="005B4655">
        <w:tc>
          <w:tcPr>
            <w:tcW w:w="6842" w:type="dxa"/>
            <w:gridSpan w:val="2"/>
            <w:tcBorders>
              <w:top w:val="single" w:sz="4" w:space="0" w:color="auto"/>
              <w:left w:val="single" w:sz="4" w:space="0" w:color="auto"/>
              <w:bottom w:val="single" w:sz="4" w:space="0" w:color="auto"/>
              <w:right w:val="dotted" w:sz="4" w:space="0" w:color="auto"/>
            </w:tcBorders>
            <w:vAlign w:val="center"/>
            <w:hideMark/>
          </w:tcPr>
          <w:p w14:paraId="5D26D05D" w14:textId="77777777" w:rsidR="00713C27" w:rsidRPr="00713C27" w:rsidRDefault="00713C27" w:rsidP="00713C27">
            <w:pPr>
              <w:spacing w:after="120"/>
              <w:jc w:val="both"/>
              <w:rPr>
                <w:rFonts w:ascii="Calibri" w:hAnsi="Calibri" w:cs="Calibri"/>
                <w:sz w:val="24"/>
                <w:szCs w:val="24"/>
              </w:rPr>
            </w:pPr>
            <w:r w:rsidRPr="00713C27">
              <w:rPr>
                <w:rFonts w:ascii="Calibri" w:hAnsi="Calibri" w:cs="Calibri"/>
                <w:sz w:val="24"/>
                <w:szCs w:val="24"/>
              </w:rPr>
              <w:t>Punkt i treść warunku, o którym mowa w art. 61 ust. 1</w:t>
            </w:r>
          </w:p>
        </w:tc>
        <w:tc>
          <w:tcPr>
            <w:tcW w:w="1828" w:type="dxa"/>
            <w:tcBorders>
              <w:top w:val="single" w:sz="4" w:space="0" w:color="auto"/>
              <w:left w:val="dotted" w:sz="4" w:space="0" w:color="auto"/>
              <w:bottom w:val="single" w:sz="4" w:space="0" w:color="auto"/>
              <w:right w:val="single" w:sz="4" w:space="0" w:color="auto"/>
            </w:tcBorders>
            <w:vAlign w:val="center"/>
            <w:hideMark/>
          </w:tcPr>
          <w:p w14:paraId="35145C53"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Spełnienie warunku</w:t>
            </w:r>
          </w:p>
        </w:tc>
      </w:tr>
      <w:tr w:rsidR="00713C27" w:rsidRPr="00713C27" w14:paraId="2C25D6C3" w14:textId="77777777" w:rsidTr="005B4655">
        <w:tc>
          <w:tcPr>
            <w:tcW w:w="880" w:type="dxa"/>
            <w:tcBorders>
              <w:top w:val="single" w:sz="4" w:space="0" w:color="auto"/>
              <w:left w:val="single" w:sz="4" w:space="0" w:color="auto"/>
              <w:bottom w:val="single" w:sz="2" w:space="0" w:color="auto"/>
              <w:right w:val="dotted" w:sz="4" w:space="0" w:color="auto"/>
            </w:tcBorders>
            <w:vAlign w:val="center"/>
            <w:hideMark/>
          </w:tcPr>
          <w:p w14:paraId="0940EF91"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pkt 1</w:t>
            </w:r>
          </w:p>
        </w:tc>
        <w:tc>
          <w:tcPr>
            <w:tcW w:w="5962" w:type="dxa"/>
            <w:tcBorders>
              <w:top w:val="single" w:sz="4" w:space="0" w:color="auto"/>
              <w:left w:val="dotted" w:sz="4" w:space="0" w:color="auto"/>
              <w:bottom w:val="single" w:sz="2" w:space="0" w:color="auto"/>
              <w:right w:val="dotted" w:sz="4" w:space="0" w:color="auto"/>
            </w:tcBorders>
            <w:hideMark/>
          </w:tcPr>
          <w:p w14:paraId="1B334307" w14:textId="77777777" w:rsidR="00713C27" w:rsidRPr="00713C27" w:rsidRDefault="00713C27" w:rsidP="00713C27">
            <w:pPr>
              <w:spacing w:after="120"/>
              <w:jc w:val="both"/>
              <w:rPr>
                <w:rFonts w:ascii="Calibri" w:hAnsi="Calibri" w:cs="Calibri"/>
                <w:sz w:val="24"/>
                <w:szCs w:val="24"/>
              </w:rPr>
            </w:pPr>
            <w:r w:rsidRPr="00713C27">
              <w:rPr>
                <w:rFonts w:ascii="Calibri" w:hAnsi="Calibri" w:cs="Calibr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28" w:type="dxa"/>
            <w:tcBorders>
              <w:top w:val="single" w:sz="4" w:space="0" w:color="auto"/>
              <w:left w:val="dotted" w:sz="4" w:space="0" w:color="auto"/>
              <w:bottom w:val="single" w:sz="2" w:space="0" w:color="auto"/>
              <w:right w:val="single" w:sz="4" w:space="0" w:color="auto"/>
            </w:tcBorders>
            <w:vAlign w:val="center"/>
            <w:hideMark/>
          </w:tcPr>
          <w:p w14:paraId="189F239C"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nie stosuje się</w:t>
            </w:r>
          </w:p>
        </w:tc>
      </w:tr>
      <w:tr w:rsidR="00713C27" w:rsidRPr="00713C27" w14:paraId="6B0DD8FD" w14:textId="77777777" w:rsidTr="005B4655">
        <w:tc>
          <w:tcPr>
            <w:tcW w:w="880" w:type="dxa"/>
            <w:tcBorders>
              <w:top w:val="single" w:sz="2" w:space="0" w:color="auto"/>
              <w:left w:val="single" w:sz="4" w:space="0" w:color="auto"/>
              <w:bottom w:val="single" w:sz="2" w:space="0" w:color="auto"/>
              <w:right w:val="dotted" w:sz="4" w:space="0" w:color="auto"/>
            </w:tcBorders>
            <w:vAlign w:val="center"/>
            <w:hideMark/>
          </w:tcPr>
          <w:p w14:paraId="42ACCE6E"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pkt 2</w:t>
            </w:r>
          </w:p>
        </w:tc>
        <w:tc>
          <w:tcPr>
            <w:tcW w:w="5962" w:type="dxa"/>
            <w:tcBorders>
              <w:top w:val="single" w:sz="2" w:space="0" w:color="auto"/>
              <w:left w:val="dotted" w:sz="4" w:space="0" w:color="auto"/>
              <w:bottom w:val="single" w:sz="2" w:space="0" w:color="auto"/>
              <w:right w:val="dotted" w:sz="4" w:space="0" w:color="auto"/>
            </w:tcBorders>
            <w:hideMark/>
          </w:tcPr>
          <w:p w14:paraId="7A7838C2" w14:textId="77777777" w:rsidR="00713C27" w:rsidRPr="00713C27" w:rsidRDefault="00713C27" w:rsidP="00713C27">
            <w:pPr>
              <w:spacing w:after="120"/>
              <w:jc w:val="both"/>
              <w:rPr>
                <w:rFonts w:ascii="Calibri" w:eastAsia="Times New Roman" w:hAnsi="Calibri" w:cs="Calibri"/>
                <w:sz w:val="24"/>
                <w:szCs w:val="24"/>
                <w:lang w:eastAsia="pl-PL"/>
              </w:rPr>
            </w:pPr>
            <w:bookmarkStart w:id="1" w:name="mip44711609"/>
            <w:bookmarkEnd w:id="1"/>
            <w:r w:rsidRPr="00713C27">
              <w:rPr>
                <w:rFonts w:ascii="Calibri" w:eastAsia="Times New Roman" w:hAnsi="Calibri" w:cs="Calibri"/>
                <w:sz w:val="24"/>
                <w:szCs w:val="24"/>
                <w:lang w:eastAsia="pl-PL"/>
              </w:rPr>
              <w:t>teren ma dostęp do drogi publicznej</w:t>
            </w:r>
          </w:p>
        </w:tc>
        <w:tc>
          <w:tcPr>
            <w:tcW w:w="1828" w:type="dxa"/>
            <w:tcBorders>
              <w:top w:val="single" w:sz="2" w:space="0" w:color="auto"/>
              <w:left w:val="dotted" w:sz="4" w:space="0" w:color="auto"/>
              <w:bottom w:val="single" w:sz="2" w:space="0" w:color="auto"/>
              <w:right w:val="single" w:sz="4" w:space="0" w:color="auto"/>
            </w:tcBorders>
            <w:vAlign w:val="center"/>
            <w:hideMark/>
          </w:tcPr>
          <w:p w14:paraId="712672C5"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tak</w:t>
            </w:r>
          </w:p>
        </w:tc>
      </w:tr>
      <w:tr w:rsidR="00713C27" w:rsidRPr="00713C27" w14:paraId="07E04B9A" w14:textId="77777777" w:rsidTr="005B4655">
        <w:tc>
          <w:tcPr>
            <w:tcW w:w="880" w:type="dxa"/>
            <w:tcBorders>
              <w:top w:val="single" w:sz="2" w:space="0" w:color="auto"/>
              <w:left w:val="single" w:sz="4" w:space="0" w:color="auto"/>
              <w:bottom w:val="single" w:sz="2" w:space="0" w:color="auto"/>
              <w:right w:val="dotted" w:sz="4" w:space="0" w:color="auto"/>
            </w:tcBorders>
            <w:vAlign w:val="center"/>
            <w:hideMark/>
          </w:tcPr>
          <w:p w14:paraId="0D4A51A2"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pkt 3</w:t>
            </w:r>
          </w:p>
        </w:tc>
        <w:tc>
          <w:tcPr>
            <w:tcW w:w="5962" w:type="dxa"/>
            <w:tcBorders>
              <w:top w:val="single" w:sz="2" w:space="0" w:color="auto"/>
              <w:left w:val="dotted" w:sz="4" w:space="0" w:color="auto"/>
              <w:bottom w:val="single" w:sz="2" w:space="0" w:color="auto"/>
              <w:right w:val="dotted" w:sz="4" w:space="0" w:color="auto"/>
            </w:tcBorders>
            <w:hideMark/>
          </w:tcPr>
          <w:p w14:paraId="772A60BB" w14:textId="77777777" w:rsidR="00713C27" w:rsidRPr="00713C27" w:rsidRDefault="00713C27" w:rsidP="00713C27">
            <w:pPr>
              <w:spacing w:after="120"/>
              <w:jc w:val="both"/>
              <w:rPr>
                <w:rFonts w:ascii="Calibri" w:hAnsi="Calibri" w:cs="Calibri"/>
                <w:sz w:val="24"/>
                <w:szCs w:val="24"/>
              </w:rPr>
            </w:pPr>
            <w:r w:rsidRPr="00713C27">
              <w:rPr>
                <w:rFonts w:ascii="Calibri" w:hAnsi="Calibri" w:cs="Calibri"/>
                <w:sz w:val="24"/>
                <w:szCs w:val="24"/>
              </w:rPr>
              <w:t>istniejące lub projektowane uzbrojenie terenu jest wystarczające dla zamierzenia budowlanego</w:t>
            </w:r>
          </w:p>
        </w:tc>
        <w:tc>
          <w:tcPr>
            <w:tcW w:w="1828" w:type="dxa"/>
            <w:tcBorders>
              <w:top w:val="single" w:sz="2" w:space="0" w:color="auto"/>
              <w:left w:val="dotted" w:sz="4" w:space="0" w:color="auto"/>
              <w:bottom w:val="single" w:sz="2" w:space="0" w:color="auto"/>
              <w:right w:val="single" w:sz="4" w:space="0" w:color="auto"/>
            </w:tcBorders>
            <w:vAlign w:val="center"/>
            <w:hideMark/>
          </w:tcPr>
          <w:p w14:paraId="2FCDDE92"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tak</w:t>
            </w:r>
          </w:p>
        </w:tc>
      </w:tr>
      <w:tr w:rsidR="00713C27" w:rsidRPr="00713C27" w14:paraId="1FAF0099" w14:textId="77777777" w:rsidTr="005B4655">
        <w:tc>
          <w:tcPr>
            <w:tcW w:w="880" w:type="dxa"/>
            <w:tcBorders>
              <w:top w:val="single" w:sz="2" w:space="0" w:color="auto"/>
              <w:left w:val="single" w:sz="4" w:space="0" w:color="auto"/>
              <w:bottom w:val="single" w:sz="2" w:space="0" w:color="auto"/>
              <w:right w:val="dotted" w:sz="4" w:space="0" w:color="auto"/>
            </w:tcBorders>
            <w:vAlign w:val="center"/>
            <w:hideMark/>
          </w:tcPr>
          <w:p w14:paraId="42C10E24"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pkt 4</w:t>
            </w:r>
          </w:p>
        </w:tc>
        <w:tc>
          <w:tcPr>
            <w:tcW w:w="5962" w:type="dxa"/>
            <w:tcBorders>
              <w:top w:val="single" w:sz="2" w:space="0" w:color="auto"/>
              <w:left w:val="dotted" w:sz="4" w:space="0" w:color="auto"/>
              <w:bottom w:val="single" w:sz="2" w:space="0" w:color="auto"/>
              <w:right w:val="dotted" w:sz="4" w:space="0" w:color="auto"/>
            </w:tcBorders>
            <w:hideMark/>
          </w:tcPr>
          <w:p w14:paraId="03484197" w14:textId="77777777" w:rsidR="00713C27" w:rsidRPr="00713C27" w:rsidRDefault="00713C27" w:rsidP="00713C27">
            <w:pPr>
              <w:spacing w:after="120"/>
              <w:jc w:val="both"/>
              <w:rPr>
                <w:rFonts w:ascii="Calibri" w:hAnsi="Calibri" w:cs="Calibri"/>
                <w:sz w:val="24"/>
                <w:szCs w:val="24"/>
              </w:rPr>
            </w:pPr>
            <w:r w:rsidRPr="00713C27">
              <w:rPr>
                <w:rFonts w:ascii="Calibri" w:hAnsi="Calibri" w:cs="Calibri"/>
                <w:sz w:val="24"/>
                <w:szCs w:val="24"/>
              </w:rPr>
              <w:t>teren nie wymaga</w:t>
            </w:r>
            <w:r w:rsidRPr="00713C27">
              <w:rPr>
                <w:rFonts w:ascii="Calibri" w:hAnsi="Calibri" w:cs="Calibri"/>
                <w:i/>
                <w:sz w:val="24"/>
                <w:szCs w:val="24"/>
              </w:rPr>
              <w:t xml:space="preserve"> </w:t>
            </w:r>
            <w:r w:rsidRPr="00713C27">
              <w:rPr>
                <w:rFonts w:ascii="Calibri" w:hAnsi="Calibri" w:cs="Calibr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28" w:type="dxa"/>
            <w:tcBorders>
              <w:top w:val="single" w:sz="2" w:space="0" w:color="auto"/>
              <w:left w:val="dotted" w:sz="4" w:space="0" w:color="auto"/>
              <w:bottom w:val="single" w:sz="2" w:space="0" w:color="auto"/>
              <w:right w:val="single" w:sz="4" w:space="0" w:color="auto"/>
            </w:tcBorders>
            <w:vAlign w:val="center"/>
            <w:hideMark/>
          </w:tcPr>
          <w:p w14:paraId="0608EE6A"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 xml:space="preserve">tak </w:t>
            </w:r>
          </w:p>
        </w:tc>
      </w:tr>
      <w:tr w:rsidR="00713C27" w:rsidRPr="00713C27" w14:paraId="4BF30CC4" w14:textId="77777777" w:rsidTr="005B4655">
        <w:tc>
          <w:tcPr>
            <w:tcW w:w="880" w:type="dxa"/>
            <w:tcBorders>
              <w:top w:val="single" w:sz="2" w:space="0" w:color="auto"/>
              <w:left w:val="single" w:sz="4" w:space="0" w:color="auto"/>
              <w:bottom w:val="single" w:sz="2" w:space="0" w:color="auto"/>
              <w:right w:val="dotted" w:sz="4" w:space="0" w:color="auto"/>
            </w:tcBorders>
            <w:vAlign w:val="center"/>
            <w:hideMark/>
          </w:tcPr>
          <w:p w14:paraId="17B6BEDF"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pkt 5</w:t>
            </w:r>
          </w:p>
        </w:tc>
        <w:tc>
          <w:tcPr>
            <w:tcW w:w="5962" w:type="dxa"/>
            <w:tcBorders>
              <w:top w:val="single" w:sz="2" w:space="0" w:color="auto"/>
              <w:left w:val="dotted" w:sz="4" w:space="0" w:color="auto"/>
              <w:bottom w:val="single" w:sz="2" w:space="0" w:color="auto"/>
              <w:right w:val="dotted" w:sz="4" w:space="0" w:color="auto"/>
            </w:tcBorders>
            <w:hideMark/>
          </w:tcPr>
          <w:p w14:paraId="58C53EAC" w14:textId="77777777" w:rsidR="00713C27" w:rsidRPr="00713C27" w:rsidRDefault="00713C27" w:rsidP="00713C27">
            <w:pPr>
              <w:spacing w:after="120"/>
              <w:jc w:val="both"/>
              <w:rPr>
                <w:rFonts w:ascii="Calibri" w:hAnsi="Calibri" w:cs="Calibri"/>
                <w:sz w:val="24"/>
                <w:szCs w:val="24"/>
              </w:rPr>
            </w:pPr>
            <w:r w:rsidRPr="00713C27">
              <w:rPr>
                <w:rFonts w:ascii="Calibri" w:hAnsi="Calibri" w:cs="Calibri"/>
                <w:sz w:val="24"/>
                <w:szCs w:val="24"/>
              </w:rPr>
              <w:t>decyzja jest zgodna z przepisami odrębnymi</w:t>
            </w:r>
          </w:p>
        </w:tc>
        <w:tc>
          <w:tcPr>
            <w:tcW w:w="1828" w:type="dxa"/>
            <w:tcBorders>
              <w:top w:val="single" w:sz="2" w:space="0" w:color="auto"/>
              <w:left w:val="dotted" w:sz="4" w:space="0" w:color="auto"/>
              <w:bottom w:val="single" w:sz="2" w:space="0" w:color="auto"/>
              <w:right w:val="single" w:sz="4" w:space="0" w:color="auto"/>
            </w:tcBorders>
            <w:vAlign w:val="center"/>
            <w:hideMark/>
          </w:tcPr>
          <w:p w14:paraId="220243E2"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 xml:space="preserve">tak </w:t>
            </w:r>
          </w:p>
        </w:tc>
      </w:tr>
      <w:tr w:rsidR="00713C27" w:rsidRPr="00713C27" w14:paraId="1B2E12C1" w14:textId="77777777" w:rsidTr="005B4655">
        <w:tc>
          <w:tcPr>
            <w:tcW w:w="880" w:type="dxa"/>
            <w:tcBorders>
              <w:top w:val="single" w:sz="2" w:space="0" w:color="auto"/>
              <w:left w:val="single" w:sz="4" w:space="0" w:color="auto"/>
              <w:bottom w:val="single" w:sz="4" w:space="0" w:color="auto"/>
              <w:right w:val="dotted" w:sz="4" w:space="0" w:color="auto"/>
            </w:tcBorders>
            <w:vAlign w:val="center"/>
          </w:tcPr>
          <w:p w14:paraId="463DA8F9"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pkt 6</w:t>
            </w:r>
          </w:p>
        </w:tc>
        <w:tc>
          <w:tcPr>
            <w:tcW w:w="5962" w:type="dxa"/>
            <w:tcBorders>
              <w:top w:val="single" w:sz="2" w:space="0" w:color="auto"/>
              <w:left w:val="dotted" w:sz="4" w:space="0" w:color="auto"/>
              <w:bottom w:val="single" w:sz="4" w:space="0" w:color="auto"/>
              <w:right w:val="dotted" w:sz="4" w:space="0" w:color="auto"/>
            </w:tcBorders>
          </w:tcPr>
          <w:p w14:paraId="46883644" w14:textId="77777777" w:rsidR="00713C27" w:rsidRPr="00713C27" w:rsidRDefault="00713C27" w:rsidP="00713C27">
            <w:pPr>
              <w:spacing w:after="120"/>
              <w:jc w:val="both"/>
              <w:rPr>
                <w:rFonts w:ascii="Calibri" w:hAnsi="Calibri" w:cs="Calibri"/>
                <w:sz w:val="24"/>
                <w:szCs w:val="24"/>
              </w:rPr>
            </w:pPr>
            <w:r w:rsidRPr="00713C27">
              <w:rPr>
                <w:rFonts w:ascii="Calibri" w:hAnsi="Calibri" w:cs="Calibr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28" w:type="dxa"/>
            <w:tcBorders>
              <w:top w:val="single" w:sz="2" w:space="0" w:color="auto"/>
              <w:left w:val="dotted" w:sz="4" w:space="0" w:color="auto"/>
              <w:bottom w:val="single" w:sz="4" w:space="0" w:color="auto"/>
              <w:right w:val="single" w:sz="4" w:space="0" w:color="auto"/>
            </w:tcBorders>
            <w:vAlign w:val="center"/>
          </w:tcPr>
          <w:p w14:paraId="7296B86D" w14:textId="77777777" w:rsidR="00713C27" w:rsidRPr="00713C27" w:rsidRDefault="00713C27" w:rsidP="00713C27">
            <w:pPr>
              <w:spacing w:after="120"/>
              <w:jc w:val="center"/>
              <w:rPr>
                <w:rFonts w:ascii="Calibri" w:hAnsi="Calibri" w:cs="Calibri"/>
                <w:sz w:val="24"/>
                <w:szCs w:val="24"/>
              </w:rPr>
            </w:pPr>
            <w:r w:rsidRPr="00713C27">
              <w:rPr>
                <w:rFonts w:ascii="Calibri" w:hAnsi="Calibri" w:cs="Calibri"/>
                <w:sz w:val="24"/>
                <w:szCs w:val="24"/>
              </w:rPr>
              <w:t>tak</w:t>
            </w:r>
          </w:p>
        </w:tc>
      </w:tr>
    </w:tbl>
    <w:p w14:paraId="519231FB" w14:textId="77777777" w:rsidR="00713C27" w:rsidRPr="00713C27" w:rsidRDefault="00713C27" w:rsidP="00713C27">
      <w:pPr>
        <w:spacing w:after="120"/>
        <w:rPr>
          <w:rFonts w:eastAsia="Calibri" w:cs="Calibri"/>
          <w:szCs w:val="28"/>
        </w:rPr>
      </w:pPr>
    </w:p>
    <w:p w14:paraId="7094490A" w14:textId="77777777" w:rsidR="00713C27" w:rsidRPr="00713C27" w:rsidRDefault="00713C27" w:rsidP="00713C27">
      <w:pPr>
        <w:ind w:firstLine="567"/>
        <w:rPr>
          <w:rFonts w:eastAsia="Calibri" w:cs="Times New Roman"/>
        </w:rPr>
      </w:pPr>
      <w:r w:rsidRPr="00713C27">
        <w:rPr>
          <w:rFonts w:eastAsia="Calibri" w:cs="Times New Roman"/>
        </w:rPr>
        <w:br w:type="page"/>
      </w:r>
    </w:p>
    <w:p w14:paraId="03C30331" w14:textId="77777777" w:rsidR="00713C27" w:rsidRPr="00713C27" w:rsidRDefault="00713C27" w:rsidP="00713C27">
      <w:pPr>
        <w:spacing w:after="120"/>
        <w:ind w:firstLine="567"/>
        <w:jc w:val="both"/>
        <w:rPr>
          <w:rFonts w:eastAsia="Calibri" w:cs="Times New Roman"/>
        </w:rPr>
      </w:pPr>
      <w:r w:rsidRPr="00713C27">
        <w:rPr>
          <w:rFonts w:eastAsia="Calibri" w:cs="Times New Roman"/>
        </w:rPr>
        <w:lastRenderedPageBreak/>
        <w:t>Zgodnie z art. 61 ust. 4 ustawy z dnia 27 marca 2003 r. o planowaniu i zagospodarowaniu przestrzennym, przepisów art. 61 ust. 1 pkt 1 nie stosuje się do zabudowy zagrodowej, w przypadku gdy powierzchnia gospodarstwa rolnego związanego z tą zabudową przekracza średnią powierzchnię gospodarstwa rolnego w danej gminie.</w:t>
      </w:r>
    </w:p>
    <w:p w14:paraId="6B5E1A55" w14:textId="77777777" w:rsidR="00713C27" w:rsidRPr="00713C27" w:rsidRDefault="00713C27" w:rsidP="00713C27">
      <w:pPr>
        <w:spacing w:after="120"/>
        <w:ind w:firstLine="567"/>
        <w:jc w:val="both"/>
        <w:rPr>
          <w:rFonts w:eastAsia="Calibri" w:cs="Times New Roman"/>
        </w:rPr>
      </w:pPr>
      <w:r w:rsidRPr="00713C27">
        <w:rPr>
          <w:rFonts w:eastAsia="Calibri" w:cs="Times New Roman"/>
        </w:rPr>
        <w:t>Inwestycja planowana jest w ramach istniejącej zabudowy zagrodowej, w przypadku której powierzchnia gospodarstwa rolnego związanego z tą zabudową wynosi zgodnie z informacją zawartą we wniosku przez inwestora 138 ha, czyli przekracza średnią powierzchnię gospodarstwa rolnego w gminie Śrem, gdzie średnia powierzchnia gospodarstwa w gminie wynosi 14,5119 ha.</w:t>
      </w:r>
    </w:p>
    <w:p w14:paraId="14251D2D" w14:textId="77777777" w:rsidR="00713C27" w:rsidRPr="00713C27" w:rsidRDefault="00713C27" w:rsidP="00713C27">
      <w:pPr>
        <w:spacing w:after="120"/>
        <w:ind w:firstLine="567"/>
        <w:jc w:val="both"/>
        <w:rPr>
          <w:rFonts w:eastAsia="Calibri" w:cs="Times New Roman"/>
        </w:rPr>
      </w:pPr>
      <w:r w:rsidRPr="00713C27">
        <w:rPr>
          <w:rFonts w:eastAsia="Calibri" w:cs="Times New Roman"/>
        </w:rPr>
        <w:tab/>
        <w:t>Podsumowując, planowana inwestycja spełnia łącznie wszystkie warunki określone w art. 61 ust. 1 pkt 2 – 6 ustawy z dnia 27 marca 2003 r. o planowaniu i zagospodarowaniu przestrzennym, zatem wydanie decyzji o warunkach zabudowy jest możliwe.</w:t>
      </w:r>
    </w:p>
    <w:p w14:paraId="19EA5BFA" w14:textId="48800616" w:rsidR="006717DC" w:rsidRDefault="006717DC" w:rsidP="006717DC">
      <w:pPr>
        <w:spacing w:after="120"/>
        <w:ind w:firstLine="709"/>
        <w:jc w:val="both"/>
      </w:pPr>
    </w:p>
    <w:sectPr w:rsidR="006717DC" w:rsidSect="001E496F">
      <w:headerReference w:type="default" r:id="rId12"/>
      <w:footerReference w:type="default" r:id="rId13"/>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26ACF" w14:textId="77777777" w:rsidR="00DF6B48" w:rsidRDefault="00DF6B48" w:rsidP="006717DC">
      <w:r>
        <w:separator/>
      </w:r>
    </w:p>
  </w:endnote>
  <w:endnote w:type="continuationSeparator" w:id="0">
    <w:p w14:paraId="6658EA9C" w14:textId="77777777" w:rsidR="00DF6B48" w:rsidRDefault="00DF6B48" w:rsidP="00671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08932"/>
      <w:docPartObj>
        <w:docPartGallery w:val="Page Numbers (Bottom of Page)"/>
        <w:docPartUnique/>
      </w:docPartObj>
    </w:sdtPr>
    <w:sdtContent>
      <w:sdt>
        <w:sdtPr>
          <w:id w:val="98381352"/>
          <w:docPartObj>
            <w:docPartGallery w:val="Page Numbers (Top of Page)"/>
            <w:docPartUnique/>
          </w:docPartObj>
        </w:sdtPr>
        <w:sdtContent>
          <w:p w14:paraId="4035B455" w14:textId="176BE0B2" w:rsidR="0091164C" w:rsidRDefault="00000000" w:rsidP="0091164C">
            <w:pPr>
              <w:pStyle w:val="Stopka"/>
              <w:jc w:val="center"/>
            </w:pPr>
            <w:r w:rsidRPr="00ED1303">
              <w:rPr>
                <w:rFonts w:asciiTheme="minorHAnsi" w:hAnsiTheme="minorHAnsi" w:cstheme="minorHAnsi"/>
                <w:szCs w:val="28"/>
              </w:rPr>
              <w:t xml:space="preserve">Strona </w:t>
            </w:r>
            <w:r w:rsidRPr="00ED1303">
              <w:rPr>
                <w:rFonts w:asciiTheme="minorHAnsi" w:hAnsiTheme="minorHAnsi" w:cstheme="minorHAnsi"/>
                <w:szCs w:val="28"/>
              </w:rPr>
              <w:fldChar w:fldCharType="begin"/>
            </w:r>
            <w:r w:rsidRPr="00ED1303">
              <w:rPr>
                <w:rFonts w:asciiTheme="minorHAnsi" w:hAnsiTheme="minorHAnsi" w:cstheme="minorHAnsi"/>
                <w:szCs w:val="28"/>
              </w:rPr>
              <w:instrText>PAGE</w:instrText>
            </w:r>
            <w:r w:rsidRPr="00ED1303">
              <w:rPr>
                <w:rFonts w:asciiTheme="minorHAnsi" w:hAnsiTheme="minorHAnsi" w:cstheme="minorHAnsi"/>
                <w:szCs w:val="28"/>
              </w:rPr>
              <w:fldChar w:fldCharType="separate"/>
            </w:r>
            <w:r w:rsidRPr="00ED1303">
              <w:rPr>
                <w:rFonts w:asciiTheme="minorHAnsi" w:hAnsiTheme="minorHAnsi" w:cstheme="minorHAnsi"/>
                <w:noProof/>
                <w:szCs w:val="28"/>
              </w:rPr>
              <w:t>1</w:t>
            </w:r>
            <w:r w:rsidRPr="00ED1303">
              <w:rPr>
                <w:rFonts w:asciiTheme="minorHAnsi" w:hAnsiTheme="minorHAnsi" w:cstheme="minorHAnsi"/>
                <w:szCs w:val="28"/>
              </w:rPr>
              <w:fldChar w:fldCharType="end"/>
            </w:r>
            <w:r w:rsidRPr="00ED1303">
              <w:rPr>
                <w:rFonts w:asciiTheme="minorHAnsi" w:hAnsiTheme="minorHAnsi" w:cstheme="minorHAnsi"/>
                <w:szCs w:val="28"/>
              </w:rPr>
              <w:t xml:space="preserve"> z </w:t>
            </w:r>
            <w:r w:rsidRPr="00ED1303">
              <w:rPr>
                <w:rFonts w:asciiTheme="minorHAnsi" w:hAnsiTheme="minorHAnsi" w:cstheme="minorHAnsi"/>
                <w:szCs w:val="28"/>
              </w:rPr>
              <w:fldChar w:fldCharType="begin"/>
            </w:r>
            <w:r w:rsidRPr="00ED1303">
              <w:rPr>
                <w:rFonts w:asciiTheme="minorHAnsi" w:hAnsiTheme="minorHAnsi" w:cstheme="minorHAnsi"/>
                <w:szCs w:val="28"/>
              </w:rPr>
              <w:instrText>NUMPAGES</w:instrText>
            </w:r>
            <w:r w:rsidRPr="00ED1303">
              <w:rPr>
                <w:rFonts w:asciiTheme="minorHAnsi" w:hAnsiTheme="minorHAnsi" w:cstheme="minorHAnsi"/>
                <w:szCs w:val="28"/>
              </w:rPr>
              <w:fldChar w:fldCharType="separate"/>
            </w:r>
            <w:r w:rsidRPr="00ED1303">
              <w:rPr>
                <w:rFonts w:asciiTheme="minorHAnsi" w:hAnsiTheme="minorHAnsi" w:cstheme="minorHAnsi"/>
                <w:noProof/>
                <w:szCs w:val="28"/>
              </w:rPr>
              <w:t>14</w:t>
            </w:r>
            <w:r w:rsidRPr="00ED1303">
              <w:rPr>
                <w:rFonts w:asciiTheme="minorHAnsi" w:hAnsiTheme="minorHAnsi" w:cstheme="minorHAnsi"/>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EB6CD" w14:textId="4D43899A" w:rsidR="00D55CB4" w:rsidRDefault="00D55CB4" w:rsidP="00A76768">
    <w:pPr>
      <w:pStyle w:val="Stopka"/>
      <w:tabs>
        <w:tab w:val="clear" w:pos="4536"/>
        <w:tab w:val="clear" w:pos="9072"/>
        <w:tab w:val="left" w:pos="6060"/>
      </w:tabs>
    </w:pPr>
    <w:r>
      <w:rPr>
        <w:rFonts w:cstheme="minorHAnsi"/>
        <w:noProof/>
        <w:szCs w:val="28"/>
      </w:rPr>
      <w:drawing>
        <wp:anchor distT="0" distB="0" distL="114300" distR="114300" simplePos="0" relativeHeight="251667456" behindDoc="1" locked="0" layoutInCell="1" allowOverlap="1" wp14:anchorId="08BE4D54" wp14:editId="1C23E08A">
          <wp:simplePos x="0" y="0"/>
          <wp:positionH relativeFrom="page">
            <wp:posOffset>-1198880</wp:posOffset>
          </wp:positionH>
          <wp:positionV relativeFrom="paragraph">
            <wp:posOffset>-1011555</wp:posOffset>
          </wp:positionV>
          <wp:extent cx="7534800" cy="1537200"/>
          <wp:effectExtent l="0" t="0" r="0" b="635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4800" cy="1537200"/>
                  </a:xfrm>
                  <a:prstGeom prst="rect">
                    <a:avLst/>
                  </a:prstGeom>
                </pic:spPr>
              </pic:pic>
            </a:graphicData>
          </a:graphic>
          <wp14:sizeRelH relativeFrom="page">
            <wp14:pctWidth>0</wp14:pctWidth>
          </wp14:sizeRelH>
          <wp14:sizeRelV relativeFrom="page">
            <wp14:pctHeight>0</wp14:pctHeight>
          </wp14:sizeRelV>
        </wp:anchor>
      </w:drawing>
    </w:r>
    <w:r w:rsidR="00A76768">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97453"/>
      <w:docPartObj>
        <w:docPartGallery w:val="Page Numbers (Bottom of Page)"/>
        <w:docPartUnique/>
      </w:docPartObj>
    </w:sdtPr>
    <w:sdtContent>
      <w:sdt>
        <w:sdtPr>
          <w:id w:val="-787660510"/>
          <w:docPartObj>
            <w:docPartGallery w:val="Page Numbers (Top of Page)"/>
            <w:docPartUnique/>
          </w:docPartObj>
        </w:sdtPr>
        <w:sdtContent>
          <w:p w14:paraId="0DA560B3" w14:textId="77777777" w:rsidR="006717DC" w:rsidRDefault="006717DC" w:rsidP="00E901C1">
            <w:pPr>
              <w:pStyle w:val="Stopka"/>
              <w:jc w:val="center"/>
            </w:pPr>
            <w:r w:rsidRPr="00713C27">
              <w:rPr>
                <w:rFonts w:ascii="Calibri" w:hAnsi="Calibri" w:cs="Calibri"/>
                <w:szCs w:val="28"/>
              </w:rPr>
              <w:t xml:space="preserve">Strona </w:t>
            </w:r>
            <w:r w:rsidRPr="00713C27">
              <w:rPr>
                <w:rFonts w:ascii="Calibri" w:hAnsi="Calibri" w:cs="Calibri"/>
                <w:szCs w:val="28"/>
              </w:rPr>
              <w:fldChar w:fldCharType="begin"/>
            </w:r>
            <w:r w:rsidRPr="00713C27">
              <w:rPr>
                <w:rFonts w:ascii="Calibri" w:hAnsi="Calibri" w:cs="Calibri"/>
                <w:szCs w:val="28"/>
              </w:rPr>
              <w:instrText>PAGE</w:instrText>
            </w:r>
            <w:r w:rsidRPr="00713C27">
              <w:rPr>
                <w:rFonts w:ascii="Calibri" w:hAnsi="Calibri" w:cs="Calibri"/>
                <w:szCs w:val="28"/>
              </w:rPr>
              <w:fldChar w:fldCharType="separate"/>
            </w:r>
            <w:r w:rsidRPr="00713C27">
              <w:rPr>
                <w:rFonts w:ascii="Calibri" w:hAnsi="Calibri" w:cs="Calibri"/>
                <w:noProof/>
                <w:szCs w:val="28"/>
              </w:rPr>
              <w:t>1</w:t>
            </w:r>
            <w:r w:rsidRPr="00713C27">
              <w:rPr>
                <w:rFonts w:ascii="Calibri" w:hAnsi="Calibri" w:cs="Calibri"/>
                <w:szCs w:val="28"/>
              </w:rPr>
              <w:fldChar w:fldCharType="end"/>
            </w:r>
            <w:r w:rsidRPr="00713C27">
              <w:rPr>
                <w:rFonts w:ascii="Calibri" w:hAnsi="Calibri" w:cs="Calibri"/>
                <w:szCs w:val="28"/>
              </w:rPr>
              <w:t xml:space="preserve"> z </w:t>
            </w:r>
            <w:r w:rsidRPr="00713C27">
              <w:rPr>
                <w:rFonts w:ascii="Calibri" w:hAnsi="Calibri" w:cs="Calibri"/>
                <w:szCs w:val="28"/>
              </w:rPr>
              <w:fldChar w:fldCharType="begin"/>
            </w:r>
            <w:r w:rsidRPr="00713C27">
              <w:rPr>
                <w:rFonts w:ascii="Calibri" w:hAnsi="Calibri" w:cs="Calibri"/>
                <w:szCs w:val="28"/>
              </w:rPr>
              <w:instrText>NUMPAGES</w:instrText>
            </w:r>
            <w:r w:rsidRPr="00713C27">
              <w:rPr>
                <w:rFonts w:ascii="Calibri" w:hAnsi="Calibri" w:cs="Calibri"/>
                <w:szCs w:val="28"/>
              </w:rPr>
              <w:fldChar w:fldCharType="separate"/>
            </w:r>
            <w:r w:rsidRPr="00713C27">
              <w:rPr>
                <w:rFonts w:ascii="Calibri" w:hAnsi="Calibri" w:cs="Calibri"/>
                <w:noProof/>
                <w:szCs w:val="28"/>
              </w:rPr>
              <w:t>3</w:t>
            </w:r>
            <w:r w:rsidRPr="00713C27">
              <w:rPr>
                <w:rFonts w:ascii="Calibri" w:hAnsi="Calibri" w:cs="Calibri"/>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04BD8" w14:textId="77777777" w:rsidR="00DF6B48" w:rsidRDefault="00DF6B48" w:rsidP="006717DC">
      <w:r>
        <w:separator/>
      </w:r>
    </w:p>
  </w:footnote>
  <w:footnote w:type="continuationSeparator" w:id="0">
    <w:p w14:paraId="01C4BF3D" w14:textId="77777777" w:rsidR="00DF6B48" w:rsidRDefault="00DF6B48" w:rsidP="006717DC">
      <w:r>
        <w:continuationSeparator/>
      </w:r>
    </w:p>
  </w:footnote>
  <w:footnote w:id="1">
    <w:p w14:paraId="7A5282FC" w14:textId="77777777" w:rsidR="00B425B8" w:rsidRPr="00EE5F25" w:rsidRDefault="00B425B8" w:rsidP="00B425B8">
      <w:pPr>
        <w:pStyle w:val="Tekstprzypisudolnego"/>
        <w:rPr>
          <w:sz w:val="28"/>
          <w:szCs w:val="28"/>
        </w:rPr>
      </w:pPr>
      <w:r w:rsidRPr="00EE5F25">
        <w:rPr>
          <w:rStyle w:val="Odwoanieprzypisudolnego"/>
          <w:sz w:val="28"/>
          <w:szCs w:val="28"/>
        </w:rPr>
        <w:footnoteRef/>
      </w:r>
      <w:r w:rsidRPr="00EE5F25">
        <w:rPr>
          <w:sz w:val="28"/>
          <w:szCs w:val="28"/>
        </w:rPr>
        <w:t xml:space="preserve"> </w:t>
      </w:r>
      <w:r w:rsidRPr="009A075B">
        <w:rPr>
          <w:sz w:val="28"/>
          <w:szCs w:val="28"/>
        </w:rPr>
        <w:t>Powierzchnia zabudowy oznacza łączną powierzchnię terenu wyznaczoną przez rzut prostokątny nadziemnych zewnętrznych ścian wszystkich budynków w stanie wykończonym oraz zewnętrznych krawędzi wiat mierzonych po zewnętrznym obrysie krawędzi dachu na powierzchnię działki budowlanej.</w:t>
      </w:r>
    </w:p>
  </w:footnote>
  <w:footnote w:id="2">
    <w:p w14:paraId="4A77F894" w14:textId="77777777" w:rsidR="00B425B8" w:rsidRPr="00EE5F25" w:rsidRDefault="00B425B8" w:rsidP="00B425B8">
      <w:pPr>
        <w:pStyle w:val="Tekstprzypisudolnego"/>
        <w:rPr>
          <w:sz w:val="28"/>
          <w:szCs w:val="28"/>
        </w:rPr>
      </w:pPr>
      <w:r w:rsidRPr="00EE5F25">
        <w:rPr>
          <w:rStyle w:val="Odwoanieprzypisudolnego"/>
          <w:sz w:val="28"/>
          <w:szCs w:val="28"/>
        </w:rPr>
        <w:footnoteRef/>
      </w:r>
      <w:r w:rsidRPr="00EE5F25">
        <w:rPr>
          <w:sz w:val="28"/>
          <w:szCs w:val="28"/>
        </w:rPr>
        <w:t xml:space="preserve"> </w:t>
      </w:r>
      <w:r w:rsidRPr="008645DF">
        <w:rPr>
          <w:sz w:val="28"/>
          <w:szCs w:val="28"/>
        </w:rPr>
        <w:t>Stosownie do art. 61 ust. 5a zdanie drugie u.p.z.p. przez front terenu należy rozumieć tę część granicy działki budowlanej, która przylega do drogi publicznej lub wewnętrznej, z której odbywa się główny wjazd na działkę. Front działki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BAA75" w14:textId="5B2CFAD9" w:rsidR="0091164C" w:rsidRPr="00D5734F" w:rsidRDefault="00000000" w:rsidP="0091164C">
    <w:pPr>
      <w:pStyle w:val="Nagwek"/>
      <w:jc w:val="right"/>
      <w:rPr>
        <w:rFonts w:asciiTheme="minorHAnsi" w:hAnsiTheme="minorHAnsi" w:cstheme="minorHAnsi"/>
        <w:iCs/>
        <w:color w:val="808080" w:themeColor="background1" w:themeShade="80"/>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5C07" w14:textId="3E16643F" w:rsidR="00D55CB4" w:rsidRDefault="00D55CB4">
    <w:pPr>
      <w:pStyle w:val="Nagwek"/>
    </w:pPr>
    <w:r>
      <w:rPr>
        <w:noProof/>
        <w:lang w:eastAsia="pl-PL"/>
      </w:rPr>
      <w:drawing>
        <wp:anchor distT="0" distB="0" distL="114300" distR="114300" simplePos="0" relativeHeight="251663360" behindDoc="1" locked="0" layoutInCell="1" allowOverlap="1" wp14:anchorId="7C109163" wp14:editId="5A9D1B61">
          <wp:simplePos x="0" y="0"/>
          <wp:positionH relativeFrom="column">
            <wp:posOffset>-1565910</wp:posOffset>
          </wp:positionH>
          <wp:positionV relativeFrom="paragraph">
            <wp:posOffset>-450215</wp:posOffset>
          </wp:positionV>
          <wp:extent cx="7570800" cy="233280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referRelativeResize="0"/>
                </pic:nvPicPr>
                <pic:blipFill>
                  <a:blip r:embed="rId1" cstate="print">
                    <a:extLst>
                      <a:ext uri="{28A0092B-C50C-407E-A947-70E740481C1C}">
                        <a14:useLocalDpi xmlns:a14="http://schemas.microsoft.com/office/drawing/2010/main" val="0"/>
                      </a:ext>
                    </a:extLst>
                  </a:blip>
                  <a:stretch>
                    <a:fillRect/>
                  </a:stretch>
                </pic:blipFill>
                <pic:spPr>
                  <a:xfrm>
                    <a:off x="0" y="0"/>
                    <a:ext cx="7570800" cy="2332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0F39" w14:textId="62126B37" w:rsidR="006717DC" w:rsidRPr="00713C27" w:rsidRDefault="006717DC" w:rsidP="008B08EF">
    <w:pPr>
      <w:pStyle w:val="Nagwek"/>
      <w:jc w:val="right"/>
      <w:rPr>
        <w:rFonts w:ascii="Calibri" w:hAnsi="Calibri" w:cs="Calibri"/>
        <w:iCs/>
        <w:color w:val="80808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sz w:val="28"/>
      </w:rPr>
    </w:lvl>
  </w:abstractNum>
  <w:abstractNum w:abstractNumId="1" w15:restartNumberingAfterBreak="0">
    <w:nsid w:val="0D4962FD"/>
    <w:multiLevelType w:val="hybridMultilevel"/>
    <w:tmpl w:val="7304E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7510A"/>
    <w:multiLevelType w:val="hybridMultilevel"/>
    <w:tmpl w:val="F6E41C9A"/>
    <w:lvl w:ilvl="0" w:tplc="BAF275D4">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C5145A"/>
    <w:multiLevelType w:val="hybridMultilevel"/>
    <w:tmpl w:val="661475BA"/>
    <w:lvl w:ilvl="0" w:tplc="04150017">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73002F"/>
    <w:multiLevelType w:val="hybridMultilevel"/>
    <w:tmpl w:val="F5CC18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1202F5"/>
    <w:multiLevelType w:val="hybridMultilevel"/>
    <w:tmpl w:val="8C60A8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8725F1A"/>
    <w:multiLevelType w:val="hybridMultilevel"/>
    <w:tmpl w:val="545CDBAE"/>
    <w:lvl w:ilvl="0" w:tplc="7A520BEE">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0E1C86"/>
    <w:multiLevelType w:val="hybridMultilevel"/>
    <w:tmpl w:val="C602B644"/>
    <w:lvl w:ilvl="0" w:tplc="CE343C8A">
      <w:start w:val="1"/>
      <w:numFmt w:val="decimal"/>
      <w:lvlText w:val="%1)"/>
      <w:lvlJc w:val="left"/>
      <w:pPr>
        <w:ind w:left="720" w:hanging="360"/>
      </w:pPr>
      <w:rPr>
        <w:rFonts w:hint="default"/>
        <w:b w:val="0"/>
        <w:bCs/>
        <w:color w:val="auto"/>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716C31"/>
    <w:multiLevelType w:val="hybridMultilevel"/>
    <w:tmpl w:val="B796A2F6"/>
    <w:lvl w:ilvl="0" w:tplc="04150017">
      <w:start w:val="1"/>
      <w:numFmt w:val="lowerLetter"/>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EA83BD4"/>
    <w:multiLevelType w:val="hybridMultilevel"/>
    <w:tmpl w:val="015C73D0"/>
    <w:lvl w:ilvl="0" w:tplc="7A520BEE">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441074135">
    <w:abstractNumId w:val="3"/>
  </w:num>
  <w:num w:numId="2" w16cid:durableId="150949332">
    <w:abstractNumId w:val="17"/>
  </w:num>
  <w:num w:numId="3" w16cid:durableId="2123262368">
    <w:abstractNumId w:val="8"/>
  </w:num>
  <w:num w:numId="4" w16cid:durableId="1578903418">
    <w:abstractNumId w:val="12"/>
  </w:num>
  <w:num w:numId="5" w16cid:durableId="936716067">
    <w:abstractNumId w:val="18"/>
  </w:num>
  <w:num w:numId="6" w16cid:durableId="853498734">
    <w:abstractNumId w:val="2"/>
  </w:num>
  <w:num w:numId="7" w16cid:durableId="1595898295">
    <w:abstractNumId w:val="14"/>
  </w:num>
  <w:num w:numId="8" w16cid:durableId="980232610">
    <w:abstractNumId w:val="7"/>
  </w:num>
  <w:num w:numId="9" w16cid:durableId="13489424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6753495">
    <w:abstractNumId w:val="20"/>
  </w:num>
  <w:num w:numId="11" w16cid:durableId="649215677">
    <w:abstractNumId w:val="10"/>
  </w:num>
  <w:num w:numId="12" w16cid:durableId="610013507">
    <w:abstractNumId w:val="15"/>
  </w:num>
  <w:num w:numId="13" w16cid:durableId="1436095026">
    <w:abstractNumId w:val="4"/>
  </w:num>
  <w:num w:numId="14" w16cid:durableId="988364904">
    <w:abstractNumId w:val="1"/>
  </w:num>
  <w:num w:numId="15" w16cid:durableId="240145167">
    <w:abstractNumId w:val="11"/>
  </w:num>
  <w:num w:numId="16" w16cid:durableId="983318714">
    <w:abstractNumId w:val="6"/>
  </w:num>
  <w:num w:numId="17" w16cid:durableId="1396388800">
    <w:abstractNumId w:val="0"/>
  </w:num>
  <w:num w:numId="18" w16cid:durableId="99573748">
    <w:abstractNumId w:val="9"/>
  </w:num>
  <w:num w:numId="19" w16cid:durableId="1801222889">
    <w:abstractNumId w:val="5"/>
  </w:num>
  <w:num w:numId="20" w16cid:durableId="167064788">
    <w:abstractNumId w:val="21"/>
  </w:num>
  <w:num w:numId="21" w16cid:durableId="1876700460">
    <w:abstractNumId w:val="16"/>
  </w:num>
  <w:num w:numId="22" w16cid:durableId="6208479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7DC"/>
    <w:rsid w:val="000C3CF3"/>
    <w:rsid w:val="00206259"/>
    <w:rsid w:val="00292521"/>
    <w:rsid w:val="004129AD"/>
    <w:rsid w:val="004A5AD8"/>
    <w:rsid w:val="00546605"/>
    <w:rsid w:val="005A2EB9"/>
    <w:rsid w:val="005E0DF3"/>
    <w:rsid w:val="006717DC"/>
    <w:rsid w:val="00680C37"/>
    <w:rsid w:val="00713C27"/>
    <w:rsid w:val="007F4F40"/>
    <w:rsid w:val="008226C1"/>
    <w:rsid w:val="00920073"/>
    <w:rsid w:val="00992ED7"/>
    <w:rsid w:val="00A76768"/>
    <w:rsid w:val="00B22974"/>
    <w:rsid w:val="00B425B8"/>
    <w:rsid w:val="00CF0F35"/>
    <w:rsid w:val="00D55CB4"/>
    <w:rsid w:val="00DF6B48"/>
    <w:rsid w:val="00DF6BDB"/>
    <w:rsid w:val="00ED1B67"/>
    <w:rsid w:val="00FA4B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98B90"/>
  <w15:chartTrackingRefBased/>
  <w15:docId w15:val="{C6A7A04C-B179-4AFA-84FC-FDF8FD589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717DC"/>
    <w:pPr>
      <w:tabs>
        <w:tab w:val="center" w:pos="4536"/>
        <w:tab w:val="right" w:pos="9072"/>
      </w:tabs>
    </w:pPr>
    <w:rPr>
      <w:rFonts w:ascii="Times New Roman" w:hAnsi="Times New Roman"/>
    </w:rPr>
  </w:style>
  <w:style w:type="character" w:customStyle="1" w:styleId="NagwekZnak">
    <w:name w:val="Nagłówek Znak"/>
    <w:basedOn w:val="Domylnaczcionkaakapitu"/>
    <w:link w:val="Nagwek"/>
    <w:uiPriority w:val="99"/>
    <w:rsid w:val="006717DC"/>
    <w:rPr>
      <w:rFonts w:ascii="Times New Roman" w:hAnsi="Times New Roman"/>
    </w:rPr>
  </w:style>
  <w:style w:type="paragraph" w:styleId="Stopka">
    <w:name w:val="footer"/>
    <w:basedOn w:val="Normalny"/>
    <w:link w:val="StopkaZnak"/>
    <w:uiPriority w:val="99"/>
    <w:unhideWhenUsed/>
    <w:rsid w:val="006717DC"/>
    <w:pPr>
      <w:tabs>
        <w:tab w:val="center" w:pos="4536"/>
        <w:tab w:val="right" w:pos="9072"/>
      </w:tabs>
    </w:pPr>
    <w:rPr>
      <w:rFonts w:ascii="Times New Roman" w:hAnsi="Times New Roman"/>
    </w:rPr>
  </w:style>
  <w:style w:type="character" w:customStyle="1" w:styleId="StopkaZnak">
    <w:name w:val="Stopka Znak"/>
    <w:basedOn w:val="Domylnaczcionkaakapitu"/>
    <w:link w:val="Stopka"/>
    <w:uiPriority w:val="99"/>
    <w:rsid w:val="006717DC"/>
    <w:rPr>
      <w:rFonts w:ascii="Times New Roman" w:hAnsi="Times New Roman"/>
    </w:rPr>
  </w:style>
  <w:style w:type="paragraph" w:styleId="Akapitzlist">
    <w:name w:val="List Paragraph"/>
    <w:basedOn w:val="Normalny"/>
    <w:uiPriority w:val="34"/>
    <w:qFormat/>
    <w:rsid w:val="006717DC"/>
    <w:pPr>
      <w:ind w:left="720"/>
      <w:contextualSpacing/>
    </w:pPr>
    <w:rPr>
      <w:rFonts w:ascii="Times New Roman" w:hAnsi="Times New Roman"/>
    </w:rPr>
  </w:style>
  <w:style w:type="table" w:styleId="Tabela-Siatka">
    <w:name w:val="Table Grid"/>
    <w:basedOn w:val="Standardowy"/>
    <w:uiPriority w:val="59"/>
    <w:rsid w:val="006717D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B425B8"/>
    <w:rPr>
      <w:sz w:val="20"/>
      <w:szCs w:val="20"/>
    </w:rPr>
  </w:style>
  <w:style w:type="character" w:customStyle="1" w:styleId="TekstprzypisudolnegoZnak">
    <w:name w:val="Tekst przypisu dolnego Znak"/>
    <w:basedOn w:val="Domylnaczcionkaakapitu"/>
    <w:link w:val="Tekstprzypisudolnego"/>
    <w:uiPriority w:val="99"/>
    <w:semiHidden/>
    <w:rsid w:val="00B425B8"/>
    <w:rPr>
      <w:sz w:val="20"/>
      <w:szCs w:val="20"/>
    </w:rPr>
  </w:style>
  <w:style w:type="character" w:styleId="Odwoanieprzypisudolnego">
    <w:name w:val="footnote reference"/>
    <w:basedOn w:val="Domylnaczcionkaakapitu"/>
    <w:uiPriority w:val="99"/>
    <w:semiHidden/>
    <w:unhideWhenUsed/>
    <w:rsid w:val="00B425B8"/>
    <w:rPr>
      <w:vertAlign w:val="superscript"/>
    </w:rPr>
  </w:style>
  <w:style w:type="table" w:customStyle="1" w:styleId="Tabela-Siatka1">
    <w:name w:val="Tabela - Siatka1"/>
    <w:basedOn w:val="Standardowy"/>
    <w:next w:val="Tabela-Siatka"/>
    <w:uiPriority w:val="59"/>
    <w:rsid w:val="00713C27"/>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4202</Words>
  <Characters>25217</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Krauze</dc:creator>
  <cp:keywords/>
  <dc:description/>
  <cp:lastModifiedBy>Sekretariat UM ŚREM</cp:lastModifiedBy>
  <cp:revision>5</cp:revision>
  <dcterms:created xsi:type="dcterms:W3CDTF">2023-07-06T09:04:00Z</dcterms:created>
  <dcterms:modified xsi:type="dcterms:W3CDTF">2023-07-06T11:30:00Z</dcterms:modified>
</cp:coreProperties>
</file>