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C3A37" w14:textId="77777777" w:rsidR="001E33D8" w:rsidRDefault="001E33D8" w:rsidP="001E33D8">
      <w:pPr>
        <w:spacing w:after="0" w:line="240" w:lineRule="auto"/>
        <w:ind w:right="5668"/>
        <w:jc w:val="center"/>
        <w:rPr>
          <w:rFonts w:cstheme="minorHAnsi"/>
          <w:bCs/>
          <w:sz w:val="28"/>
          <w:szCs w:val="28"/>
        </w:rPr>
      </w:pPr>
    </w:p>
    <w:p w14:paraId="4561421F" w14:textId="77777777" w:rsidR="00BD3058" w:rsidRPr="005A07CF" w:rsidRDefault="00BD3058" w:rsidP="00BD3058">
      <w:pPr>
        <w:spacing w:after="0" w:line="240" w:lineRule="auto"/>
        <w:ind w:right="6095"/>
        <w:jc w:val="center"/>
        <w:rPr>
          <w:rFonts w:eastAsia="Calibri" w:cstheme="minorHAnsi"/>
          <w:sz w:val="28"/>
          <w:szCs w:val="28"/>
        </w:rPr>
      </w:pPr>
      <w:r w:rsidRPr="005A07CF">
        <w:rPr>
          <w:rFonts w:eastAsia="Calibri" w:cstheme="minorHAnsi"/>
          <w:sz w:val="28"/>
          <w:szCs w:val="28"/>
        </w:rPr>
        <w:t>Burmistrz Śremu</w:t>
      </w:r>
    </w:p>
    <w:p w14:paraId="3F326D7D" w14:textId="77777777" w:rsidR="00BD3058" w:rsidRPr="005A07CF" w:rsidRDefault="00BD3058" w:rsidP="00BD3058">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0C9F202B" w14:textId="77777777" w:rsidR="00BD3058" w:rsidRPr="005A07CF" w:rsidRDefault="00BD3058" w:rsidP="00BD3058">
      <w:pPr>
        <w:spacing w:after="0" w:line="240" w:lineRule="auto"/>
        <w:ind w:right="6095"/>
        <w:jc w:val="center"/>
        <w:rPr>
          <w:rFonts w:eastAsia="Calibri" w:cstheme="minorHAnsi"/>
          <w:sz w:val="28"/>
          <w:szCs w:val="28"/>
        </w:rPr>
      </w:pPr>
      <w:r w:rsidRPr="005A07CF">
        <w:rPr>
          <w:rFonts w:eastAsia="Calibri" w:cstheme="minorHAnsi"/>
          <w:sz w:val="28"/>
          <w:szCs w:val="28"/>
        </w:rPr>
        <w:t>63-100 Śrem</w:t>
      </w:r>
    </w:p>
    <w:p w14:paraId="4FA1B73C" w14:textId="444E795A" w:rsidR="00BD3058" w:rsidRPr="005A07CF" w:rsidRDefault="00BD3058" w:rsidP="00BD3058">
      <w:pPr>
        <w:spacing w:after="120" w:line="240" w:lineRule="auto"/>
        <w:jc w:val="right"/>
        <w:rPr>
          <w:rFonts w:eastAsia="Calibri" w:cstheme="minorHAnsi"/>
          <w:sz w:val="28"/>
          <w:szCs w:val="28"/>
        </w:rPr>
      </w:pPr>
      <w:r w:rsidRPr="005A07CF">
        <w:rPr>
          <w:rFonts w:eastAsia="Calibri" w:cstheme="minorHAnsi"/>
          <w:sz w:val="28"/>
          <w:szCs w:val="28"/>
        </w:rPr>
        <w:t>Śrem,</w:t>
      </w:r>
      <w:r w:rsidR="005A799A">
        <w:rPr>
          <w:rFonts w:eastAsia="Calibri" w:cstheme="minorHAnsi"/>
          <w:sz w:val="28"/>
          <w:szCs w:val="28"/>
        </w:rPr>
        <w:t xml:space="preserve"> </w:t>
      </w:r>
      <w:r w:rsidR="00317DB6">
        <w:rPr>
          <w:rFonts w:eastAsia="Calibri" w:cstheme="minorHAnsi"/>
          <w:sz w:val="28"/>
          <w:szCs w:val="28"/>
        </w:rPr>
        <w:t>1</w:t>
      </w:r>
      <w:r w:rsidR="005A799A">
        <w:rPr>
          <w:rFonts w:eastAsia="Calibri" w:cstheme="minorHAnsi"/>
          <w:sz w:val="28"/>
          <w:szCs w:val="28"/>
        </w:rPr>
        <w:t>3</w:t>
      </w:r>
      <w:r>
        <w:rPr>
          <w:rFonts w:eastAsia="Calibri" w:cstheme="minorHAnsi"/>
          <w:sz w:val="28"/>
          <w:szCs w:val="28"/>
        </w:rPr>
        <w:t xml:space="preserve"> marca 2024</w:t>
      </w:r>
      <w:r w:rsidRPr="005A07CF">
        <w:rPr>
          <w:rFonts w:eastAsia="Calibri" w:cstheme="minorHAnsi"/>
          <w:sz w:val="28"/>
          <w:szCs w:val="28"/>
        </w:rPr>
        <w:t xml:space="preserve"> </w:t>
      </w:r>
      <w:r>
        <w:rPr>
          <w:rFonts w:eastAsia="Calibri" w:cstheme="minorHAnsi"/>
          <w:sz w:val="28"/>
          <w:szCs w:val="28"/>
        </w:rPr>
        <w:t>r.</w:t>
      </w:r>
    </w:p>
    <w:p w14:paraId="09FF59AF" w14:textId="77777777" w:rsidR="00BD3058" w:rsidRPr="005A07CF" w:rsidRDefault="00BD3058" w:rsidP="00BD3058">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PP.6730.148.2023.GMON</w:t>
      </w:r>
    </w:p>
    <w:p w14:paraId="24203CBB" w14:textId="77777777" w:rsidR="00BD3058" w:rsidRPr="00BE7BC0" w:rsidRDefault="00BD3058" w:rsidP="00BD3058">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r>
      <w:r w:rsidRPr="005A07CF">
        <w:rPr>
          <w:rFonts w:eastAsia="Times New Roman" w:cstheme="minorHAnsi"/>
          <w:sz w:val="28"/>
          <w:szCs w:val="28"/>
        </w:rPr>
        <w:t xml:space="preserve">o </w:t>
      </w:r>
      <w:r>
        <w:rPr>
          <w:rFonts w:eastAsia="Times New Roman" w:cstheme="minorHAnsi"/>
          <w:sz w:val="28"/>
          <w:szCs w:val="28"/>
        </w:rPr>
        <w:t xml:space="preserve">wydaniu decyzji o warunkach zabudowy   </w:t>
      </w:r>
    </w:p>
    <w:p w14:paraId="03C6A795" w14:textId="77777777" w:rsidR="00BD3058" w:rsidRDefault="00BD3058" w:rsidP="00BD3058">
      <w:pPr>
        <w:spacing w:after="120" w:line="240" w:lineRule="auto"/>
        <w:ind w:firstLine="709"/>
        <w:jc w:val="both"/>
        <w:rPr>
          <w:rFonts w:cstheme="minorHAnsi"/>
          <w:sz w:val="28"/>
          <w:szCs w:val="28"/>
        </w:rPr>
      </w:pPr>
      <w:r w:rsidRPr="00D7017D">
        <w:rPr>
          <w:rFonts w:cstheme="minorHAnsi"/>
          <w:sz w:val="28"/>
          <w:szCs w:val="28"/>
        </w:rPr>
        <w:t>Zawiadamiam</w:t>
      </w:r>
      <w:r w:rsidRPr="00D7017D">
        <w:rPr>
          <w:rFonts w:cstheme="minorHAnsi"/>
          <w:sz w:val="28"/>
          <w:szCs w:val="28"/>
          <w:vertAlign w:val="superscript"/>
        </w:rPr>
        <w:t>1</w:t>
      </w:r>
      <w:r w:rsidRPr="00D7017D">
        <w:rPr>
          <w:rFonts w:cstheme="minorHAnsi"/>
          <w:sz w:val="28"/>
          <w:szCs w:val="28"/>
        </w:rPr>
        <w:t xml:space="preserve"> </w:t>
      </w:r>
      <w:r>
        <w:rPr>
          <w:rFonts w:cstheme="minorHAnsi"/>
          <w:sz w:val="28"/>
          <w:szCs w:val="28"/>
        </w:rPr>
        <w:t>o wydaniu 12.03.2024 r. przez Burmistrza Śremu decyzji nr 21/2024 o warunkach zabudowy dla przedsięwzięcia:</w:t>
      </w:r>
      <w:r w:rsidRPr="005E5068">
        <w:rPr>
          <w:rFonts w:cstheme="minorHAnsi"/>
          <w:sz w:val="28"/>
          <w:szCs w:val="28"/>
        </w:rPr>
        <w:t xml:space="preserve"> budowa 20 budynków mieszkalnych jednorodzinnych </w:t>
      </w:r>
      <w:r>
        <w:rPr>
          <w:rFonts w:cstheme="minorHAnsi"/>
          <w:sz w:val="28"/>
          <w:szCs w:val="28"/>
        </w:rPr>
        <w:t>i</w:t>
      </w:r>
      <w:r w:rsidRPr="005E5068">
        <w:rPr>
          <w:rFonts w:cstheme="minorHAnsi"/>
          <w:sz w:val="28"/>
          <w:szCs w:val="28"/>
        </w:rPr>
        <w:t xml:space="preserve"> drog</w:t>
      </w:r>
      <w:r>
        <w:rPr>
          <w:rFonts w:cstheme="minorHAnsi"/>
          <w:sz w:val="28"/>
          <w:szCs w:val="28"/>
        </w:rPr>
        <w:t>i</w:t>
      </w:r>
      <w:r w:rsidRPr="005E5068">
        <w:rPr>
          <w:rFonts w:cstheme="minorHAnsi"/>
          <w:sz w:val="28"/>
          <w:szCs w:val="28"/>
        </w:rPr>
        <w:t xml:space="preserve"> wewnętrzn</w:t>
      </w:r>
      <w:r>
        <w:rPr>
          <w:rFonts w:cstheme="minorHAnsi"/>
          <w:sz w:val="28"/>
          <w:szCs w:val="28"/>
        </w:rPr>
        <w:t>ej</w:t>
      </w:r>
      <w:r w:rsidRPr="005E5068">
        <w:rPr>
          <w:rFonts w:cstheme="minorHAnsi"/>
          <w:sz w:val="28"/>
          <w:szCs w:val="28"/>
        </w:rPr>
        <w:t xml:space="preserve"> na terenie działek o nr ewid. 84/8 i 873, obręb Nochowo.</w:t>
      </w:r>
    </w:p>
    <w:p w14:paraId="7717A3D7" w14:textId="77777777" w:rsidR="00BD3058" w:rsidRPr="00AF26AB" w:rsidRDefault="00BD3058" w:rsidP="00BD3058">
      <w:pPr>
        <w:spacing w:after="120" w:line="240" w:lineRule="auto"/>
        <w:ind w:firstLine="709"/>
        <w:jc w:val="both"/>
        <w:rPr>
          <w:rFonts w:cstheme="minorHAnsi"/>
          <w:sz w:val="28"/>
          <w:szCs w:val="28"/>
        </w:rPr>
      </w:pPr>
      <w:r w:rsidRPr="00AF26AB">
        <w:rPr>
          <w:rFonts w:cstheme="minorHAnsi"/>
          <w:sz w:val="28"/>
          <w:szCs w:val="28"/>
        </w:rPr>
        <w:t>W związku z powyższym Strony postępowania mogą zapoznać się osobiście lub przez pełnomocnika z treścią decyzji dotyczącej przedmiotowej inwestycji oraz zgłosić swoje uwagi w Zespole Planowania Przestrzennego (biuro nr 34, III piętro) w godzinach od 7.00 do 15.00.</w:t>
      </w:r>
    </w:p>
    <w:p w14:paraId="60F56F75" w14:textId="77777777" w:rsidR="00BD3058" w:rsidRPr="005A07CF" w:rsidRDefault="00BD3058" w:rsidP="00BD3058">
      <w:pPr>
        <w:spacing w:after="120" w:line="240" w:lineRule="auto"/>
        <w:ind w:firstLine="709"/>
        <w:jc w:val="both"/>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 dnia 14 czerwca 1960 r. – Kodeks postępowania administracyjnego</w:t>
      </w:r>
      <w:r>
        <w:rPr>
          <w:rFonts w:cstheme="minorHAnsi"/>
          <w:sz w:val="28"/>
          <w:szCs w:val="28"/>
        </w:rPr>
        <w:t xml:space="preserve">. </w:t>
      </w:r>
    </w:p>
    <w:p w14:paraId="42C1BB30" w14:textId="77777777" w:rsidR="00BD3058" w:rsidRDefault="00BD3058" w:rsidP="00BD3058">
      <w:pPr>
        <w:spacing w:after="120"/>
        <w:ind w:left="4395"/>
        <w:contextualSpacing/>
        <w:jc w:val="center"/>
        <w:rPr>
          <w:rFonts w:eastAsia="Times New Roman" w:cstheme="minorHAnsi"/>
          <w:sz w:val="28"/>
          <w:szCs w:val="28"/>
          <w:lang w:eastAsia="pl-PL"/>
        </w:rPr>
      </w:pPr>
    </w:p>
    <w:p w14:paraId="1D36F88E" w14:textId="77777777" w:rsidR="00BD3058" w:rsidRDefault="00BD3058" w:rsidP="00BD3058">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60EA2A70" w14:textId="77777777" w:rsidR="00BD3058" w:rsidRPr="00B82124" w:rsidRDefault="00BD3058" w:rsidP="00BD3058">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126AF623" w14:textId="77777777" w:rsidR="00BD3058" w:rsidRDefault="00BD3058" w:rsidP="00BD3058">
      <w:pPr>
        <w:spacing w:after="120" w:line="240" w:lineRule="auto"/>
        <w:jc w:val="both"/>
        <w:rPr>
          <w:rFonts w:eastAsia="Times New Roman" w:cstheme="minorHAnsi"/>
          <w:sz w:val="28"/>
          <w:szCs w:val="28"/>
          <w:lang w:eastAsia="pl-PL"/>
        </w:rPr>
      </w:pPr>
    </w:p>
    <w:p w14:paraId="2C716253" w14:textId="77777777" w:rsidR="00BD3058" w:rsidRDefault="00BD3058" w:rsidP="00BD3058">
      <w:pPr>
        <w:spacing w:after="120" w:line="240" w:lineRule="auto"/>
        <w:jc w:val="both"/>
        <w:rPr>
          <w:rFonts w:eastAsia="Times New Roman" w:cstheme="minorHAnsi"/>
          <w:sz w:val="28"/>
          <w:szCs w:val="28"/>
          <w:lang w:eastAsia="pl-PL"/>
        </w:rPr>
      </w:pPr>
    </w:p>
    <w:p w14:paraId="14D5DA2E" w14:textId="77777777" w:rsidR="00BD3058" w:rsidRDefault="00BD3058" w:rsidP="00BD3058">
      <w:pPr>
        <w:spacing w:after="120" w:line="240" w:lineRule="auto"/>
        <w:jc w:val="both"/>
        <w:rPr>
          <w:rFonts w:eastAsia="Times New Roman" w:cstheme="minorHAnsi"/>
          <w:sz w:val="28"/>
          <w:szCs w:val="28"/>
          <w:lang w:eastAsia="pl-PL"/>
        </w:rPr>
      </w:pPr>
    </w:p>
    <w:p w14:paraId="6B1FC9E2" w14:textId="77777777" w:rsidR="00BD3058" w:rsidRDefault="00BD3058" w:rsidP="00BD3058">
      <w:pPr>
        <w:spacing w:after="120" w:line="240" w:lineRule="auto"/>
        <w:jc w:val="both"/>
        <w:rPr>
          <w:rFonts w:eastAsia="Times New Roman" w:cstheme="minorHAnsi"/>
          <w:sz w:val="28"/>
          <w:szCs w:val="28"/>
          <w:lang w:eastAsia="pl-PL"/>
        </w:rPr>
      </w:pPr>
    </w:p>
    <w:p w14:paraId="3D90E5A1" w14:textId="1051D8E8" w:rsidR="00BD3058" w:rsidRPr="005A07CF" w:rsidRDefault="00BD3058" w:rsidP="00BD3058">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317DB6">
        <w:rPr>
          <w:rFonts w:eastAsia="Times New Roman" w:cstheme="minorHAnsi"/>
          <w:sz w:val="28"/>
          <w:szCs w:val="28"/>
          <w:lang w:eastAsia="pl-PL"/>
        </w:rPr>
        <w:t>13</w:t>
      </w:r>
      <w:r>
        <w:rPr>
          <w:rFonts w:eastAsia="Times New Roman" w:cstheme="minorHAnsi"/>
          <w:sz w:val="28"/>
          <w:szCs w:val="28"/>
          <w:lang w:eastAsia="pl-PL"/>
        </w:rPr>
        <w:t>.03.2024 r.</w:t>
      </w:r>
    </w:p>
    <w:p w14:paraId="7AC61525" w14:textId="77777777" w:rsidR="00BD3058" w:rsidRDefault="00BD3058" w:rsidP="00BD3058">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1C262D78" w14:textId="77777777" w:rsidR="00BD3058" w:rsidRPr="006A2EB4" w:rsidRDefault="00BD3058" w:rsidP="00BD3058">
      <w:pPr>
        <w:spacing w:after="120" w:line="240" w:lineRule="auto"/>
        <w:jc w:val="both"/>
        <w:rPr>
          <w:rFonts w:eastAsia="Calibri" w:cstheme="minorHAnsi"/>
          <w:sz w:val="28"/>
          <w:szCs w:val="28"/>
        </w:rPr>
      </w:pPr>
    </w:p>
    <w:p w14:paraId="7FAB2656" w14:textId="77777777" w:rsidR="00BD3058" w:rsidRDefault="00BD3058" w:rsidP="00BD3058">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Pr="00BF5DED">
        <w:rPr>
          <w:rFonts w:cstheme="minorHAnsi"/>
          <w:sz w:val="28"/>
          <w:szCs w:val="28"/>
        </w:rPr>
        <w:t xml:space="preserve"> </w:t>
      </w:r>
      <w:r w:rsidRPr="00BB61E9">
        <w:rPr>
          <w:rFonts w:cstheme="minorHAnsi"/>
          <w:sz w:val="28"/>
          <w:szCs w:val="28"/>
        </w:rPr>
        <w:t xml:space="preserve">art. 49a </w:t>
      </w:r>
      <w:r>
        <w:rPr>
          <w:rFonts w:cstheme="minorHAnsi"/>
          <w:sz w:val="28"/>
          <w:szCs w:val="28"/>
        </w:rPr>
        <w:t xml:space="preserve">w związku z art. 104 </w:t>
      </w:r>
      <w:r w:rsidRPr="00BB61E9">
        <w:rPr>
          <w:rFonts w:cstheme="minorHAnsi"/>
          <w:sz w:val="28"/>
          <w:szCs w:val="28"/>
        </w:rPr>
        <w:t>ustawy z dnia 14</w:t>
      </w:r>
      <w:r>
        <w:rPr>
          <w:rFonts w:cstheme="minorHAnsi"/>
          <w:sz w:val="28"/>
          <w:szCs w:val="28"/>
        </w:rPr>
        <w:t> </w:t>
      </w:r>
      <w:r w:rsidRPr="00BB61E9">
        <w:rPr>
          <w:rFonts w:cstheme="minorHAnsi"/>
          <w:sz w:val="28"/>
          <w:szCs w:val="28"/>
        </w:rPr>
        <w:t>czerwca 1960 r. – Kodeks postępowania administracyjnego (Dz. U. z 2023</w:t>
      </w:r>
      <w:r>
        <w:rPr>
          <w:rFonts w:cstheme="minorHAnsi"/>
          <w:sz w:val="28"/>
          <w:szCs w:val="28"/>
        </w:rPr>
        <w:t> </w:t>
      </w:r>
      <w:r w:rsidRPr="00BB61E9">
        <w:rPr>
          <w:rFonts w:cstheme="minorHAnsi"/>
          <w:sz w:val="28"/>
          <w:szCs w:val="28"/>
        </w:rPr>
        <w:t>r. poz. 775 i 803)</w:t>
      </w:r>
      <w:r>
        <w:rPr>
          <w:rFonts w:cstheme="minorHAnsi"/>
          <w:sz w:val="28"/>
          <w:szCs w:val="28"/>
        </w:rPr>
        <w:t xml:space="preserve"> </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9D3446">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569CFEF5" w14:textId="77777777" w:rsidR="00BD3058" w:rsidRPr="00BD3058" w:rsidRDefault="00BD3058" w:rsidP="00BD3058">
      <w:pPr>
        <w:spacing w:after="120" w:line="240" w:lineRule="auto"/>
        <w:ind w:left="567"/>
        <w:jc w:val="right"/>
        <w:rPr>
          <w:rFonts w:cstheme="minorHAnsi"/>
          <w:sz w:val="28"/>
          <w:szCs w:val="28"/>
        </w:rPr>
      </w:pPr>
      <w:r w:rsidRPr="00BD3058">
        <w:rPr>
          <w:rFonts w:cstheme="minorHAnsi"/>
          <w:sz w:val="28"/>
          <w:szCs w:val="28"/>
        </w:rPr>
        <w:t>Śrem, 12 marca 2024 r.</w:t>
      </w:r>
    </w:p>
    <w:p w14:paraId="5FEDD797" w14:textId="77777777" w:rsidR="00BD3058" w:rsidRPr="00BD3058" w:rsidRDefault="00BD3058" w:rsidP="00BD3058">
      <w:pPr>
        <w:spacing w:after="120" w:line="240" w:lineRule="auto"/>
        <w:jc w:val="both"/>
        <w:rPr>
          <w:rFonts w:cstheme="minorHAnsi"/>
          <w:sz w:val="28"/>
          <w:szCs w:val="28"/>
        </w:rPr>
      </w:pPr>
      <w:r w:rsidRPr="00BD3058">
        <w:rPr>
          <w:rFonts w:cstheme="minorHAnsi"/>
          <w:sz w:val="28"/>
          <w:szCs w:val="28"/>
        </w:rPr>
        <w:t>PPSPP.6730.148.2023.GMON</w:t>
      </w:r>
    </w:p>
    <w:p w14:paraId="4274ACD9" w14:textId="77777777" w:rsidR="00BD3058" w:rsidRPr="00BD3058" w:rsidRDefault="00BD3058" w:rsidP="00BD3058">
      <w:pPr>
        <w:spacing w:after="120" w:line="240" w:lineRule="auto"/>
        <w:jc w:val="center"/>
        <w:rPr>
          <w:rFonts w:cstheme="minorHAnsi"/>
          <w:sz w:val="28"/>
          <w:szCs w:val="28"/>
        </w:rPr>
      </w:pPr>
      <w:r w:rsidRPr="00BD3058">
        <w:rPr>
          <w:rFonts w:cstheme="minorHAnsi"/>
          <w:sz w:val="28"/>
          <w:szCs w:val="28"/>
        </w:rPr>
        <w:t>Decyzja nr 21/2024</w:t>
      </w:r>
      <w:r w:rsidRPr="00BD3058">
        <w:rPr>
          <w:rFonts w:cstheme="minorHAnsi"/>
          <w:sz w:val="28"/>
          <w:szCs w:val="28"/>
        </w:rPr>
        <w:br/>
        <w:t xml:space="preserve"> o warunkach zabudowy</w:t>
      </w:r>
    </w:p>
    <w:p w14:paraId="1117D761" w14:textId="77777777" w:rsidR="00BD3058" w:rsidRPr="00BD3058" w:rsidRDefault="00BD3058" w:rsidP="00BD3058">
      <w:pPr>
        <w:spacing w:after="120" w:line="240" w:lineRule="auto"/>
        <w:jc w:val="center"/>
        <w:rPr>
          <w:rFonts w:cstheme="minorHAnsi"/>
          <w:sz w:val="28"/>
          <w:szCs w:val="28"/>
        </w:rPr>
      </w:pPr>
    </w:p>
    <w:p w14:paraId="5AAE4FD8" w14:textId="77777777" w:rsidR="00BD3058" w:rsidRPr="00BD3058" w:rsidRDefault="00BD3058" w:rsidP="00BD3058">
      <w:pPr>
        <w:spacing w:after="120" w:line="240" w:lineRule="auto"/>
        <w:ind w:firstLine="567"/>
        <w:jc w:val="both"/>
        <w:rPr>
          <w:rFonts w:cstheme="minorHAnsi"/>
          <w:sz w:val="28"/>
          <w:szCs w:val="28"/>
        </w:rPr>
      </w:pPr>
      <w:r w:rsidRPr="00BD3058">
        <w:rPr>
          <w:rFonts w:cs="Times New Roman"/>
          <w:sz w:val="28"/>
          <w:szCs w:val="28"/>
        </w:rPr>
        <w:t xml:space="preserve">Na podstawie art. 4 ust. 2 pkt 2 w związku z art. 59 ust. 1, ust. 2 i art. 60 ust. 1 ustawy z dnia 27 marca 2003 r. o planowaniu i zagospodarowaniu przestrzennym (Dz. U. z 2023 r. poz. 977, 1506, 1597, 1688, 1890, 2029 i 2739), </w:t>
      </w:r>
      <w:r w:rsidRPr="00BD3058">
        <w:rPr>
          <w:rFonts w:cstheme="minorHAnsi"/>
          <w:sz w:val="28"/>
          <w:szCs w:val="28"/>
        </w:rPr>
        <w:t>zwanej dalej u.p.z.p.,</w:t>
      </w:r>
      <w:r w:rsidRPr="00BD3058">
        <w:rPr>
          <w:rFonts w:cs="Times New Roman"/>
          <w:sz w:val="28"/>
          <w:szCs w:val="28"/>
        </w:rPr>
        <w:t xml:space="preserve"> oraz art. 104 ustawy z dnia 14 czerwca 1960 r. – Kodeks postępowania administracyjnego (Dz. U. z 2023 r. poz. 775 i 803), zwanej dalej k.p.a., po rozpatrzeniu wniosku </w:t>
      </w:r>
      <w:r w:rsidRPr="00BD3058">
        <w:rPr>
          <w:rFonts w:cstheme="minorHAnsi"/>
          <w:sz w:val="28"/>
          <w:szCs w:val="28"/>
        </w:rPr>
        <w:t>złożonego 18.09.2023 r., uzupełnionego 13.10.2023 r., zmienionego 23.01.2024 r. i 30.01.2024 r., przez:</w:t>
      </w:r>
    </w:p>
    <w:p w14:paraId="6C3A06BB" w14:textId="77777777" w:rsidR="00BD3058" w:rsidRPr="00BD3058" w:rsidRDefault="00BD3058" w:rsidP="00BD3058">
      <w:pPr>
        <w:spacing w:after="120" w:line="240" w:lineRule="auto"/>
        <w:jc w:val="center"/>
        <w:rPr>
          <w:rFonts w:cstheme="minorHAnsi"/>
          <w:bCs/>
          <w:sz w:val="28"/>
          <w:szCs w:val="28"/>
          <w:lang w:val="en-US"/>
        </w:rPr>
      </w:pPr>
      <w:r w:rsidRPr="00BD3058">
        <w:rPr>
          <w:rFonts w:cstheme="minorHAnsi"/>
          <w:bCs/>
          <w:sz w:val="28"/>
          <w:szCs w:val="28"/>
          <w:lang w:val="en-US"/>
        </w:rPr>
        <w:t xml:space="preserve">AH GROUP Sp. z </w:t>
      </w:r>
      <w:proofErr w:type="spellStart"/>
      <w:r w:rsidRPr="00BD3058">
        <w:rPr>
          <w:rFonts w:cstheme="minorHAnsi"/>
          <w:bCs/>
          <w:sz w:val="28"/>
          <w:szCs w:val="28"/>
          <w:lang w:val="en-US"/>
        </w:rPr>
        <w:t>o.o.</w:t>
      </w:r>
      <w:proofErr w:type="spellEnd"/>
    </w:p>
    <w:p w14:paraId="0921180B" w14:textId="77777777" w:rsidR="00BD3058" w:rsidRPr="00BD3058" w:rsidRDefault="00BD3058" w:rsidP="00BD3058">
      <w:pPr>
        <w:spacing w:after="120" w:line="240" w:lineRule="auto"/>
        <w:jc w:val="center"/>
        <w:rPr>
          <w:rFonts w:cstheme="minorHAnsi"/>
          <w:bCs/>
          <w:sz w:val="28"/>
          <w:szCs w:val="28"/>
        </w:rPr>
      </w:pPr>
      <w:r w:rsidRPr="00BD3058">
        <w:rPr>
          <w:rFonts w:cstheme="minorHAnsi"/>
          <w:bCs/>
          <w:sz w:val="28"/>
          <w:szCs w:val="28"/>
        </w:rPr>
        <w:t>(KRS 0000954775)</w:t>
      </w:r>
    </w:p>
    <w:p w14:paraId="55A404E2" w14:textId="77777777" w:rsidR="00BD3058" w:rsidRPr="00BD3058" w:rsidRDefault="00BD3058" w:rsidP="00BD3058">
      <w:pPr>
        <w:spacing w:after="120" w:line="240" w:lineRule="auto"/>
        <w:jc w:val="center"/>
        <w:rPr>
          <w:rFonts w:cstheme="minorHAnsi"/>
          <w:bCs/>
          <w:sz w:val="28"/>
          <w:szCs w:val="28"/>
        </w:rPr>
      </w:pPr>
      <w:r w:rsidRPr="00BD3058">
        <w:rPr>
          <w:rFonts w:cstheme="minorHAnsi"/>
          <w:bCs/>
          <w:sz w:val="28"/>
          <w:szCs w:val="28"/>
        </w:rPr>
        <w:t>ul. Fryderyka Chopina 1J, 63-100 Śrem</w:t>
      </w:r>
    </w:p>
    <w:p w14:paraId="105C365C" w14:textId="77777777" w:rsidR="00BD3058" w:rsidRPr="00BD3058" w:rsidRDefault="00BD3058" w:rsidP="00BD3058">
      <w:pPr>
        <w:widowControl w:val="0"/>
        <w:tabs>
          <w:tab w:val="left" w:pos="0"/>
        </w:tabs>
        <w:autoSpaceDE w:val="0"/>
        <w:autoSpaceDN w:val="0"/>
        <w:adjustRightInd w:val="0"/>
        <w:spacing w:after="120" w:line="240" w:lineRule="auto"/>
        <w:jc w:val="both"/>
        <w:rPr>
          <w:rFonts w:cstheme="minorHAnsi"/>
          <w:bCs/>
          <w:sz w:val="28"/>
          <w:szCs w:val="28"/>
        </w:rPr>
      </w:pPr>
      <w:r w:rsidRPr="00BD3058">
        <w:rPr>
          <w:rFonts w:cstheme="minorHAnsi"/>
          <w:sz w:val="28"/>
          <w:szCs w:val="28"/>
        </w:rPr>
        <w:t>w sprawie ustalenia warunków zabudowy dla przedsięwzięcia:</w:t>
      </w:r>
      <w:r w:rsidRPr="00BD3058">
        <w:rPr>
          <w:rFonts w:cstheme="minorHAnsi"/>
          <w:sz w:val="28"/>
        </w:rPr>
        <w:t xml:space="preserve"> „budowa 20 budynków mieszkalnych jednorodzinnych dwulokalowych wraz z drogą wewnętrzną” na terenie działek o nr ewid. 84/8 i 873, obręb Nochowo,</w:t>
      </w:r>
    </w:p>
    <w:p w14:paraId="3C9E1C3F" w14:textId="77777777" w:rsidR="00BD3058" w:rsidRPr="00BD3058" w:rsidRDefault="00BD3058" w:rsidP="00BD3058">
      <w:pPr>
        <w:spacing w:after="120" w:line="240" w:lineRule="auto"/>
        <w:jc w:val="center"/>
        <w:rPr>
          <w:rFonts w:cstheme="minorHAnsi"/>
          <w:sz w:val="28"/>
          <w:szCs w:val="28"/>
        </w:rPr>
      </w:pPr>
      <w:r w:rsidRPr="00BD3058">
        <w:rPr>
          <w:rFonts w:cstheme="minorHAnsi"/>
          <w:sz w:val="28"/>
          <w:szCs w:val="28"/>
        </w:rPr>
        <w:t>ustalam</w:t>
      </w:r>
      <w:r w:rsidRPr="00BD3058">
        <w:rPr>
          <w:rFonts w:cstheme="minorHAnsi"/>
          <w:sz w:val="28"/>
          <w:szCs w:val="28"/>
        </w:rPr>
        <w:br/>
        <w:t xml:space="preserve"> na rzecz Wnioskodawcy</w:t>
      </w:r>
      <w:r w:rsidRPr="00BD3058">
        <w:rPr>
          <w:rFonts w:cstheme="minorHAnsi"/>
          <w:sz w:val="28"/>
          <w:szCs w:val="28"/>
        </w:rPr>
        <w:br/>
        <w:t xml:space="preserve"> następujące warunki zabudowy i zagospodarowania terenu:</w:t>
      </w:r>
    </w:p>
    <w:p w14:paraId="18AE78E7" w14:textId="77777777" w:rsidR="00BD3058" w:rsidRPr="00BD3058" w:rsidRDefault="00BD3058">
      <w:pPr>
        <w:numPr>
          <w:ilvl w:val="0"/>
          <w:numId w:val="14"/>
        </w:numPr>
        <w:tabs>
          <w:tab w:val="left" w:pos="426"/>
        </w:tabs>
        <w:spacing w:after="120" w:line="240" w:lineRule="auto"/>
        <w:ind w:left="414" w:hanging="357"/>
        <w:contextualSpacing/>
        <w:jc w:val="both"/>
        <w:rPr>
          <w:rFonts w:cstheme="minorHAnsi"/>
          <w:sz w:val="28"/>
          <w:szCs w:val="28"/>
        </w:rPr>
      </w:pPr>
      <w:r w:rsidRPr="00BD3058">
        <w:rPr>
          <w:rFonts w:cstheme="minorHAnsi"/>
          <w:sz w:val="28"/>
          <w:szCs w:val="28"/>
        </w:rPr>
        <w:t>Opis inwestycji:</w:t>
      </w:r>
    </w:p>
    <w:p w14:paraId="7860EB7D" w14:textId="77777777" w:rsidR="00BD3058" w:rsidRPr="00BD3058" w:rsidRDefault="00BD3058">
      <w:pPr>
        <w:numPr>
          <w:ilvl w:val="0"/>
          <w:numId w:val="1"/>
        </w:numPr>
        <w:tabs>
          <w:tab w:val="left" w:pos="567"/>
        </w:tabs>
        <w:spacing w:after="120" w:line="240" w:lineRule="auto"/>
        <w:ind w:left="567"/>
        <w:contextualSpacing/>
        <w:jc w:val="both"/>
        <w:rPr>
          <w:rFonts w:cstheme="minorHAnsi"/>
          <w:sz w:val="28"/>
          <w:szCs w:val="28"/>
        </w:rPr>
      </w:pPr>
      <w:r w:rsidRPr="00BD3058">
        <w:rPr>
          <w:rFonts w:cstheme="minorHAnsi"/>
          <w:sz w:val="28"/>
          <w:szCs w:val="28"/>
        </w:rPr>
        <w:t>rodzaj: nie więcej niż 20 budynków mieszkalnych jednorodzinnych wolno stojących, droga wewnętrzna;</w:t>
      </w:r>
    </w:p>
    <w:p w14:paraId="393715BE" w14:textId="77777777" w:rsidR="00BD3058" w:rsidRPr="00BD3058" w:rsidRDefault="00BD3058">
      <w:pPr>
        <w:numPr>
          <w:ilvl w:val="0"/>
          <w:numId w:val="1"/>
        </w:numPr>
        <w:tabs>
          <w:tab w:val="left" w:pos="567"/>
        </w:tabs>
        <w:spacing w:after="120" w:line="240" w:lineRule="auto"/>
        <w:ind w:left="567"/>
        <w:contextualSpacing/>
        <w:jc w:val="both"/>
        <w:rPr>
          <w:rFonts w:cstheme="minorHAnsi"/>
          <w:sz w:val="28"/>
          <w:szCs w:val="28"/>
        </w:rPr>
      </w:pPr>
      <w:r w:rsidRPr="00BD3058">
        <w:rPr>
          <w:rFonts w:cstheme="minorHAnsi"/>
          <w:sz w:val="28"/>
          <w:szCs w:val="28"/>
        </w:rPr>
        <w:t xml:space="preserve">lokalizacja: teren składający się z działek o nr ewid. </w:t>
      </w:r>
      <w:r w:rsidRPr="00BD3058">
        <w:rPr>
          <w:rFonts w:cstheme="minorHAnsi"/>
          <w:sz w:val="28"/>
        </w:rPr>
        <w:t>84/8 i 873, obręb Nochowo,</w:t>
      </w:r>
      <w:r w:rsidRPr="00BD3058">
        <w:rPr>
          <w:rFonts w:cstheme="minorHAnsi"/>
          <w:sz w:val="28"/>
          <w:szCs w:val="28"/>
        </w:rPr>
        <w:t xml:space="preserve"> stanowiący sumę terenów oznaczonych symbolami: A, B i C, zgodnie z liniami rozgraniczającymi teren inwestycji wyznaczonymi na mapie, stanowiącej załącznik nr 1 do decyzji;</w:t>
      </w:r>
    </w:p>
    <w:p w14:paraId="1149F344" w14:textId="77777777" w:rsidR="00BD3058" w:rsidRPr="00BD3058" w:rsidRDefault="00BD3058">
      <w:pPr>
        <w:numPr>
          <w:ilvl w:val="0"/>
          <w:numId w:val="1"/>
        </w:numPr>
        <w:tabs>
          <w:tab w:val="left" w:pos="567"/>
        </w:tabs>
        <w:spacing w:after="120" w:line="240" w:lineRule="auto"/>
        <w:ind w:left="567"/>
        <w:contextualSpacing/>
        <w:jc w:val="both"/>
        <w:rPr>
          <w:rFonts w:cstheme="minorHAnsi"/>
          <w:sz w:val="28"/>
          <w:szCs w:val="28"/>
        </w:rPr>
      </w:pPr>
      <w:r w:rsidRPr="00BD3058">
        <w:rPr>
          <w:rFonts w:cstheme="minorHAnsi"/>
          <w:sz w:val="28"/>
          <w:szCs w:val="28"/>
        </w:rPr>
        <w:t>funkcja zabudowy i zagospodarowania terenu: mieszkaniowa, komunikacja.</w:t>
      </w:r>
    </w:p>
    <w:p w14:paraId="5D0637FD" w14:textId="77777777" w:rsidR="00BD3058" w:rsidRPr="00BD3058" w:rsidRDefault="00BD3058" w:rsidP="00BD3058">
      <w:pPr>
        <w:spacing w:after="0" w:line="240" w:lineRule="auto"/>
        <w:rPr>
          <w:rFonts w:cstheme="minorHAnsi"/>
          <w:sz w:val="28"/>
          <w:szCs w:val="28"/>
        </w:rPr>
      </w:pPr>
      <w:r w:rsidRPr="00BD3058">
        <w:rPr>
          <w:rFonts w:cstheme="minorHAnsi"/>
          <w:sz w:val="28"/>
          <w:szCs w:val="28"/>
        </w:rPr>
        <w:br w:type="page"/>
      </w:r>
    </w:p>
    <w:p w14:paraId="529EDF44" w14:textId="77777777" w:rsidR="00BD3058" w:rsidRPr="00BD3058" w:rsidRDefault="00BD3058">
      <w:pPr>
        <w:numPr>
          <w:ilvl w:val="0"/>
          <w:numId w:val="14"/>
        </w:numPr>
        <w:tabs>
          <w:tab w:val="left" w:pos="426"/>
        </w:tabs>
        <w:spacing w:after="120" w:line="240" w:lineRule="auto"/>
        <w:ind w:left="414" w:hanging="357"/>
        <w:contextualSpacing/>
        <w:jc w:val="both"/>
        <w:rPr>
          <w:rFonts w:cstheme="minorHAnsi"/>
          <w:sz w:val="28"/>
          <w:szCs w:val="28"/>
        </w:rPr>
      </w:pPr>
      <w:r w:rsidRPr="00BD3058">
        <w:rPr>
          <w:rFonts w:cstheme="minorHAnsi"/>
          <w:sz w:val="28"/>
          <w:szCs w:val="28"/>
        </w:rPr>
        <w:lastRenderedPageBreak/>
        <w:t>Warunki i szczegółowe zasady zagospodarowania terenu oraz jego zabudowy wynikające z przepisów odrębnych w zakresie:</w:t>
      </w:r>
    </w:p>
    <w:p w14:paraId="33E8254C" w14:textId="77777777" w:rsidR="00BD3058" w:rsidRPr="00BD3058" w:rsidRDefault="00BD3058">
      <w:pPr>
        <w:numPr>
          <w:ilvl w:val="0"/>
          <w:numId w:val="2"/>
        </w:numPr>
        <w:tabs>
          <w:tab w:val="left" w:pos="567"/>
        </w:tabs>
        <w:spacing w:after="120" w:line="240" w:lineRule="auto"/>
        <w:ind w:left="567"/>
        <w:contextualSpacing/>
        <w:jc w:val="both"/>
        <w:rPr>
          <w:rFonts w:cstheme="minorHAnsi"/>
          <w:sz w:val="28"/>
          <w:szCs w:val="28"/>
        </w:rPr>
      </w:pPr>
      <w:r w:rsidRPr="00BD3058">
        <w:rPr>
          <w:rFonts w:cstheme="minorHAnsi"/>
          <w:sz w:val="28"/>
          <w:szCs w:val="28"/>
        </w:rPr>
        <w:t xml:space="preserve">warunków i wymagań ochrony i kształtowania ładu przestrzennego </w:t>
      </w:r>
      <w:r w:rsidRPr="00BD3058">
        <w:rPr>
          <w:rFonts w:cstheme="minorHAnsi"/>
          <w:b/>
          <w:bCs/>
          <w:sz w:val="28"/>
          <w:szCs w:val="28"/>
        </w:rPr>
        <w:t>dla każdego z terenów oznaczonych symbolami A i B</w:t>
      </w:r>
      <w:r w:rsidRPr="00BD3058">
        <w:rPr>
          <w:rFonts w:cstheme="minorHAnsi"/>
          <w:sz w:val="28"/>
          <w:szCs w:val="28"/>
        </w:rPr>
        <w:t>:</w:t>
      </w:r>
    </w:p>
    <w:p w14:paraId="6BEB962B"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linia zabudowy: wyznaczona jako nieprzekraczalna i oznaczająca linię wyznaczającą najmniejszą odległość, w której mogą być zlokalizowane zewnętrzne krawędzie ścian zewnętrznych budynków, ustalona w odległości 6,0 m od granicy planowanej drogi wewnętrznej, przy czym:</w:t>
      </w:r>
    </w:p>
    <w:p w14:paraId="47ECED5A" w14:textId="77777777" w:rsidR="00BD3058" w:rsidRPr="00BD3058" w:rsidRDefault="00BD3058">
      <w:pPr>
        <w:numPr>
          <w:ilvl w:val="0"/>
          <w:numId w:val="19"/>
        </w:numPr>
        <w:spacing w:after="120" w:line="240" w:lineRule="auto"/>
        <w:contextualSpacing/>
        <w:jc w:val="both"/>
        <w:rPr>
          <w:rFonts w:cstheme="minorHAnsi"/>
          <w:sz w:val="28"/>
          <w:szCs w:val="28"/>
        </w:rPr>
      </w:pPr>
      <w:r w:rsidRPr="00BD3058">
        <w:rPr>
          <w:rFonts w:cstheme="minorHAnsi"/>
          <w:sz w:val="28"/>
          <w:szCs w:val="28"/>
        </w:rPr>
        <w:t xml:space="preserve">okapy i gzymsy, mogą wykraczać przed nieprzekraczalną linię zabudowy o nie więcej niż 0,8 m, </w:t>
      </w:r>
    </w:p>
    <w:p w14:paraId="675A67BD" w14:textId="77777777" w:rsidR="00BD3058" w:rsidRPr="00BD3058" w:rsidRDefault="00BD3058">
      <w:pPr>
        <w:numPr>
          <w:ilvl w:val="0"/>
          <w:numId w:val="19"/>
        </w:numPr>
        <w:spacing w:after="120" w:line="240" w:lineRule="auto"/>
        <w:contextualSpacing/>
        <w:jc w:val="both"/>
        <w:rPr>
          <w:rFonts w:cstheme="minorHAnsi"/>
          <w:sz w:val="28"/>
          <w:szCs w:val="28"/>
        </w:rPr>
      </w:pPr>
      <w:r w:rsidRPr="00BD3058">
        <w:rPr>
          <w:rFonts w:cstheme="minorHAnsi"/>
          <w:sz w:val="28"/>
          <w:szCs w:val="28"/>
        </w:rPr>
        <w:t>części budynków takie, jak: balkony, galerie, wykusze i ich zadaszenia wyłącznie na kondygnacjach wyższych niż parter, mogą wykraczać poza nieprzekraczalną linię zabudowy o nie więcej niż 1,5 m,</w:t>
      </w:r>
    </w:p>
    <w:p w14:paraId="124AB9E5" w14:textId="77777777" w:rsidR="00BD3058" w:rsidRPr="00BD3058" w:rsidRDefault="00BD3058">
      <w:pPr>
        <w:numPr>
          <w:ilvl w:val="0"/>
          <w:numId w:val="19"/>
        </w:numPr>
        <w:spacing w:after="120" w:line="240" w:lineRule="auto"/>
        <w:contextualSpacing/>
        <w:jc w:val="both"/>
        <w:rPr>
          <w:rFonts w:cstheme="minorHAnsi"/>
          <w:color w:val="1F497D" w:themeColor="text2"/>
          <w:sz w:val="28"/>
          <w:szCs w:val="28"/>
        </w:rPr>
      </w:pPr>
      <w:r w:rsidRPr="00BD3058">
        <w:rPr>
          <w:rFonts w:cstheme="minorHAnsi"/>
          <w:sz w:val="28"/>
          <w:szCs w:val="28"/>
        </w:rPr>
        <w:t>zadaszenia wejściowe, mogą wykraczać poza nieprzekraczalną linię zabudowy o nie więcej niż 1,5 m,</w:t>
      </w:r>
    </w:p>
    <w:p w14:paraId="57CA3FCF"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wskaźnik powierzchni nowej zabudowy: od 13,9 % do 14,9 % powierzchni terenu,</w:t>
      </w:r>
    </w:p>
    <w:p w14:paraId="04FEDC31"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powierzchnia biologicznie czynna: nie mniejsza niż 50 % powierzchni terenu,</w:t>
      </w:r>
    </w:p>
    <w:p w14:paraId="4051FE2C"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szerokość elewacji frontowej</w:t>
      </w:r>
      <w:r w:rsidRPr="00BD3058">
        <w:rPr>
          <w:rFonts w:cstheme="minorHAnsi"/>
          <w:sz w:val="28"/>
          <w:szCs w:val="28"/>
          <w:vertAlign w:val="superscript"/>
        </w:rPr>
        <w:footnoteReference w:id="1"/>
      </w:r>
      <w:r w:rsidRPr="00BD3058">
        <w:rPr>
          <w:rFonts w:cstheme="minorHAnsi"/>
          <w:sz w:val="28"/>
          <w:szCs w:val="28"/>
        </w:rPr>
        <w:t xml:space="preserve"> budynku: od 10,1 m do 18,9 m,</w:t>
      </w:r>
    </w:p>
    <w:p w14:paraId="2490A492"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 xml:space="preserve">wysokość górnej krawędzi elewacji frontowej: </w:t>
      </w:r>
    </w:p>
    <w:p w14:paraId="5C062C8F" w14:textId="77777777" w:rsidR="00BD3058" w:rsidRPr="00BD3058" w:rsidRDefault="00BD3058">
      <w:pPr>
        <w:numPr>
          <w:ilvl w:val="0"/>
          <w:numId w:val="20"/>
        </w:numPr>
        <w:spacing w:after="120" w:line="240" w:lineRule="auto"/>
        <w:ind w:left="924" w:hanging="357"/>
        <w:contextualSpacing/>
        <w:jc w:val="both"/>
        <w:rPr>
          <w:rFonts w:cstheme="minorHAnsi"/>
          <w:sz w:val="28"/>
          <w:szCs w:val="28"/>
        </w:rPr>
      </w:pPr>
      <w:r w:rsidRPr="00BD3058">
        <w:rPr>
          <w:rFonts w:cstheme="minorHAnsi"/>
          <w:sz w:val="28"/>
          <w:szCs w:val="28"/>
        </w:rPr>
        <w:t>budynków usytuowanych kalenicowo do frontu działki: od 3,0 m do 4,0 m,</w:t>
      </w:r>
    </w:p>
    <w:p w14:paraId="73E85AA3" w14:textId="77777777" w:rsidR="00BD3058" w:rsidRPr="00BD3058" w:rsidRDefault="00BD3058">
      <w:pPr>
        <w:numPr>
          <w:ilvl w:val="0"/>
          <w:numId w:val="20"/>
        </w:numPr>
        <w:spacing w:after="120" w:line="240" w:lineRule="auto"/>
        <w:ind w:left="924" w:hanging="357"/>
        <w:contextualSpacing/>
        <w:jc w:val="both"/>
        <w:rPr>
          <w:rFonts w:cstheme="minorHAnsi"/>
          <w:sz w:val="28"/>
          <w:szCs w:val="28"/>
        </w:rPr>
      </w:pPr>
      <w:r w:rsidRPr="00BD3058">
        <w:rPr>
          <w:rFonts w:cstheme="minorHAnsi"/>
          <w:sz w:val="28"/>
          <w:szCs w:val="28"/>
        </w:rPr>
        <w:t>budynków usytuowanych szczytowo do frontu działki: od 7,0 m do 7,5 m,</w:t>
      </w:r>
    </w:p>
    <w:p w14:paraId="33EA269D"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liczba kondygnacji nadziemnych budynku: 2,</w:t>
      </w:r>
    </w:p>
    <w:p w14:paraId="38D81134" w14:textId="77777777" w:rsidR="00BD3058" w:rsidRPr="00BD3058" w:rsidRDefault="00BD3058">
      <w:pPr>
        <w:numPr>
          <w:ilvl w:val="0"/>
          <w:numId w:val="8"/>
        </w:numPr>
        <w:spacing w:after="120" w:line="240" w:lineRule="auto"/>
        <w:contextualSpacing/>
        <w:jc w:val="both"/>
        <w:rPr>
          <w:rFonts w:cstheme="minorHAnsi"/>
          <w:sz w:val="28"/>
          <w:szCs w:val="28"/>
        </w:rPr>
      </w:pPr>
      <w:r w:rsidRPr="00BD3058">
        <w:rPr>
          <w:rFonts w:cstheme="minorHAnsi"/>
          <w:sz w:val="28"/>
          <w:szCs w:val="28"/>
        </w:rPr>
        <w:t>geometria dachu:</w:t>
      </w:r>
    </w:p>
    <w:p w14:paraId="5418CC42" w14:textId="77777777" w:rsidR="00BD3058" w:rsidRPr="00BD3058" w:rsidRDefault="00BD3058">
      <w:pPr>
        <w:numPr>
          <w:ilvl w:val="0"/>
          <w:numId w:val="9"/>
        </w:numPr>
        <w:spacing w:after="120" w:line="240" w:lineRule="auto"/>
        <w:ind w:left="924" w:hanging="357"/>
        <w:contextualSpacing/>
        <w:jc w:val="both"/>
        <w:rPr>
          <w:rFonts w:cstheme="minorHAnsi"/>
          <w:sz w:val="28"/>
          <w:szCs w:val="28"/>
        </w:rPr>
      </w:pPr>
      <w:bookmarkStart w:id="0" w:name="_Hlk151465828"/>
      <w:r w:rsidRPr="00BD3058">
        <w:rPr>
          <w:rFonts w:cstheme="minorHAnsi"/>
          <w:sz w:val="28"/>
          <w:szCs w:val="28"/>
        </w:rPr>
        <w:t>kąt nachylenia głównych połaci dachu: od 30° do 40°,</w:t>
      </w:r>
    </w:p>
    <w:p w14:paraId="5660EE0C" w14:textId="77777777" w:rsidR="00BD3058" w:rsidRPr="00BD3058" w:rsidRDefault="00BD3058">
      <w:pPr>
        <w:numPr>
          <w:ilvl w:val="0"/>
          <w:numId w:val="9"/>
        </w:numPr>
        <w:spacing w:after="120" w:line="240" w:lineRule="auto"/>
        <w:ind w:left="924" w:hanging="357"/>
        <w:contextualSpacing/>
        <w:jc w:val="both"/>
        <w:rPr>
          <w:rFonts w:cstheme="minorHAnsi"/>
          <w:sz w:val="28"/>
          <w:szCs w:val="28"/>
        </w:rPr>
      </w:pPr>
      <w:r w:rsidRPr="00BD3058">
        <w:rPr>
          <w:rFonts w:cstheme="minorHAnsi"/>
          <w:sz w:val="28"/>
          <w:szCs w:val="28"/>
        </w:rPr>
        <w:t>wysokość głównej kalenicy</w:t>
      </w:r>
      <w:bookmarkEnd w:id="0"/>
      <w:r w:rsidRPr="00BD3058">
        <w:rPr>
          <w:rFonts w:cstheme="minorHAnsi"/>
          <w:sz w:val="28"/>
          <w:szCs w:val="28"/>
        </w:rPr>
        <w:t>: od 7,0 m do 8,0 m,</w:t>
      </w:r>
    </w:p>
    <w:p w14:paraId="5F9915AE" w14:textId="77777777" w:rsidR="00BD3058" w:rsidRPr="00BD3058" w:rsidRDefault="00BD3058">
      <w:pPr>
        <w:numPr>
          <w:ilvl w:val="0"/>
          <w:numId w:val="9"/>
        </w:numPr>
        <w:spacing w:after="120" w:line="240" w:lineRule="auto"/>
        <w:ind w:left="924" w:hanging="357"/>
        <w:contextualSpacing/>
        <w:jc w:val="both"/>
        <w:rPr>
          <w:rFonts w:cstheme="minorHAnsi"/>
          <w:sz w:val="28"/>
          <w:szCs w:val="28"/>
        </w:rPr>
      </w:pPr>
      <w:r w:rsidRPr="00BD3058">
        <w:rPr>
          <w:rFonts w:cstheme="minorHAnsi"/>
          <w:sz w:val="28"/>
          <w:szCs w:val="28"/>
        </w:rPr>
        <w:t>układ połaci dachowych: dwuspadowy,</w:t>
      </w:r>
    </w:p>
    <w:p w14:paraId="0EE18D74" w14:textId="77777777" w:rsidR="00BD3058" w:rsidRPr="00BD3058" w:rsidRDefault="00BD3058">
      <w:pPr>
        <w:numPr>
          <w:ilvl w:val="0"/>
          <w:numId w:val="9"/>
        </w:numPr>
        <w:spacing w:after="120" w:line="240" w:lineRule="auto"/>
        <w:ind w:left="924" w:hanging="357"/>
        <w:contextualSpacing/>
        <w:jc w:val="both"/>
        <w:rPr>
          <w:rFonts w:cstheme="minorHAnsi"/>
          <w:sz w:val="28"/>
          <w:szCs w:val="28"/>
        </w:rPr>
      </w:pPr>
      <w:r w:rsidRPr="00BD3058">
        <w:rPr>
          <w:rFonts w:cstheme="minorHAnsi"/>
          <w:sz w:val="28"/>
          <w:szCs w:val="28"/>
        </w:rPr>
        <w:t>kierunek głównej kalenicy dachu: kalenicowy albo szczytowy;</w:t>
      </w:r>
    </w:p>
    <w:p w14:paraId="7DFC5B6D" w14:textId="77777777" w:rsidR="00BD3058" w:rsidRPr="00BD3058" w:rsidRDefault="00BD3058" w:rsidP="00BD3058">
      <w:pPr>
        <w:spacing w:after="120" w:line="240" w:lineRule="auto"/>
        <w:ind w:left="924"/>
        <w:contextualSpacing/>
        <w:jc w:val="both"/>
        <w:rPr>
          <w:rFonts w:cstheme="minorHAnsi"/>
          <w:sz w:val="28"/>
          <w:szCs w:val="28"/>
        </w:rPr>
      </w:pPr>
    </w:p>
    <w:p w14:paraId="554C5EF4" w14:textId="77777777" w:rsidR="00BD3058" w:rsidRPr="00BD3058" w:rsidRDefault="00BD3058">
      <w:pPr>
        <w:numPr>
          <w:ilvl w:val="0"/>
          <w:numId w:val="2"/>
        </w:numPr>
        <w:tabs>
          <w:tab w:val="left" w:pos="567"/>
        </w:tabs>
        <w:spacing w:after="120" w:line="240" w:lineRule="auto"/>
        <w:ind w:left="567"/>
        <w:contextualSpacing/>
        <w:jc w:val="both"/>
        <w:rPr>
          <w:rFonts w:cstheme="minorHAnsi"/>
          <w:sz w:val="28"/>
          <w:szCs w:val="28"/>
        </w:rPr>
      </w:pPr>
      <w:r w:rsidRPr="00BD3058">
        <w:rPr>
          <w:rFonts w:cstheme="minorHAnsi"/>
          <w:sz w:val="28"/>
          <w:szCs w:val="28"/>
        </w:rPr>
        <w:lastRenderedPageBreak/>
        <w:t xml:space="preserve">warunków i wymagań ochrony i kształtowania ładu przestrzennego </w:t>
      </w:r>
      <w:r w:rsidRPr="00BD3058">
        <w:rPr>
          <w:rFonts w:cstheme="minorHAnsi"/>
          <w:b/>
          <w:bCs/>
          <w:sz w:val="28"/>
          <w:szCs w:val="28"/>
        </w:rPr>
        <w:t>dla terenu oznaczonego symbolem C</w:t>
      </w:r>
      <w:r w:rsidRPr="00BD3058">
        <w:rPr>
          <w:rFonts w:cstheme="minorHAnsi"/>
          <w:sz w:val="28"/>
          <w:szCs w:val="28"/>
        </w:rPr>
        <w:t>: parametry wewnętrznego układu komunikacyjnego: droga o szerokości nie mniejszej niż 8,0 m, z poszerzeniami na trójkąty widoczności;</w:t>
      </w:r>
    </w:p>
    <w:p w14:paraId="6DE3A84E" w14:textId="77777777" w:rsidR="00BD3058" w:rsidRPr="00BD3058" w:rsidRDefault="00BD3058">
      <w:pPr>
        <w:numPr>
          <w:ilvl w:val="0"/>
          <w:numId w:val="2"/>
        </w:numPr>
        <w:spacing w:after="120" w:line="240" w:lineRule="auto"/>
        <w:ind w:left="567"/>
        <w:contextualSpacing/>
        <w:jc w:val="both"/>
        <w:rPr>
          <w:rFonts w:cstheme="minorHAnsi"/>
          <w:sz w:val="28"/>
          <w:szCs w:val="28"/>
        </w:rPr>
      </w:pPr>
      <w:r w:rsidRPr="00BD3058">
        <w:rPr>
          <w:rFonts w:cstheme="minorHAnsi"/>
          <w:sz w:val="28"/>
          <w:szCs w:val="28"/>
        </w:rPr>
        <w:t>obsługi w zakresie infrastruktury technicznej i komunikacji:</w:t>
      </w:r>
    </w:p>
    <w:p w14:paraId="51BCA73B"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 xml:space="preserve">sposób zaopatrzenia w wodę: sieć wodociągowa </w:t>
      </w:r>
      <w:r w:rsidRPr="00BD3058">
        <w:rPr>
          <w:rFonts w:ascii="Calibri" w:hAnsi="Calibri" w:cs="Times New Roman"/>
          <w:sz w:val="28"/>
          <w:szCs w:val="28"/>
        </w:rPr>
        <w:t>(umowa o współpracy w zakresie budowy sieci wodociągowej oraz sieci kanalizacji sanitarnej z Śremskimi Wodociągami Sp. z o.o. z 11.10.2023 r.),</w:t>
      </w:r>
    </w:p>
    <w:p w14:paraId="4D6855AE"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sposób zaopatrzenia w energię elektryczną: sieć elektroenergetyczna (oświadczenie ENEA Operator Sp. z o.o. z 18.08.2023 r.),</w:t>
      </w:r>
    </w:p>
    <w:p w14:paraId="36ABC67C"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sposób zaopatrzenia w energię cieplną: zgodnie z przepisami odrębnymi,</w:t>
      </w:r>
    </w:p>
    <w:p w14:paraId="76EA4774"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 xml:space="preserve">odprowadzanie ścieków bytowych: sieć kanalizacji sanitarnej </w:t>
      </w:r>
      <w:r w:rsidRPr="00BD3058">
        <w:rPr>
          <w:rFonts w:ascii="Calibri" w:hAnsi="Calibri" w:cs="Times New Roman"/>
          <w:sz w:val="28"/>
          <w:szCs w:val="28"/>
        </w:rPr>
        <w:t>(umowa o współpracy w zakresie budowy sieci wodociągowej oraz sieci kanalizacji sanitarnej z Śremskimi Wodociągami Sp. z o.o. z 11.10.2023 r.),</w:t>
      </w:r>
    </w:p>
    <w:p w14:paraId="14C42720"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należy uwzględnić ograniczenia wynikające z występowania uzbrojenia technicznego, w szczególności rowu melioracyjnego na działce o nr ewid. 873, uzyskać stosowne oświadczenia i warunki od właściwych jednostek oraz wykonać inwestycję w sposób zapewniający zachowanie sprawności użytkowej urządzeń,</w:t>
      </w:r>
    </w:p>
    <w:p w14:paraId="441DC560"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gospodarowanie odpadami: zgodnie z przepisami odrębnymi,</w:t>
      </w:r>
    </w:p>
    <w:p w14:paraId="4529CA0B" w14:textId="77777777" w:rsidR="00BD3058" w:rsidRPr="00BD3058" w:rsidRDefault="00BD3058">
      <w:pPr>
        <w:numPr>
          <w:ilvl w:val="0"/>
          <w:numId w:val="10"/>
        </w:numPr>
        <w:tabs>
          <w:tab w:val="left" w:pos="709"/>
        </w:tabs>
        <w:spacing w:after="120" w:line="240" w:lineRule="auto"/>
        <w:contextualSpacing/>
        <w:jc w:val="both"/>
        <w:rPr>
          <w:rFonts w:cstheme="minorHAnsi"/>
          <w:sz w:val="24"/>
          <w:szCs w:val="24"/>
        </w:rPr>
      </w:pPr>
      <w:r w:rsidRPr="00BD3058">
        <w:rPr>
          <w:rFonts w:cstheme="minorHAnsi"/>
          <w:sz w:val="28"/>
          <w:szCs w:val="28"/>
        </w:rPr>
        <w:t xml:space="preserve">dostęp do drogi publicznej: </w:t>
      </w:r>
      <w:r w:rsidRPr="00BD3058">
        <w:rPr>
          <w:rFonts w:cstheme="minorHAnsi"/>
          <w:sz w:val="28"/>
        </w:rPr>
        <w:t>pośredni do drogi gminnej – ul. Leśnej (</w:t>
      </w:r>
      <w:r w:rsidRPr="00BD3058">
        <w:rPr>
          <w:rFonts w:eastAsia="Times New Roman" w:cstheme="minorHAnsi"/>
          <w:sz w:val="28"/>
          <w:szCs w:val="28"/>
          <w:lang w:eastAsia="pl-PL"/>
        </w:rPr>
        <w:t xml:space="preserve">działki o nr ewid. </w:t>
      </w:r>
      <w:r w:rsidRPr="00BD3058">
        <w:rPr>
          <w:rFonts w:eastAsia="Times New Roman" w:cstheme="minorHAnsi"/>
          <w:sz w:val="28"/>
          <w:lang w:eastAsia="pl-PL"/>
        </w:rPr>
        <w:t>89/1, obręb Nochowo) poprzez planowaną drogę wewnętrzną, oznaczoną symbolem C na załączniku nr 1 do decyzji</w:t>
      </w:r>
      <w:r w:rsidRPr="00BD3058">
        <w:rPr>
          <w:rFonts w:cstheme="minorHAnsi"/>
          <w:sz w:val="28"/>
        </w:rPr>
        <w:t>,</w:t>
      </w:r>
    </w:p>
    <w:p w14:paraId="6F38DD7D" w14:textId="77777777" w:rsidR="00BD3058" w:rsidRPr="00BD3058" w:rsidRDefault="00BD3058">
      <w:pPr>
        <w:numPr>
          <w:ilvl w:val="0"/>
          <w:numId w:val="10"/>
        </w:numPr>
        <w:tabs>
          <w:tab w:val="left" w:pos="709"/>
        </w:tabs>
        <w:spacing w:after="120" w:line="240" w:lineRule="auto"/>
        <w:contextualSpacing/>
        <w:jc w:val="both"/>
        <w:rPr>
          <w:rFonts w:cstheme="minorHAnsi"/>
          <w:sz w:val="28"/>
          <w:szCs w:val="28"/>
        </w:rPr>
      </w:pPr>
      <w:r w:rsidRPr="00BD3058">
        <w:rPr>
          <w:rFonts w:cstheme="minorHAnsi"/>
          <w:sz w:val="28"/>
          <w:szCs w:val="28"/>
        </w:rPr>
        <w:t>liczba miejsc parkingowych: nie mniej niż dwa na lokal mieszkalny zlokalizowane na terenie inwestycji, z wyłączeniem planowanej drogi wewnętrznej;</w:t>
      </w:r>
    </w:p>
    <w:p w14:paraId="7395E7E9" w14:textId="77777777" w:rsidR="00BD3058" w:rsidRPr="00BD3058" w:rsidRDefault="00BD3058">
      <w:pPr>
        <w:numPr>
          <w:ilvl w:val="0"/>
          <w:numId w:val="2"/>
        </w:numPr>
        <w:spacing w:after="120" w:line="240" w:lineRule="auto"/>
        <w:ind w:left="635" w:hanging="425"/>
        <w:contextualSpacing/>
        <w:jc w:val="both"/>
        <w:rPr>
          <w:rFonts w:cstheme="minorHAnsi"/>
          <w:sz w:val="28"/>
          <w:szCs w:val="28"/>
        </w:rPr>
      </w:pPr>
      <w:r w:rsidRPr="00BD3058">
        <w:rPr>
          <w:rFonts w:cstheme="minorHAnsi"/>
          <w:sz w:val="28"/>
          <w:szCs w:val="28"/>
        </w:rPr>
        <w:t>wymagań dotyczących ochrony interesów osób trzecich:</w:t>
      </w:r>
    </w:p>
    <w:p w14:paraId="58EEDE3D" w14:textId="77777777" w:rsidR="00BD3058" w:rsidRPr="00BD3058" w:rsidRDefault="00BD3058">
      <w:pPr>
        <w:numPr>
          <w:ilvl w:val="0"/>
          <w:numId w:val="3"/>
        </w:numPr>
        <w:spacing w:after="120" w:line="240" w:lineRule="auto"/>
        <w:contextualSpacing/>
        <w:jc w:val="both"/>
        <w:rPr>
          <w:rFonts w:cstheme="minorHAnsi"/>
          <w:sz w:val="28"/>
          <w:szCs w:val="28"/>
        </w:rPr>
      </w:pPr>
      <w:r w:rsidRPr="00BD3058">
        <w:rPr>
          <w:rFonts w:cstheme="minorHAnsi"/>
          <w:sz w:val="28"/>
          <w:szCs w:val="28"/>
        </w:rPr>
        <w:t xml:space="preserve">warunki ochrony przed pozbawieniem: </w:t>
      </w:r>
    </w:p>
    <w:p w14:paraId="5ED0A918" w14:textId="77777777" w:rsidR="00BD3058" w:rsidRPr="00BD3058" w:rsidRDefault="00BD3058">
      <w:pPr>
        <w:numPr>
          <w:ilvl w:val="0"/>
          <w:numId w:val="4"/>
        </w:numPr>
        <w:spacing w:after="120" w:line="240" w:lineRule="auto"/>
        <w:ind w:left="993" w:hanging="426"/>
        <w:contextualSpacing/>
        <w:jc w:val="both"/>
        <w:rPr>
          <w:rFonts w:cstheme="minorHAnsi"/>
          <w:sz w:val="28"/>
          <w:szCs w:val="28"/>
        </w:rPr>
      </w:pPr>
      <w:r w:rsidRPr="00BD3058">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05F3DCE2" w14:textId="77777777" w:rsidR="00BD3058" w:rsidRPr="00BD3058" w:rsidRDefault="00BD3058" w:rsidP="00BD3058">
      <w:pPr>
        <w:spacing w:after="120" w:line="240" w:lineRule="auto"/>
        <w:ind w:left="567"/>
        <w:jc w:val="both"/>
        <w:rPr>
          <w:rFonts w:cstheme="minorHAnsi"/>
          <w:sz w:val="28"/>
          <w:szCs w:val="28"/>
        </w:rPr>
      </w:pPr>
    </w:p>
    <w:p w14:paraId="2A7DB81B" w14:textId="77777777" w:rsidR="00BD3058" w:rsidRDefault="00BD3058" w:rsidP="00BD3058">
      <w:pPr>
        <w:spacing w:after="120" w:line="240" w:lineRule="auto"/>
        <w:ind w:left="567"/>
        <w:jc w:val="both"/>
        <w:rPr>
          <w:rFonts w:cstheme="minorHAnsi"/>
          <w:sz w:val="28"/>
          <w:szCs w:val="28"/>
        </w:rPr>
      </w:pPr>
    </w:p>
    <w:p w14:paraId="62C6D52C" w14:textId="77777777" w:rsidR="00BD3058" w:rsidRPr="00BD3058" w:rsidRDefault="00BD3058" w:rsidP="00BD3058">
      <w:pPr>
        <w:spacing w:after="120" w:line="240" w:lineRule="auto"/>
        <w:ind w:left="567"/>
        <w:jc w:val="both"/>
        <w:rPr>
          <w:rFonts w:cstheme="minorHAnsi"/>
          <w:sz w:val="28"/>
          <w:szCs w:val="28"/>
        </w:rPr>
      </w:pPr>
    </w:p>
    <w:p w14:paraId="3CA5BD64" w14:textId="77777777" w:rsidR="00BD3058" w:rsidRPr="00BD3058" w:rsidRDefault="00BD3058">
      <w:pPr>
        <w:numPr>
          <w:ilvl w:val="0"/>
          <w:numId w:val="4"/>
        </w:numPr>
        <w:spacing w:after="120" w:line="240" w:lineRule="auto"/>
        <w:ind w:left="993" w:hanging="426"/>
        <w:contextualSpacing/>
        <w:jc w:val="both"/>
        <w:rPr>
          <w:rFonts w:cstheme="minorHAnsi"/>
          <w:sz w:val="28"/>
          <w:szCs w:val="28"/>
        </w:rPr>
      </w:pPr>
      <w:r w:rsidRPr="00BD3058">
        <w:rPr>
          <w:rFonts w:cstheme="minorHAnsi"/>
          <w:sz w:val="28"/>
          <w:szCs w:val="28"/>
        </w:rPr>
        <w:lastRenderedPageBreak/>
        <w:t xml:space="preserve">dostępu światła dziennego do pomieszczeń przeznaczonych na pobyt ludzi – inwestycja i sposób zagospodarowania działki powinny spełniać wymogi zawarte w przepisach </w:t>
      </w:r>
      <w:proofErr w:type="spellStart"/>
      <w:r w:rsidRPr="00BD3058">
        <w:rPr>
          <w:rFonts w:cstheme="minorHAnsi"/>
          <w:sz w:val="28"/>
          <w:szCs w:val="28"/>
        </w:rPr>
        <w:t>techniczno</w:t>
      </w:r>
      <w:proofErr w:type="spellEnd"/>
      <w:r w:rsidRPr="00BD3058">
        <w:rPr>
          <w:rFonts w:cstheme="minorHAnsi"/>
          <w:sz w:val="28"/>
          <w:szCs w:val="28"/>
        </w:rPr>
        <w:t xml:space="preserve"> – budowlanych, a jednocześnie na etapie opracowania projektu budowlanego należy uwzględnić wymagania w zakresie ochrony uzasadnionych interesów osób trzecich,</w:t>
      </w:r>
    </w:p>
    <w:p w14:paraId="3D5F67CA" w14:textId="77777777" w:rsidR="00BD3058" w:rsidRPr="00BD3058" w:rsidRDefault="00BD3058">
      <w:pPr>
        <w:numPr>
          <w:ilvl w:val="0"/>
          <w:numId w:val="3"/>
        </w:numPr>
        <w:spacing w:after="120" w:line="240" w:lineRule="auto"/>
        <w:contextualSpacing/>
        <w:jc w:val="both"/>
        <w:rPr>
          <w:rFonts w:cstheme="minorHAnsi"/>
          <w:sz w:val="28"/>
          <w:szCs w:val="28"/>
        </w:rPr>
      </w:pPr>
      <w:r w:rsidRPr="00BD3058">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101D8EA5" w14:textId="77777777" w:rsidR="00BD3058" w:rsidRPr="00BD3058" w:rsidRDefault="00BD3058">
      <w:pPr>
        <w:numPr>
          <w:ilvl w:val="0"/>
          <w:numId w:val="14"/>
        </w:numPr>
        <w:tabs>
          <w:tab w:val="left" w:pos="426"/>
        </w:tabs>
        <w:spacing w:after="120" w:line="240" w:lineRule="auto"/>
        <w:ind w:left="414" w:hanging="357"/>
        <w:contextualSpacing/>
        <w:jc w:val="both"/>
        <w:rPr>
          <w:rFonts w:cstheme="minorHAnsi"/>
          <w:sz w:val="28"/>
          <w:szCs w:val="28"/>
        </w:rPr>
      </w:pPr>
      <w:r w:rsidRPr="00BD3058">
        <w:rPr>
          <w:rFonts w:cstheme="minorHAnsi"/>
          <w:sz w:val="28"/>
          <w:szCs w:val="28"/>
        </w:rPr>
        <w:t>Linie rozgraniczające teren inwestycji wyznaczone na mapie zasadniczej w skali 1:1000.</w:t>
      </w:r>
    </w:p>
    <w:p w14:paraId="58F616BF" w14:textId="77777777" w:rsidR="00BD3058" w:rsidRPr="00BD3058" w:rsidRDefault="00BD3058" w:rsidP="00BD3058">
      <w:pPr>
        <w:spacing w:after="120" w:line="240" w:lineRule="auto"/>
        <w:jc w:val="center"/>
        <w:rPr>
          <w:rFonts w:cstheme="minorHAnsi"/>
          <w:sz w:val="28"/>
          <w:szCs w:val="28"/>
        </w:rPr>
      </w:pPr>
      <w:r w:rsidRPr="00BD3058">
        <w:rPr>
          <w:rFonts w:cstheme="minorHAnsi"/>
          <w:sz w:val="28"/>
          <w:szCs w:val="28"/>
        </w:rPr>
        <w:t>Uzasadnienie</w:t>
      </w:r>
    </w:p>
    <w:p w14:paraId="73D3902D" w14:textId="77777777" w:rsidR="00BD3058" w:rsidRPr="00BD3058" w:rsidRDefault="00BD3058" w:rsidP="00BD3058">
      <w:pPr>
        <w:spacing w:after="120" w:line="240" w:lineRule="auto"/>
        <w:ind w:firstLine="567"/>
        <w:jc w:val="both"/>
        <w:rPr>
          <w:sz w:val="28"/>
          <w:szCs w:val="28"/>
        </w:rPr>
      </w:pPr>
      <w:r w:rsidRPr="00BD3058">
        <w:rPr>
          <w:sz w:val="28"/>
          <w:szCs w:val="28"/>
        </w:rPr>
        <w:t>Stosownie do art. 59 ustawy z dnia 7 lipca 2023 r. o zmianie u.p.z.p. oraz niektórych innych ustaw (Dz. U. poz. 1688) do spraw dotyczących ustalenia lokalizacji inwestycji celu publicznego lub wydania decyzji o warunkach zabudowy, wszczętych i niezakończonych decyzją ostateczną przed dniem wejścia w życie niniejszej ustawy, stosuje się przepisy ustawy zmienianej w art. 1 w brzmieniu dotychczasowym.</w:t>
      </w:r>
    </w:p>
    <w:p w14:paraId="164EF2AE"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6DC0B914" w14:textId="77777777" w:rsidR="00BD3058" w:rsidRPr="00BD3058" w:rsidRDefault="00BD3058" w:rsidP="00BD3058">
      <w:pPr>
        <w:spacing w:after="120" w:line="240" w:lineRule="auto"/>
        <w:ind w:firstLine="567"/>
        <w:jc w:val="both"/>
        <w:rPr>
          <w:sz w:val="28"/>
          <w:szCs w:val="28"/>
        </w:rPr>
      </w:pPr>
      <w:r w:rsidRPr="00BD3058">
        <w:rPr>
          <w:sz w:val="28"/>
          <w:szCs w:val="28"/>
        </w:rPr>
        <w:t>W myśl art. 59 ust. 1, ust. 2 i ust. 2a u.p.z.p.:</w:t>
      </w:r>
    </w:p>
    <w:p w14:paraId="15891321" w14:textId="77777777" w:rsidR="00BD3058" w:rsidRPr="00BD3058" w:rsidRDefault="00BD3058">
      <w:pPr>
        <w:numPr>
          <w:ilvl w:val="0"/>
          <w:numId w:val="17"/>
        </w:numPr>
        <w:tabs>
          <w:tab w:val="left" w:pos="993"/>
        </w:tabs>
        <w:spacing w:after="120" w:line="240" w:lineRule="auto"/>
        <w:ind w:left="0" w:firstLine="567"/>
        <w:contextualSpacing/>
        <w:jc w:val="both"/>
        <w:rPr>
          <w:sz w:val="28"/>
          <w:szCs w:val="28"/>
        </w:rPr>
      </w:pPr>
      <w:r w:rsidRPr="00BD3058">
        <w:rPr>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46AF8AF7" w14:textId="77777777" w:rsidR="00BD3058" w:rsidRPr="00BD3058" w:rsidRDefault="00BD3058">
      <w:pPr>
        <w:numPr>
          <w:ilvl w:val="0"/>
          <w:numId w:val="17"/>
        </w:numPr>
        <w:tabs>
          <w:tab w:val="left" w:pos="993"/>
        </w:tabs>
        <w:spacing w:after="120" w:line="240" w:lineRule="auto"/>
        <w:ind w:left="0" w:firstLine="567"/>
        <w:contextualSpacing/>
        <w:jc w:val="both"/>
        <w:rPr>
          <w:sz w:val="28"/>
          <w:szCs w:val="28"/>
        </w:rPr>
      </w:pPr>
      <w:r w:rsidRPr="00BD3058">
        <w:rPr>
          <w:sz w:val="28"/>
          <w:szCs w:val="28"/>
        </w:rPr>
        <w:t>powyższy przepis stosuje się również do zmiany zagospodarowania terenu, która nie wymaga pozwolenia na budowę, z wyjątkiem tymczasowej, jednorazowej zmiany zagospodarowania terenu, trwającej do roku;</w:t>
      </w:r>
    </w:p>
    <w:p w14:paraId="5773057D" w14:textId="77777777" w:rsidR="00BD3058" w:rsidRPr="00BD3058" w:rsidRDefault="00BD3058" w:rsidP="00BD3058">
      <w:pPr>
        <w:tabs>
          <w:tab w:val="left" w:pos="993"/>
        </w:tabs>
        <w:spacing w:after="120" w:line="240" w:lineRule="auto"/>
        <w:ind w:firstLine="567"/>
        <w:contextualSpacing/>
        <w:jc w:val="both"/>
        <w:rPr>
          <w:sz w:val="28"/>
          <w:szCs w:val="28"/>
        </w:rPr>
      </w:pPr>
    </w:p>
    <w:p w14:paraId="72A66B7E" w14:textId="77777777" w:rsidR="00BD3058" w:rsidRPr="00BD3058" w:rsidRDefault="00BD3058">
      <w:pPr>
        <w:numPr>
          <w:ilvl w:val="0"/>
          <w:numId w:val="17"/>
        </w:numPr>
        <w:tabs>
          <w:tab w:val="left" w:pos="993"/>
        </w:tabs>
        <w:spacing w:after="120" w:line="240" w:lineRule="auto"/>
        <w:ind w:left="0" w:firstLine="567"/>
        <w:contextualSpacing/>
        <w:jc w:val="both"/>
        <w:rPr>
          <w:sz w:val="28"/>
          <w:szCs w:val="28"/>
        </w:rPr>
      </w:pPr>
      <w:r w:rsidRPr="00BD3058">
        <w:rPr>
          <w:rFonts w:cstheme="minorHAnsi"/>
          <w:sz w:val="28"/>
          <w:szCs w:val="28"/>
        </w:rPr>
        <w:lastRenderedPageBreak/>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7576ADDE" w14:textId="77777777" w:rsidR="00BD3058" w:rsidRPr="00BD3058" w:rsidRDefault="00BD3058" w:rsidP="00BD3058">
      <w:pPr>
        <w:widowControl w:val="0"/>
        <w:autoSpaceDE w:val="0"/>
        <w:autoSpaceDN w:val="0"/>
        <w:adjustRightInd w:val="0"/>
        <w:spacing w:after="120" w:line="240" w:lineRule="auto"/>
        <w:ind w:right="-1" w:firstLine="567"/>
        <w:jc w:val="both"/>
        <w:rPr>
          <w:sz w:val="28"/>
          <w:szCs w:val="28"/>
        </w:rPr>
      </w:pPr>
      <w:r w:rsidRPr="00BD3058">
        <w:rPr>
          <w:sz w:val="28"/>
          <w:szCs w:val="28"/>
        </w:rPr>
        <w:t>Zgodnie z art. 60 ust. 1 i ust. 1a u.p.z.p. decyzję o warunkach zabudowy wydaje (…) wójt, burmistrz albo prezydent miasta po uzgodnieniu z organami, o których mowa w art. 53 ust. 4, i uzyskaniu uzgodnień lub decyzji wymaganych przepisami odrębnymi. Do decyzji o warunkach zabudowy stosuje się art. 53 ust. 5b i 5c u.p.z.p.</w:t>
      </w:r>
    </w:p>
    <w:p w14:paraId="64F90978" w14:textId="77777777" w:rsidR="00BD3058" w:rsidRPr="00BD3058" w:rsidRDefault="00BD3058" w:rsidP="00BD3058">
      <w:pPr>
        <w:widowControl w:val="0"/>
        <w:autoSpaceDE w:val="0"/>
        <w:autoSpaceDN w:val="0"/>
        <w:adjustRightInd w:val="0"/>
        <w:spacing w:after="120" w:line="240" w:lineRule="auto"/>
        <w:ind w:right="-1" w:firstLine="567"/>
        <w:jc w:val="both"/>
        <w:rPr>
          <w:sz w:val="28"/>
          <w:szCs w:val="28"/>
        </w:rPr>
      </w:pPr>
      <w:r w:rsidRPr="00BD3058">
        <w:rPr>
          <w:sz w:val="28"/>
          <w:szCs w:val="28"/>
        </w:rPr>
        <w:t>Stosownie do art. 104 § 1 i § 2 k.p.a. organ administracji publicznej załatwia sprawę przez wydanie decyzji, chyba że przepisy kodeksu stanowią inaczej. Decyzje rozstrzygają sprawę co do jej istoty w całości lub w części albo w inny sposób kończą sprawę w danej instancji.</w:t>
      </w:r>
    </w:p>
    <w:p w14:paraId="40ED291E"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BD3058">
        <w:rPr>
          <w:rFonts w:cstheme="minorHAnsi"/>
          <w:sz w:val="28"/>
        </w:rPr>
        <w:t>obszar, na który planowana inwestycja będzie oddziaływać</w:t>
      </w:r>
      <w:r w:rsidRPr="00BD3058">
        <w:rPr>
          <w:rFonts w:cstheme="minorHAnsi"/>
          <w:sz w:val="28"/>
          <w:szCs w:val="28"/>
        </w:rPr>
        <w:t xml:space="preserve">. Wniosek zatem był kompletny. </w:t>
      </w:r>
    </w:p>
    <w:p w14:paraId="654F4CA5"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t>23.01.2024 r. Wnioskodawca zmienił wniosek w zakresie wskaźnika powierzchni zabudowy, szerokości elewacji frontowej budynków, wysokości krawędzi elewacji frontowej. Następnie 30.01.2024 r. ponownie zmienił wniosek w zakresie wysokości krawędzi elewacji frontowej.</w:t>
      </w:r>
    </w:p>
    <w:p w14:paraId="2E3C5399"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t xml:space="preserve">Planowana inwestycja polega na budowie nie więcej niż 20 budynków mieszkalnych jednorodzinnych wolnostojących na terenie działek o nr ewid. </w:t>
      </w:r>
      <w:r w:rsidRPr="00BD3058">
        <w:rPr>
          <w:rFonts w:cstheme="minorHAnsi"/>
          <w:sz w:val="28"/>
        </w:rPr>
        <w:t>84/8 i 873, obręb Nochowo</w:t>
      </w:r>
      <w:r w:rsidRPr="00BD3058">
        <w:rPr>
          <w:rFonts w:cstheme="minorHAnsi"/>
          <w:sz w:val="28"/>
          <w:szCs w:val="28"/>
        </w:rPr>
        <w:t xml:space="preserve">. Działki są zlokalizowane we wsi Nochowo, pomiędzy ulicą Leśną i ulicą Jarzębinową. </w:t>
      </w:r>
    </w:p>
    <w:p w14:paraId="5B5FDF82"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t>Charakterystyka planowanej inwestycji na podstawie wniosku:</w:t>
      </w:r>
    </w:p>
    <w:p w14:paraId="080E70A5"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t>wskaźnik powierzchni zabudowy: do 14,9 %,</w:t>
      </w:r>
    </w:p>
    <w:p w14:paraId="2D042B6E"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t>liczba kondygnacji nadziemnych budynku: 2,</w:t>
      </w:r>
    </w:p>
    <w:p w14:paraId="1402EB5D"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t>wysokość górnej krawędzi elewacji frontowej: od 6,1 m do 7,5 m,</w:t>
      </w:r>
    </w:p>
    <w:p w14:paraId="4F0BFE70"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t>wysokość głównej kalenicy budynku: od 7,0 m do 7,5 m,</w:t>
      </w:r>
    </w:p>
    <w:p w14:paraId="1A2CFC9C"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t xml:space="preserve">szerokość elewacji frontowej budynku: od 10,1 m do 18,9 m lub 11,6 m ± 20 %, </w:t>
      </w:r>
    </w:p>
    <w:p w14:paraId="4AE3B20E"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lastRenderedPageBreak/>
        <w:t>kąt nachylenia dachu: od 25° do 40°,</w:t>
      </w:r>
    </w:p>
    <w:p w14:paraId="1C32A492" w14:textId="77777777" w:rsidR="00BD3058" w:rsidRPr="00BD3058" w:rsidRDefault="00BD3058">
      <w:pPr>
        <w:numPr>
          <w:ilvl w:val="0"/>
          <w:numId w:val="13"/>
        </w:numPr>
        <w:tabs>
          <w:tab w:val="left" w:pos="993"/>
        </w:tabs>
        <w:spacing w:after="120" w:line="240" w:lineRule="auto"/>
        <w:contextualSpacing/>
        <w:jc w:val="both"/>
        <w:rPr>
          <w:rFonts w:cstheme="minorHAnsi"/>
          <w:sz w:val="28"/>
          <w:szCs w:val="28"/>
        </w:rPr>
      </w:pPr>
      <w:r w:rsidRPr="00BD3058">
        <w:rPr>
          <w:rFonts w:cstheme="minorHAnsi"/>
          <w:sz w:val="28"/>
          <w:szCs w:val="28"/>
        </w:rPr>
        <w:t>rodzaj dachu: dwuspadowy, kalenicowy lub szczytowy.</w:t>
      </w:r>
    </w:p>
    <w:p w14:paraId="5DE03494"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t xml:space="preserve">Przedmiotowy teren składający się z działek o nr ewid. </w:t>
      </w:r>
      <w:r w:rsidRPr="00BD3058">
        <w:rPr>
          <w:rFonts w:cstheme="minorHAnsi"/>
          <w:sz w:val="28"/>
        </w:rPr>
        <w:t>84/8 i 873, obręb Nochowo</w:t>
      </w:r>
      <w:r w:rsidRPr="00BD3058">
        <w:rPr>
          <w:rFonts w:cstheme="minorHAnsi"/>
          <w:sz w:val="28"/>
          <w:szCs w:val="28"/>
        </w:rPr>
        <w:t>, o łącznej powierzchni 19256 m</w:t>
      </w:r>
      <w:r w:rsidRPr="00BD3058">
        <w:rPr>
          <w:rFonts w:cstheme="minorHAnsi"/>
          <w:sz w:val="28"/>
          <w:szCs w:val="28"/>
          <w:vertAlign w:val="superscript"/>
        </w:rPr>
        <w:t>2</w:t>
      </w:r>
      <w:r w:rsidRPr="00BD3058">
        <w:rPr>
          <w:rFonts w:cstheme="minorHAnsi"/>
          <w:sz w:val="28"/>
          <w:szCs w:val="28"/>
        </w:rPr>
        <w:t xml:space="preserve">, zgodnie z prowadzoną przez Starostę Śremskiego ewidencją gruntów i budynków, stanowi w części nieużytki, pastwiska </w:t>
      </w:r>
      <w:proofErr w:type="spellStart"/>
      <w:r w:rsidRPr="00BD3058">
        <w:rPr>
          <w:rFonts w:cstheme="minorHAnsi"/>
          <w:sz w:val="28"/>
          <w:szCs w:val="28"/>
        </w:rPr>
        <w:t>PsVI</w:t>
      </w:r>
      <w:proofErr w:type="spellEnd"/>
      <w:r w:rsidRPr="00BD3058">
        <w:rPr>
          <w:rFonts w:cstheme="minorHAnsi"/>
          <w:sz w:val="28"/>
          <w:szCs w:val="28"/>
        </w:rPr>
        <w:t xml:space="preserve"> i grunty orne RVI. Front terenu objętego wnioskiem o szerokości ca 11,0 m to część przylegająca do drogi gminnej – ul. Leśnej (działki o nr ewid. 89/1, obręb Nochowo). Teren objęty wnioskiem </w:t>
      </w:r>
      <w:r w:rsidRPr="00BD3058">
        <w:rPr>
          <w:rFonts w:cstheme="minorHAnsi"/>
          <w:sz w:val="28"/>
        </w:rPr>
        <w:t>od strony zachodniej graniczy z drogą, zabudową mieszkaniową i niezabudowanymi działkami budowlanymi, od strony północnej graniczy z zabudową zagrodową, a od pozostałych stron graniczy z zabudową mieszkaniową.</w:t>
      </w:r>
    </w:p>
    <w:p w14:paraId="7D4DECCD"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t>Dla terenu projektowanej inwestycji nie został uchwalony miejscowy plan zagospodarowania przestrzennego oraz plan ogólny gminy ani nie została podjęta uchwała w sprawie przystąpienia do sporządzenia miejscowego planu zagospodarowania przestrzennego.</w:t>
      </w:r>
    </w:p>
    <w:p w14:paraId="318268EA"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72FF96F9"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 xml:space="preserve">Zgodnie z art. 60 ust. 4 u.p.z.p. sporządzenie projektu decyzji o warunków zabudowy powierzono osobie spełniającej warunki określone w art. 5 pkt 4. Projekt decyzji znajduje się w aktach sprawy. </w:t>
      </w:r>
      <w:bookmarkStart w:id="1" w:name="_Hlk151540389"/>
    </w:p>
    <w:p w14:paraId="524FB09D" w14:textId="77777777" w:rsidR="00BD3058" w:rsidRPr="00BD3058" w:rsidRDefault="00BD3058" w:rsidP="00BD3058">
      <w:pPr>
        <w:widowControl w:val="0"/>
        <w:autoSpaceDE w:val="0"/>
        <w:spacing w:after="120" w:line="240" w:lineRule="auto"/>
        <w:ind w:firstLine="567"/>
        <w:jc w:val="both"/>
        <w:rPr>
          <w:rFonts w:cstheme="minorHAnsi"/>
          <w:sz w:val="28"/>
          <w:szCs w:val="28"/>
        </w:rPr>
      </w:pPr>
      <w:r w:rsidRPr="00BD3058">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56374F13"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występowaniem złóż kopalin oraz obecnych i przyszłych potrzeb eksploatacji tych złóż;</w:t>
      </w:r>
    </w:p>
    <w:p w14:paraId="22E17627"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ochroną wód, gleby i ziemi przed zanieczyszczeniem w związku z prowadzeniem gospodarki rolnej;</w:t>
      </w:r>
    </w:p>
    <w:p w14:paraId="3E7E7F60"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potrzebami w zakresie zapobiegania ruchom masowym ziemi i ich skutkom;</w:t>
      </w:r>
    </w:p>
    <w:p w14:paraId="15E94B1D"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innymi potrzebami w zakresie ochrony powietrza, wód, gleby, ziemi, ochrony przed hałasem, wibracjami i polami elektromagnetycznymi;</w:t>
      </w:r>
    </w:p>
    <w:p w14:paraId="31F344B8" w14:textId="77777777" w:rsidR="00BD3058" w:rsidRDefault="00BD3058" w:rsidP="00BD3058">
      <w:pPr>
        <w:tabs>
          <w:tab w:val="left" w:pos="851"/>
        </w:tabs>
        <w:spacing w:after="120" w:line="240" w:lineRule="auto"/>
        <w:ind w:left="567"/>
        <w:contextualSpacing/>
        <w:jc w:val="both"/>
        <w:rPr>
          <w:rFonts w:cstheme="minorHAnsi"/>
          <w:sz w:val="28"/>
          <w:szCs w:val="28"/>
        </w:rPr>
      </w:pPr>
    </w:p>
    <w:p w14:paraId="7D04D332" w14:textId="77777777" w:rsidR="00BD3058" w:rsidRPr="00BD3058" w:rsidRDefault="00BD3058" w:rsidP="00BD3058">
      <w:pPr>
        <w:tabs>
          <w:tab w:val="left" w:pos="851"/>
        </w:tabs>
        <w:spacing w:after="120" w:line="240" w:lineRule="auto"/>
        <w:ind w:left="567"/>
        <w:contextualSpacing/>
        <w:jc w:val="both"/>
        <w:rPr>
          <w:rFonts w:cstheme="minorHAnsi"/>
          <w:sz w:val="28"/>
          <w:szCs w:val="28"/>
        </w:rPr>
      </w:pPr>
    </w:p>
    <w:p w14:paraId="5CA00EA0"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lastRenderedPageBreak/>
        <w:t>ograniczeniami wynikającymi z ustanowienia w trybie ustawy z dnia 16 kwietnia 2004 r. o ochronie przyrody (Dz. U. z 2023 r. poz. 1336, 1688, 1890, z 2022 r. poz. 2375) form ochrony przyrody oraz ustaleń obowiązujących planów ochrony;</w:t>
      </w:r>
    </w:p>
    <w:p w14:paraId="035DEA6B"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44F6B9A0" w14:textId="77777777" w:rsidR="00BD3058" w:rsidRPr="00BD3058" w:rsidRDefault="00BD3058">
      <w:pPr>
        <w:numPr>
          <w:ilvl w:val="0"/>
          <w:numId w:val="6"/>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483C1627" w14:textId="77777777" w:rsidR="00BD3058" w:rsidRPr="00BD3058" w:rsidRDefault="00BD3058" w:rsidP="00BD3058">
      <w:pPr>
        <w:widowControl w:val="0"/>
        <w:tabs>
          <w:tab w:val="left" w:pos="993"/>
        </w:tabs>
        <w:autoSpaceDE w:val="0"/>
        <w:spacing w:after="120" w:line="240" w:lineRule="auto"/>
        <w:jc w:val="both"/>
        <w:rPr>
          <w:rFonts w:cstheme="minorHAnsi"/>
          <w:sz w:val="28"/>
          <w:szCs w:val="28"/>
        </w:rPr>
      </w:pPr>
      <w:r w:rsidRPr="00BD3058">
        <w:rPr>
          <w:rFonts w:cstheme="minorHAnsi"/>
          <w:sz w:val="28"/>
          <w:szCs w:val="28"/>
        </w:rPr>
        <w:t>ponieważ nie wynikały z nich żadne nakazy, zakazy i ograniczenia w zagospodarowaniu przedmiotowego terenu.</w:t>
      </w:r>
    </w:p>
    <w:p w14:paraId="442AA6A4"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Wydanie decyzji o warunkach zabudowy jest możliwe jedynie w przypadku łącznego spełnienia warunków, o których mowa w art. 61 ust. 1 u.p.z.p., a mianowicie:</w:t>
      </w:r>
    </w:p>
    <w:p w14:paraId="3347BE91" w14:textId="77777777" w:rsidR="00BD3058" w:rsidRPr="00BD3058" w:rsidRDefault="00BD3058">
      <w:pPr>
        <w:numPr>
          <w:ilvl w:val="0"/>
          <w:numId w:val="15"/>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co najmniej jedna działka sąsiednia, dostępna z tej samej drogi publicznej, jest zabudowana w sposób pozwalający na określenie wymagań dotyczących nowej zabudowy w zakresie kontynuacji parametrów, cech i wskaźników kształtowania zabudowy oraz zagospodarowania terenu, w tym gabarytów i formy architektonicznej obiektów budowlanych, linii zabudowy oraz intensywności wykorzystania terenu;</w:t>
      </w:r>
    </w:p>
    <w:p w14:paraId="6266841C" w14:textId="77777777" w:rsidR="00BD3058" w:rsidRPr="00BD3058" w:rsidRDefault="00BD3058">
      <w:pPr>
        <w:numPr>
          <w:ilvl w:val="0"/>
          <w:numId w:val="15"/>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teren ma dostęp do drogi publicznej rozumiany jako bezpośredni dostęp do tej drogi albo dostęp do niej przez drogę wewnętrzną lub przez ustanowienie odpowiedniej służebności drogowej;</w:t>
      </w:r>
    </w:p>
    <w:p w14:paraId="11E7124C" w14:textId="77777777" w:rsidR="00BD3058" w:rsidRPr="00BD3058" w:rsidRDefault="00BD3058">
      <w:pPr>
        <w:numPr>
          <w:ilvl w:val="0"/>
          <w:numId w:val="15"/>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68B5A534" w14:textId="77777777" w:rsidR="00BD3058" w:rsidRPr="00BD3058" w:rsidRDefault="00BD3058">
      <w:pPr>
        <w:numPr>
          <w:ilvl w:val="0"/>
          <w:numId w:val="15"/>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1B8FB38E" w14:textId="77777777" w:rsidR="00BD3058" w:rsidRPr="00BD3058" w:rsidRDefault="00BD3058">
      <w:pPr>
        <w:numPr>
          <w:ilvl w:val="0"/>
          <w:numId w:val="15"/>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rPr>
        <w:t>decyzja jest zgodna z przepisami odrębnymi;</w:t>
      </w:r>
    </w:p>
    <w:p w14:paraId="72E80522" w14:textId="77777777" w:rsidR="00BD3058" w:rsidRPr="00BD3058" w:rsidRDefault="00BD3058" w:rsidP="00BD3058">
      <w:pPr>
        <w:tabs>
          <w:tab w:val="left" w:pos="851"/>
        </w:tabs>
        <w:spacing w:after="120" w:line="240" w:lineRule="auto"/>
        <w:ind w:left="567"/>
        <w:contextualSpacing/>
        <w:jc w:val="both"/>
        <w:rPr>
          <w:rFonts w:cstheme="minorHAnsi"/>
          <w:sz w:val="28"/>
          <w:szCs w:val="28"/>
        </w:rPr>
      </w:pPr>
    </w:p>
    <w:p w14:paraId="4A19CC2F" w14:textId="77777777" w:rsidR="00BD3058" w:rsidRPr="00BD3058" w:rsidRDefault="00BD3058" w:rsidP="00BD3058">
      <w:pPr>
        <w:tabs>
          <w:tab w:val="left" w:pos="851"/>
        </w:tabs>
        <w:spacing w:after="120" w:line="240" w:lineRule="auto"/>
        <w:ind w:left="567"/>
        <w:contextualSpacing/>
        <w:jc w:val="both"/>
        <w:rPr>
          <w:rFonts w:cstheme="minorHAnsi"/>
          <w:sz w:val="28"/>
          <w:szCs w:val="28"/>
        </w:rPr>
      </w:pPr>
    </w:p>
    <w:p w14:paraId="5ABAF107" w14:textId="77777777" w:rsidR="00BD3058" w:rsidRPr="00BD3058" w:rsidRDefault="00BD3058" w:rsidP="00BD3058">
      <w:pPr>
        <w:tabs>
          <w:tab w:val="left" w:pos="851"/>
        </w:tabs>
        <w:spacing w:after="120" w:line="240" w:lineRule="auto"/>
        <w:ind w:left="567"/>
        <w:contextualSpacing/>
        <w:jc w:val="both"/>
        <w:rPr>
          <w:rFonts w:cstheme="minorHAnsi"/>
          <w:sz w:val="28"/>
          <w:szCs w:val="28"/>
        </w:rPr>
      </w:pPr>
    </w:p>
    <w:p w14:paraId="50BD7E19" w14:textId="77777777" w:rsidR="00BD3058" w:rsidRPr="00BD3058" w:rsidRDefault="00BD3058">
      <w:pPr>
        <w:numPr>
          <w:ilvl w:val="0"/>
          <w:numId w:val="15"/>
        </w:numPr>
        <w:tabs>
          <w:tab w:val="left" w:pos="851"/>
        </w:tabs>
        <w:spacing w:after="120" w:line="240" w:lineRule="auto"/>
        <w:ind w:left="0" w:firstLine="567"/>
        <w:contextualSpacing/>
        <w:jc w:val="both"/>
        <w:rPr>
          <w:rFonts w:cstheme="minorHAnsi"/>
          <w:sz w:val="28"/>
          <w:szCs w:val="28"/>
        </w:rPr>
      </w:pPr>
      <w:r w:rsidRPr="00BD3058">
        <w:rPr>
          <w:rFonts w:cstheme="minorHAnsi"/>
          <w:sz w:val="28"/>
          <w:szCs w:val="28"/>
          <w:shd w:val="clear" w:color="auto" w:fill="FFFFFF"/>
        </w:rPr>
        <w:lastRenderedPageBreak/>
        <w:t>zamierzenie budowlane nie znajdzie się w obszarze</w:t>
      </w:r>
      <w:r w:rsidRPr="00BD3058">
        <w:rPr>
          <w:rFonts w:cstheme="minorHAnsi"/>
          <w:sz w:val="28"/>
          <w:szCs w:val="28"/>
          <w:lang w:eastAsia="pl-PL"/>
        </w:rPr>
        <w:t xml:space="preserve">: </w:t>
      </w:r>
    </w:p>
    <w:p w14:paraId="109B55C8" w14:textId="77777777" w:rsidR="00BD3058" w:rsidRPr="00BD3058" w:rsidRDefault="00BD3058">
      <w:pPr>
        <w:numPr>
          <w:ilvl w:val="0"/>
          <w:numId w:val="11"/>
        </w:numPr>
        <w:tabs>
          <w:tab w:val="left" w:pos="1134"/>
        </w:tabs>
        <w:spacing w:after="120" w:line="240" w:lineRule="auto"/>
        <w:ind w:left="1134"/>
        <w:contextualSpacing/>
        <w:jc w:val="both"/>
        <w:rPr>
          <w:rFonts w:cstheme="minorHAnsi"/>
          <w:sz w:val="28"/>
          <w:szCs w:val="28"/>
        </w:rPr>
      </w:pPr>
      <w:r w:rsidRPr="00BD3058">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2023 r. poz. 1680, 1506, 1688 i 2029), ustanowiony został zakaz, o którym mowa w art. 22 ust. 2 pkt 1 tej ustawy,</w:t>
      </w:r>
    </w:p>
    <w:p w14:paraId="3236A52F" w14:textId="77777777" w:rsidR="00BD3058" w:rsidRPr="00BD3058" w:rsidRDefault="00BD3058">
      <w:pPr>
        <w:numPr>
          <w:ilvl w:val="0"/>
          <w:numId w:val="11"/>
        </w:numPr>
        <w:tabs>
          <w:tab w:val="left" w:pos="1134"/>
        </w:tabs>
        <w:spacing w:after="120" w:line="240" w:lineRule="auto"/>
        <w:ind w:left="1134"/>
        <w:contextualSpacing/>
        <w:jc w:val="both"/>
        <w:rPr>
          <w:rFonts w:cstheme="minorHAnsi"/>
          <w:sz w:val="28"/>
          <w:szCs w:val="28"/>
        </w:rPr>
      </w:pPr>
      <w:r w:rsidRPr="00BD3058">
        <w:rPr>
          <w:rFonts w:cstheme="minorHAnsi"/>
          <w:sz w:val="28"/>
          <w:szCs w:val="28"/>
          <w:lang w:eastAsia="pl-PL"/>
        </w:rPr>
        <w:t>strefy kontrolowanej wyznaczonej po obu stronach gazociągu, o którym mowa w art. 53 ust. 5e pkt 2 u.p.z.p.,</w:t>
      </w:r>
    </w:p>
    <w:p w14:paraId="756BD982" w14:textId="77777777" w:rsidR="00BD3058" w:rsidRPr="00BD3058" w:rsidRDefault="00BD3058">
      <w:pPr>
        <w:numPr>
          <w:ilvl w:val="0"/>
          <w:numId w:val="11"/>
        </w:numPr>
        <w:tabs>
          <w:tab w:val="left" w:pos="1134"/>
        </w:tabs>
        <w:spacing w:after="120" w:line="240" w:lineRule="auto"/>
        <w:ind w:left="1134"/>
        <w:contextualSpacing/>
        <w:jc w:val="both"/>
        <w:rPr>
          <w:rFonts w:cstheme="minorHAnsi"/>
          <w:sz w:val="28"/>
          <w:szCs w:val="28"/>
        </w:rPr>
      </w:pPr>
      <w:r w:rsidRPr="00BD3058">
        <w:rPr>
          <w:rFonts w:cstheme="minorHAnsi"/>
          <w:sz w:val="28"/>
          <w:szCs w:val="28"/>
          <w:lang w:eastAsia="pl-PL"/>
        </w:rPr>
        <w:t>strefy bezpieczeństwa wyznaczonej po obu stronach rurociągu.</w:t>
      </w:r>
    </w:p>
    <w:p w14:paraId="45843D79" w14:textId="77777777" w:rsidR="00BD3058" w:rsidRPr="00BD3058" w:rsidRDefault="00BD3058" w:rsidP="00BD3058">
      <w:pPr>
        <w:tabs>
          <w:tab w:val="left" w:pos="993"/>
        </w:tabs>
        <w:spacing w:after="120" w:line="240" w:lineRule="auto"/>
        <w:ind w:firstLine="567"/>
        <w:jc w:val="both"/>
        <w:rPr>
          <w:sz w:val="28"/>
        </w:rPr>
      </w:pPr>
      <w:r w:rsidRPr="00BD3058">
        <w:rPr>
          <w:rFonts w:cs="Times New Roman"/>
          <w:sz w:val="28"/>
          <w:szCs w:val="28"/>
        </w:rPr>
        <w:t>Stosownie do art. 61 ust. 5a u.p.z.p. Burmistrz Śremu wyz</w:t>
      </w:r>
      <w:r w:rsidRPr="00BD3058">
        <w:rPr>
          <w:sz w:val="28"/>
        </w:rPr>
        <w:t>naczył wokół działki budowlanej, której dotyczy wniosek o ustalenie warunków zabudowy, obszar analizowany i przeprowadził na nim analizę funkcji oraz cech zabudowy i zagospodarowania terenu w zakresie warunków, o których mowa w art. 61 ust. 1 – 5 u.p.z.p.</w:t>
      </w:r>
    </w:p>
    <w:p w14:paraId="7D371E80" w14:textId="77777777" w:rsidR="00BD3058" w:rsidRPr="00BD3058" w:rsidRDefault="00BD3058" w:rsidP="00BD3058">
      <w:pPr>
        <w:tabs>
          <w:tab w:val="left" w:pos="993"/>
        </w:tabs>
        <w:spacing w:after="120" w:line="240" w:lineRule="auto"/>
        <w:ind w:firstLine="567"/>
        <w:jc w:val="both"/>
        <w:rPr>
          <w:sz w:val="28"/>
        </w:rPr>
      </w:pPr>
      <w:r w:rsidRPr="00BD3058">
        <w:rPr>
          <w:rFonts w:cstheme="minorHAnsi"/>
          <w:sz w:val="28"/>
        </w:rPr>
        <w:t xml:space="preserve">Front terenu objętego wnioskiem przylega do drogi gminnej – ul. Leśnej (działki o nr ewid. 89/1, obręb Nochowo) i wynosi ca 11,0 m. Trzykrotna szerokość frontu terenu objętego wnioskiem wynosi 33,0 m, czyli mniej niż 50 m. </w:t>
      </w:r>
    </w:p>
    <w:p w14:paraId="469A02A5" w14:textId="77777777" w:rsidR="00BD3058" w:rsidRPr="00BD3058" w:rsidRDefault="00BD3058" w:rsidP="00BD3058">
      <w:pPr>
        <w:tabs>
          <w:tab w:val="left" w:pos="993"/>
        </w:tabs>
        <w:spacing w:after="120" w:line="240" w:lineRule="auto"/>
        <w:ind w:firstLine="567"/>
        <w:jc w:val="both"/>
        <w:rPr>
          <w:sz w:val="28"/>
        </w:rPr>
      </w:pPr>
      <w:r w:rsidRPr="00BD3058">
        <w:rPr>
          <w:rFonts w:cstheme="minorHAnsi"/>
          <w:sz w:val="28"/>
        </w:rPr>
        <w:t>Granice obszaru analizowanego wyznaczone zostały w następujący sposób: w odległości wynoszącej 50 m, wokół terenu objętego wnioskiem, spełniając tym samym wymóg, o którym mowa w art. 61 ust. 5a u.p.z.p. Sposób wyznaczenia granic obszaru analizowanego został przedstawiony w formie graficznej, stanowiącej załącznik nr 1 do analizy i załącznik nr 3 do decyzji.</w:t>
      </w:r>
    </w:p>
    <w:p w14:paraId="1D644E62" w14:textId="77777777" w:rsidR="00BD3058" w:rsidRPr="00BD3058" w:rsidRDefault="00BD3058" w:rsidP="00BD3058">
      <w:pPr>
        <w:tabs>
          <w:tab w:val="left" w:pos="993"/>
        </w:tabs>
        <w:spacing w:after="120" w:line="240" w:lineRule="auto"/>
        <w:ind w:firstLine="567"/>
        <w:jc w:val="both"/>
        <w:rPr>
          <w:sz w:val="28"/>
        </w:rPr>
      </w:pPr>
      <w:r w:rsidRPr="00BD3058">
        <w:rPr>
          <w:rFonts w:cstheme="minorHAnsi"/>
          <w:sz w:val="28"/>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2C1FC24C" w14:textId="77777777" w:rsidR="00BD3058" w:rsidRPr="00BD3058" w:rsidRDefault="00BD3058" w:rsidP="00BD3058">
      <w:pPr>
        <w:tabs>
          <w:tab w:val="left" w:pos="993"/>
        </w:tabs>
        <w:spacing w:after="120" w:line="240" w:lineRule="auto"/>
        <w:ind w:firstLine="567"/>
        <w:jc w:val="both"/>
        <w:rPr>
          <w:rFonts w:cstheme="minorHAnsi"/>
          <w:color w:val="FF0000"/>
          <w:sz w:val="28"/>
          <w:szCs w:val="28"/>
        </w:rPr>
      </w:pPr>
      <w:r w:rsidRPr="00BD3058">
        <w:rPr>
          <w:rFonts w:cstheme="minorHAnsi"/>
          <w:sz w:val="28"/>
          <w:szCs w:val="28"/>
        </w:rPr>
        <w:t xml:space="preserve">W tak wyznaczonym obszarze analizowanym znajdują się działki zabudowane, które pozwoliły na ustalenie wymagań dla nowej zabudowy, zgodnie z zasadą określoną w art. 61 ust. 1 pkt 1 u.p.z.p. </w:t>
      </w:r>
    </w:p>
    <w:p w14:paraId="596D9607" w14:textId="77777777" w:rsidR="00BD3058" w:rsidRPr="00BD3058" w:rsidRDefault="00BD3058" w:rsidP="00BD3058">
      <w:pPr>
        <w:tabs>
          <w:tab w:val="left" w:pos="993"/>
        </w:tabs>
        <w:spacing w:after="120" w:line="240" w:lineRule="auto"/>
        <w:ind w:firstLine="567"/>
        <w:jc w:val="both"/>
        <w:rPr>
          <w:rFonts w:cstheme="minorHAnsi"/>
          <w:sz w:val="28"/>
          <w:szCs w:val="28"/>
        </w:rPr>
      </w:pPr>
    </w:p>
    <w:p w14:paraId="5C218221" w14:textId="77777777" w:rsidR="00BD3058" w:rsidRPr="00BD3058" w:rsidRDefault="00BD3058" w:rsidP="00BD3058">
      <w:pPr>
        <w:tabs>
          <w:tab w:val="left" w:pos="993"/>
        </w:tabs>
        <w:spacing w:after="120" w:line="240" w:lineRule="auto"/>
        <w:ind w:firstLine="567"/>
        <w:jc w:val="both"/>
        <w:rPr>
          <w:rFonts w:cstheme="minorHAnsi"/>
          <w:sz w:val="28"/>
          <w:szCs w:val="28"/>
        </w:rPr>
      </w:pPr>
    </w:p>
    <w:p w14:paraId="0C8A01EF" w14:textId="77777777" w:rsidR="00BD3058" w:rsidRPr="00BD3058" w:rsidRDefault="00BD3058" w:rsidP="00BD3058">
      <w:pPr>
        <w:tabs>
          <w:tab w:val="left" w:pos="993"/>
        </w:tabs>
        <w:spacing w:after="120" w:line="240" w:lineRule="auto"/>
        <w:ind w:firstLine="567"/>
        <w:jc w:val="both"/>
        <w:rPr>
          <w:rFonts w:cstheme="minorHAnsi"/>
          <w:sz w:val="28"/>
          <w:szCs w:val="28"/>
        </w:rPr>
      </w:pPr>
    </w:p>
    <w:p w14:paraId="2578EE6A" w14:textId="77777777" w:rsidR="00BD3058" w:rsidRPr="00BD3058" w:rsidRDefault="00BD3058" w:rsidP="00BD3058">
      <w:pPr>
        <w:tabs>
          <w:tab w:val="left" w:pos="993"/>
        </w:tabs>
        <w:spacing w:after="120" w:line="240" w:lineRule="auto"/>
        <w:ind w:firstLine="567"/>
        <w:jc w:val="both"/>
        <w:rPr>
          <w:rFonts w:cstheme="minorHAnsi"/>
          <w:sz w:val="28"/>
          <w:szCs w:val="28"/>
        </w:rPr>
      </w:pPr>
      <w:r w:rsidRPr="00BD3058">
        <w:rPr>
          <w:rFonts w:cstheme="minorHAnsi"/>
          <w:sz w:val="28"/>
          <w:szCs w:val="28"/>
        </w:rPr>
        <w:lastRenderedPageBreak/>
        <w:t>Analiza warunków, o których mowa w art. 61 ust. 1 u.p.z.p. dokonana w trakcie prowadzonego postępowania potwierdziła, że zostały</w:t>
      </w:r>
      <w:r w:rsidRPr="00BD3058">
        <w:rPr>
          <w:rFonts w:cstheme="minorHAnsi"/>
          <w:b/>
          <w:bCs/>
          <w:sz w:val="28"/>
          <w:szCs w:val="28"/>
        </w:rPr>
        <w:t xml:space="preserve"> </w:t>
      </w:r>
      <w:r w:rsidRPr="00BD3058">
        <w:rPr>
          <w:rFonts w:cstheme="minorHAnsi"/>
          <w:sz w:val="28"/>
          <w:szCs w:val="28"/>
        </w:rPr>
        <w:t>one spełnione, bowiem:</w:t>
      </w:r>
    </w:p>
    <w:p w14:paraId="2B5F2204" w14:textId="77777777" w:rsidR="00BD3058" w:rsidRPr="00BD3058" w:rsidRDefault="00BD3058">
      <w:pPr>
        <w:numPr>
          <w:ilvl w:val="0"/>
          <w:numId w:val="16"/>
        </w:numPr>
        <w:tabs>
          <w:tab w:val="left" w:pos="993"/>
        </w:tabs>
        <w:spacing w:after="120" w:line="240" w:lineRule="auto"/>
        <w:ind w:left="0" w:firstLine="567"/>
        <w:contextualSpacing/>
        <w:jc w:val="both"/>
        <w:rPr>
          <w:rFonts w:cstheme="minorHAnsi"/>
          <w:sz w:val="28"/>
          <w:szCs w:val="28"/>
        </w:rPr>
      </w:pPr>
      <w:r w:rsidRPr="00BD3058">
        <w:rPr>
          <w:rFonts w:cstheme="minorHAnsi"/>
          <w:sz w:val="28"/>
          <w:szCs w:val="28"/>
        </w:rPr>
        <w:t>zabudowa działek sąsiednich, które wraz z terenem planowanej inwestycji tworzą urbanistyczną całość (działki o nr ewid.: 79; 80, 81, 82; 83/2; 84/1; 101/1; 99/8; 99/9; 85/2; 86/1; 87/1; 86/3; 86/4; 87/2; 87/3; 87/4; 425/13; 425/14; 425/15; 425/16; 425/16; 426/17; 425/18; 425/19; 425/20; 425/21; 425/22), pozwala na określenie wymagań dla nowej zabudowy pod względem kontynuacji funkcji oraz parametrów i cech zabudowy. Działki o nr ewid. 80, 81, 82 zostały połączone z uwagi na tego samego właściciela tych terenów oraz położenie niektórych budynków na dwóch działkach jednocześnie;</w:t>
      </w:r>
    </w:p>
    <w:p w14:paraId="7BA8AE32" w14:textId="77777777" w:rsidR="00BD3058" w:rsidRPr="00BD3058" w:rsidRDefault="00BD3058">
      <w:pPr>
        <w:numPr>
          <w:ilvl w:val="0"/>
          <w:numId w:val="16"/>
        </w:numPr>
        <w:tabs>
          <w:tab w:val="left" w:pos="993"/>
        </w:tabs>
        <w:spacing w:after="120" w:line="240" w:lineRule="auto"/>
        <w:ind w:left="0" w:firstLine="567"/>
        <w:contextualSpacing/>
        <w:jc w:val="both"/>
        <w:rPr>
          <w:rFonts w:cstheme="minorHAnsi"/>
          <w:sz w:val="28"/>
          <w:szCs w:val="28"/>
        </w:rPr>
      </w:pPr>
      <w:r w:rsidRPr="00BD3058">
        <w:rPr>
          <w:rFonts w:cstheme="minorHAnsi"/>
          <w:sz w:val="28"/>
          <w:szCs w:val="28"/>
        </w:rPr>
        <w:t>teren objęty wnioskiem ma zapewniony bez</w:t>
      </w:r>
      <w:r w:rsidRPr="00BD3058">
        <w:rPr>
          <w:rFonts w:cstheme="minorHAnsi"/>
          <w:sz w:val="28"/>
        </w:rPr>
        <w:t>pośredni dostęp do drogi gminnej – ul. Leśnej (działki o nr ewid. 89/1, obręb Nochowo), jednak dla nowo wydzielanych działek budowlanych z terenów A i B dostęp zostanie zapewniony w sposób pośredni za</w:t>
      </w:r>
      <w:r w:rsidRPr="00BD3058">
        <w:rPr>
          <w:rFonts w:eastAsia="Times New Roman" w:cstheme="minorHAnsi"/>
          <w:sz w:val="28"/>
          <w:lang w:eastAsia="pl-PL"/>
        </w:rPr>
        <w:t xml:space="preserve"> pomocą projektowanej drogi wewnętrznej, stanowiącej teren oznaczony symbolem C</w:t>
      </w:r>
      <w:r w:rsidRPr="00BD3058">
        <w:rPr>
          <w:rFonts w:cstheme="minorHAnsi"/>
          <w:sz w:val="28"/>
          <w:szCs w:val="28"/>
        </w:rPr>
        <w:t>;</w:t>
      </w:r>
    </w:p>
    <w:p w14:paraId="112F9D97" w14:textId="77777777" w:rsidR="00BD3058" w:rsidRPr="00BD3058" w:rsidRDefault="00BD3058">
      <w:pPr>
        <w:numPr>
          <w:ilvl w:val="0"/>
          <w:numId w:val="16"/>
        </w:numPr>
        <w:tabs>
          <w:tab w:val="left" w:pos="993"/>
        </w:tabs>
        <w:spacing w:after="120" w:line="240" w:lineRule="auto"/>
        <w:ind w:left="0" w:firstLine="567"/>
        <w:contextualSpacing/>
        <w:jc w:val="both"/>
        <w:rPr>
          <w:rFonts w:cstheme="minorHAnsi"/>
          <w:sz w:val="28"/>
          <w:szCs w:val="28"/>
        </w:rPr>
      </w:pPr>
      <w:r w:rsidRPr="00BD3058">
        <w:rPr>
          <w:rFonts w:cstheme="minorHAnsi"/>
          <w:sz w:val="28"/>
          <w:szCs w:val="28"/>
        </w:rPr>
        <w:t>projektowane (sieć wodociągowa, sieć kanalizacji sanitarnej, sieć elektroenergetyczna) uzbrojenie terenu jest wystarczające dla zamierzenia budowlanego;</w:t>
      </w:r>
    </w:p>
    <w:p w14:paraId="6ABD7335" w14:textId="77777777" w:rsidR="00BD3058" w:rsidRPr="00BD3058" w:rsidRDefault="00BD3058">
      <w:pPr>
        <w:numPr>
          <w:ilvl w:val="0"/>
          <w:numId w:val="16"/>
        </w:numPr>
        <w:tabs>
          <w:tab w:val="left" w:pos="993"/>
        </w:tabs>
        <w:spacing w:after="120" w:line="240" w:lineRule="auto"/>
        <w:ind w:left="0" w:firstLine="567"/>
        <w:contextualSpacing/>
        <w:jc w:val="both"/>
        <w:rPr>
          <w:rFonts w:cstheme="minorHAnsi"/>
          <w:sz w:val="28"/>
          <w:szCs w:val="28"/>
        </w:rPr>
      </w:pPr>
      <w:r w:rsidRPr="00BD3058">
        <w:rPr>
          <w:rFonts w:cstheme="minorHAnsi"/>
          <w:sz w:val="28"/>
          <w:szCs w:val="28"/>
        </w:rPr>
        <w:t xml:space="preserve">teren inwestycji nie wymaga uzyskania zgody na zmianę przeznaczenia gruntów rolnych i leśnych na cele nierolnicze i nieleśne, bowiem inwestycja planowana jest na działkach, która zgodnie z ewidencją gruntów i budynków prowadzoną przez Starostę Śremskiego stanowi nieużytki, pastwiska </w:t>
      </w:r>
      <w:proofErr w:type="spellStart"/>
      <w:r w:rsidRPr="00BD3058">
        <w:rPr>
          <w:rFonts w:cstheme="minorHAnsi"/>
          <w:sz w:val="28"/>
          <w:szCs w:val="28"/>
        </w:rPr>
        <w:t>PsVI</w:t>
      </w:r>
      <w:proofErr w:type="spellEnd"/>
      <w:r w:rsidRPr="00BD3058">
        <w:rPr>
          <w:rFonts w:cstheme="minorHAnsi"/>
          <w:sz w:val="28"/>
          <w:szCs w:val="28"/>
        </w:rPr>
        <w:t xml:space="preserve"> i grunty orne RVI, które nie wymagają uzyskania zgody na przeznaczenie na cele nierolnicze i nieleśne;</w:t>
      </w:r>
    </w:p>
    <w:p w14:paraId="00F9B1CB" w14:textId="77777777" w:rsidR="00BD3058" w:rsidRPr="00BD3058" w:rsidRDefault="00BD3058">
      <w:pPr>
        <w:numPr>
          <w:ilvl w:val="0"/>
          <w:numId w:val="16"/>
        </w:numPr>
        <w:tabs>
          <w:tab w:val="left" w:pos="993"/>
        </w:tabs>
        <w:spacing w:after="120" w:line="240" w:lineRule="auto"/>
        <w:ind w:left="0" w:firstLine="567"/>
        <w:contextualSpacing/>
        <w:jc w:val="both"/>
        <w:rPr>
          <w:rFonts w:cstheme="minorHAnsi"/>
          <w:sz w:val="28"/>
          <w:szCs w:val="28"/>
        </w:rPr>
      </w:pPr>
      <w:r w:rsidRPr="00BD3058">
        <w:rPr>
          <w:rFonts w:cstheme="minorHAnsi"/>
          <w:sz w:val="28"/>
          <w:szCs w:val="28"/>
        </w:rPr>
        <w:t>decyzja jest zgodna z przepisami odrębnymi;</w:t>
      </w:r>
    </w:p>
    <w:p w14:paraId="06265DB1" w14:textId="77777777" w:rsidR="00BD3058" w:rsidRPr="00BD3058" w:rsidRDefault="00BD3058">
      <w:pPr>
        <w:numPr>
          <w:ilvl w:val="0"/>
          <w:numId w:val="16"/>
        </w:numPr>
        <w:tabs>
          <w:tab w:val="left" w:pos="993"/>
        </w:tabs>
        <w:spacing w:after="120" w:line="240" w:lineRule="auto"/>
        <w:ind w:left="0" w:firstLine="567"/>
        <w:contextualSpacing/>
        <w:jc w:val="both"/>
        <w:rPr>
          <w:rFonts w:cstheme="minorHAnsi"/>
          <w:sz w:val="28"/>
          <w:szCs w:val="28"/>
        </w:rPr>
      </w:pPr>
      <w:r w:rsidRPr="00BD3058">
        <w:rPr>
          <w:rFonts w:cstheme="minorHAnsi"/>
          <w:sz w:val="28"/>
          <w:szCs w:val="28"/>
        </w:rPr>
        <w:t>zamierzenie budowlane nie znajdzie się w obszarze:</w:t>
      </w:r>
    </w:p>
    <w:p w14:paraId="08E4F179" w14:textId="77777777" w:rsidR="00BD3058" w:rsidRPr="00BD3058" w:rsidRDefault="00BD3058">
      <w:pPr>
        <w:numPr>
          <w:ilvl w:val="0"/>
          <w:numId w:val="12"/>
        </w:numPr>
        <w:tabs>
          <w:tab w:val="left" w:pos="1134"/>
        </w:tabs>
        <w:spacing w:after="120" w:line="240" w:lineRule="auto"/>
        <w:ind w:left="1134"/>
        <w:contextualSpacing/>
        <w:jc w:val="both"/>
        <w:rPr>
          <w:rFonts w:cstheme="minorHAnsi"/>
          <w:sz w:val="28"/>
          <w:szCs w:val="28"/>
        </w:rPr>
      </w:pPr>
      <w:r w:rsidRPr="00BD3058">
        <w:rPr>
          <w:rFonts w:cstheme="minorHAnsi"/>
          <w:sz w:val="28"/>
          <w:szCs w:val="28"/>
          <w:shd w:val="clear" w:color="auto" w:fill="FFFFFF"/>
        </w:rPr>
        <w:t>objętym zakazem wznoszenia i utrzymywania obiektów budowlanych przeznaczonych na pobyt ludzi związanym z lokalizacją sieci przesyłowej,</w:t>
      </w:r>
    </w:p>
    <w:p w14:paraId="52106756" w14:textId="77777777" w:rsidR="00BD3058" w:rsidRPr="00BD3058" w:rsidRDefault="00BD3058">
      <w:pPr>
        <w:numPr>
          <w:ilvl w:val="0"/>
          <w:numId w:val="12"/>
        </w:numPr>
        <w:tabs>
          <w:tab w:val="left" w:pos="1134"/>
        </w:tabs>
        <w:spacing w:after="120" w:line="240" w:lineRule="auto"/>
        <w:ind w:left="1134"/>
        <w:contextualSpacing/>
        <w:jc w:val="both"/>
        <w:rPr>
          <w:rFonts w:cstheme="minorHAnsi"/>
          <w:sz w:val="28"/>
          <w:szCs w:val="28"/>
        </w:rPr>
      </w:pPr>
      <w:r w:rsidRPr="00BD3058">
        <w:rPr>
          <w:rFonts w:cstheme="minorHAnsi"/>
          <w:sz w:val="28"/>
          <w:szCs w:val="28"/>
          <w:lang w:eastAsia="pl-PL"/>
        </w:rPr>
        <w:t xml:space="preserve">strefy kontrolowanej wyznaczonej po obu stronach gazociągu, </w:t>
      </w:r>
    </w:p>
    <w:p w14:paraId="5A592789" w14:textId="77777777" w:rsidR="00BD3058" w:rsidRPr="00BD3058" w:rsidRDefault="00BD3058">
      <w:pPr>
        <w:numPr>
          <w:ilvl w:val="0"/>
          <w:numId w:val="12"/>
        </w:numPr>
        <w:tabs>
          <w:tab w:val="left" w:pos="1134"/>
        </w:tabs>
        <w:spacing w:after="120" w:line="240" w:lineRule="auto"/>
        <w:ind w:left="1134"/>
        <w:contextualSpacing/>
        <w:jc w:val="both"/>
        <w:rPr>
          <w:rFonts w:cstheme="minorHAnsi"/>
          <w:sz w:val="28"/>
          <w:szCs w:val="28"/>
        </w:rPr>
      </w:pPr>
      <w:r w:rsidRPr="00BD3058">
        <w:rPr>
          <w:rFonts w:cstheme="minorHAnsi"/>
          <w:sz w:val="28"/>
          <w:szCs w:val="28"/>
          <w:lang w:eastAsia="pl-PL"/>
        </w:rPr>
        <w:t>strefy bezpieczeństwa wyznaczonej po obu stronach rurociągu.</w:t>
      </w:r>
    </w:p>
    <w:p w14:paraId="294EA842" w14:textId="77777777" w:rsidR="00BD3058" w:rsidRPr="00BD3058" w:rsidRDefault="00BD3058" w:rsidP="00BD3058">
      <w:pPr>
        <w:spacing w:after="120" w:line="240" w:lineRule="auto"/>
        <w:ind w:firstLine="567"/>
        <w:jc w:val="both"/>
        <w:rPr>
          <w:rFonts w:cstheme="minorHAnsi"/>
          <w:sz w:val="28"/>
          <w:szCs w:val="28"/>
        </w:rPr>
      </w:pPr>
    </w:p>
    <w:p w14:paraId="4999BE9F" w14:textId="77777777" w:rsidR="00BD3058" w:rsidRPr="00BD3058" w:rsidRDefault="00BD3058" w:rsidP="00BD3058">
      <w:pPr>
        <w:spacing w:after="120" w:line="240" w:lineRule="auto"/>
        <w:ind w:firstLine="567"/>
        <w:jc w:val="both"/>
        <w:rPr>
          <w:rFonts w:cstheme="minorHAnsi"/>
          <w:sz w:val="28"/>
          <w:szCs w:val="28"/>
        </w:rPr>
      </w:pPr>
    </w:p>
    <w:p w14:paraId="2A32C104" w14:textId="77777777" w:rsidR="00BD3058" w:rsidRPr="00BD3058" w:rsidRDefault="00BD3058" w:rsidP="00BD3058">
      <w:pPr>
        <w:spacing w:after="120" w:line="240" w:lineRule="auto"/>
        <w:ind w:firstLine="567"/>
        <w:jc w:val="both"/>
        <w:rPr>
          <w:rFonts w:cstheme="minorHAnsi"/>
          <w:sz w:val="28"/>
          <w:szCs w:val="28"/>
        </w:rPr>
      </w:pPr>
    </w:p>
    <w:p w14:paraId="78237577" w14:textId="77777777" w:rsidR="00BD3058" w:rsidRPr="00BD3058" w:rsidRDefault="00BD3058" w:rsidP="00BD3058">
      <w:pPr>
        <w:spacing w:after="120" w:line="240" w:lineRule="auto"/>
        <w:ind w:firstLine="567"/>
        <w:jc w:val="both"/>
        <w:rPr>
          <w:rFonts w:cstheme="minorHAnsi"/>
          <w:sz w:val="28"/>
          <w:szCs w:val="28"/>
        </w:rPr>
      </w:pPr>
    </w:p>
    <w:p w14:paraId="035E4D38"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lastRenderedPageBreak/>
        <w:t>W związku z tym, że sąsiednie działki dostępne z tej samej drogi publicznej,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53C521E7"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Planowana inwestycja (zabudowa mieszkaniowa) stanowi kontynuację funkcji mieszkaniowej terenów znajdujących się w obszarze analizowanym oraz nie koliduje z zabudową zagrodową.</w:t>
      </w:r>
    </w:p>
    <w:p w14:paraId="4CB27C79"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 xml:space="preserve">Ustalenia zawarte w niniejszej decyzji odpowiadają wymogom rozporządzenia Ministra Infrastruktury z dnia 26 sierpnia 2003 r. w sprawie sposobu ustalania wymagań dotyczących nowej zabudowy i zagospodarowania terenu w przypadku braku miejscowego planu zagospodarowania przestrzennego (Dz. U. Nr 164, poz. 1588, z 2021 r. poz. 2399), zwanego dalej rozporządzeniem. </w:t>
      </w:r>
    </w:p>
    <w:p w14:paraId="765E1AD3"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BD3058">
        <w:rPr>
          <w:rFonts w:cstheme="minorHAnsi"/>
          <w:sz w:val="28"/>
          <w:szCs w:val="28"/>
        </w:rPr>
        <w:t>Wa</w:t>
      </w:r>
      <w:proofErr w:type="spellEnd"/>
      <w:r w:rsidRPr="00BD3058">
        <w:rPr>
          <w:rFonts w:cstheme="minorHAnsi"/>
          <w:sz w:val="28"/>
          <w:szCs w:val="28"/>
        </w:rPr>
        <w:t xml:space="preserve"> 2123/16).</w:t>
      </w:r>
    </w:p>
    <w:p w14:paraId="13380DEF"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687B5846"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lastRenderedPageBreak/>
        <w:t xml:space="preserve">Dla planowanej inwestycji ustalono nieprzekraczalną linię zabudowy wyznaczoną w odległości 6,0 od granicy z planowaną drogą wewnętrzną. 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5EF65616"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Wyznaczona w niniejszej decyzji linia zabudowy ma charakter nieprzekraczalnej, co oznacza, że określa ona jedynie maksymalny zasięg położenia planowanej zabudowy względem planowanej drogi wewnętrznej</w:t>
      </w:r>
      <w:r w:rsidRPr="00BD3058">
        <w:rPr>
          <w:rFonts w:cstheme="minorHAnsi"/>
          <w:color w:val="1F497D" w:themeColor="text2"/>
          <w:sz w:val="28"/>
          <w:szCs w:val="28"/>
        </w:rPr>
        <w:t xml:space="preserve">, </w:t>
      </w:r>
      <w:r w:rsidRPr="00BD3058">
        <w:rPr>
          <w:rFonts w:cstheme="minorHAnsi"/>
          <w:sz w:val="28"/>
          <w:szCs w:val="28"/>
        </w:rPr>
        <w:t>nie przesądzając jednak o ostatecznej lokalizacji samego budynku na działce.</w:t>
      </w:r>
    </w:p>
    <w:p w14:paraId="2B516FF9"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Zgodnie z wyrokiem NSA z dnia 09.09.2020 r. sygn. akt II OSK 1184/20 „Organ ustalający warunki zabudowy jest związany wnioskiem inwestora co do rodzaju inwestycji, natomiast nie jest bezwzględnie związany poszczególnymi parametrami technicznymi, opisującymi planowany obiekt budowlany. Nie jest także wymagane by inwestor modyfikował wniosek w zależności od ustaleń analizy. Wydający ją organ ocenia dopuszczalność zmiany zagospodarowania terenu w świetle przepisów prawa oraz wskazuje warunki i zasady, którym planowana inwestycja powinna odpowiadać. To rzeczą organu administracji jest dokonanie, w oparciu o obowiązujące przepisy, ustaleń i określenie wymogów dla nowej zabudowy, przy czym wyniki tak przeprowadzonej analizy mogą doprowadzić do określenia warunków inwestycji w sposób odmienny od wstępnie proponowanej przez inwestora.”</w:t>
      </w:r>
    </w:p>
    <w:p w14:paraId="6E415F19" w14:textId="77777777" w:rsidR="00BD3058" w:rsidRPr="00BD3058" w:rsidRDefault="00BD3058" w:rsidP="00BD3058">
      <w:pPr>
        <w:spacing w:after="120" w:line="240" w:lineRule="auto"/>
        <w:ind w:firstLine="567"/>
        <w:jc w:val="both"/>
        <w:rPr>
          <w:sz w:val="28"/>
        </w:rPr>
      </w:pPr>
      <w:r w:rsidRPr="00BD3058">
        <w:rPr>
          <w:rFonts w:cstheme="minorHAnsi"/>
          <w:sz w:val="28"/>
          <w:szCs w:val="28"/>
        </w:rPr>
        <w:t xml:space="preserve">Wskaźnik wielkości powierzchni nowej zabudowy, oznaczający stosunek sumy powierzchni rzutu poziomego budynków, mierzonej po zewnętrznym obrysie rzutu poziomego ścian zewnętrznych tych budynków zlokalizowanych na terenie do powierzchni tego terenu, nie został wyznaczony na podstawie średniego wskaźnika tej wielkości dla obszaru analizowanego. </w:t>
      </w:r>
      <w:r w:rsidRPr="00BD3058">
        <w:rPr>
          <w:rFonts w:cs="Times New Roman"/>
          <w:b/>
          <w:bCs/>
          <w:sz w:val="28"/>
          <w:szCs w:val="28"/>
        </w:rPr>
        <w:t>Średni wskaźnik w obszarze analizowanym wynosi 11,3 %</w:t>
      </w:r>
      <w:r w:rsidRPr="00BD3058">
        <w:rPr>
          <w:rFonts w:cs="Times New Roman"/>
          <w:sz w:val="28"/>
          <w:szCs w:val="28"/>
        </w:rPr>
        <w:t xml:space="preserve">, przy czym w obszarze analizowanym waha się pomiędzy </w:t>
      </w:r>
      <w:r w:rsidRPr="00BD3058">
        <w:rPr>
          <w:sz w:val="28"/>
        </w:rPr>
        <w:t xml:space="preserve">3,9 % a 27,6 %, przy czym wskaźnik maksymalny jest znacznie wyższy od pozostałych występujących w obszarze analizowanym. </w:t>
      </w:r>
    </w:p>
    <w:p w14:paraId="5CEA3266" w14:textId="77777777" w:rsidR="00BD3058" w:rsidRPr="00BD3058" w:rsidRDefault="00BD3058" w:rsidP="00BD3058">
      <w:pPr>
        <w:spacing w:after="120" w:line="240" w:lineRule="auto"/>
        <w:jc w:val="both"/>
        <w:rPr>
          <w:rFonts w:cstheme="minorHAnsi"/>
          <w:sz w:val="28"/>
          <w:szCs w:val="28"/>
        </w:rPr>
      </w:pPr>
      <w:r w:rsidRPr="00BD3058">
        <w:rPr>
          <w:rFonts w:cstheme="minorHAnsi"/>
          <w:sz w:val="28"/>
          <w:szCs w:val="28"/>
        </w:rPr>
        <w:lastRenderedPageBreak/>
        <w:t xml:space="preserve">Planowana inwestycja charakteryzuje się wskaźnikiem na poziomie do 14,9 % powierzchni terenu. Wskaźnik ten jest zbliżony do średniego i jednocześnie pośrednim wśród wskaźników istniejących w obszarze analizowanym, bowiem wskaźniki na działkach o nr ewid.: 79; 80, 81, 82; 83/2; 84/1; 101/1; 99/8; 99/9; 85/2; 86/1; 87/1; 86/3; 86/4; 87/2; 87/3; 87/4; 425/13; 425/14; 425/15; 425/16; 425/16; 426/17; 425/18; 425/19; 425/20; 425/21; 425/22, wynoszą odpowiednio: </w:t>
      </w:r>
      <w:r w:rsidRPr="00BD3058">
        <w:rPr>
          <w:sz w:val="28"/>
        </w:rPr>
        <w:t xml:space="preserve">4,0 %, 3,9 %, </w:t>
      </w:r>
      <w:r w:rsidRPr="00BD3058">
        <w:rPr>
          <w:b/>
          <w:bCs/>
          <w:sz w:val="28"/>
        </w:rPr>
        <w:t>14,9 %</w:t>
      </w:r>
      <w:r w:rsidRPr="00BD3058">
        <w:rPr>
          <w:sz w:val="28"/>
        </w:rPr>
        <w:t xml:space="preserve">, 9,1 %, 5,3 %, 10,2 %, 5,2 %, 5,4 %, </w:t>
      </w:r>
      <w:r w:rsidRPr="00BD3058">
        <w:rPr>
          <w:b/>
          <w:bCs/>
          <w:sz w:val="28"/>
        </w:rPr>
        <w:t>13,9 %</w:t>
      </w:r>
      <w:r w:rsidRPr="00BD3058">
        <w:rPr>
          <w:sz w:val="28"/>
        </w:rPr>
        <w:t xml:space="preserve">, 4,6 %, 27,6 %, 12,6 %, </w:t>
      </w:r>
      <w:r w:rsidRPr="00BD3058">
        <w:rPr>
          <w:b/>
          <w:bCs/>
          <w:sz w:val="28"/>
        </w:rPr>
        <w:t>13,8 %</w:t>
      </w:r>
      <w:r w:rsidRPr="00BD3058">
        <w:rPr>
          <w:sz w:val="28"/>
        </w:rPr>
        <w:t xml:space="preserve">, 13,6 %, 9,2 %, </w:t>
      </w:r>
      <w:r w:rsidRPr="00BD3058">
        <w:rPr>
          <w:b/>
          <w:bCs/>
          <w:sz w:val="28"/>
        </w:rPr>
        <w:t>13,7 %</w:t>
      </w:r>
      <w:r w:rsidRPr="00BD3058">
        <w:rPr>
          <w:sz w:val="28"/>
        </w:rPr>
        <w:t xml:space="preserve">, 11,3 %, </w:t>
      </w:r>
      <w:r w:rsidRPr="00BD3058">
        <w:rPr>
          <w:b/>
          <w:bCs/>
          <w:sz w:val="28"/>
        </w:rPr>
        <w:t>17,2 %</w:t>
      </w:r>
      <w:r w:rsidRPr="00BD3058">
        <w:rPr>
          <w:sz w:val="28"/>
        </w:rPr>
        <w:t xml:space="preserve">, 11,2 %, </w:t>
      </w:r>
      <w:r w:rsidRPr="00BD3058">
        <w:rPr>
          <w:b/>
          <w:bCs/>
          <w:sz w:val="28"/>
        </w:rPr>
        <w:t>14,6 %</w:t>
      </w:r>
      <w:r w:rsidRPr="00BD3058">
        <w:rPr>
          <w:sz w:val="28"/>
        </w:rPr>
        <w:t xml:space="preserve">, </w:t>
      </w:r>
      <w:r w:rsidRPr="00BD3058">
        <w:rPr>
          <w:b/>
          <w:bCs/>
          <w:sz w:val="28"/>
        </w:rPr>
        <w:t>14,9 %</w:t>
      </w:r>
      <w:r w:rsidRPr="00BD3058">
        <w:rPr>
          <w:sz w:val="28"/>
        </w:rPr>
        <w:t>, 12,4 %, 10,1 %, 9,5 %, 13,5 %</w:t>
      </w:r>
      <w:r w:rsidRPr="00BD3058">
        <w:rPr>
          <w:rFonts w:cstheme="minorHAnsi"/>
          <w:sz w:val="28"/>
          <w:szCs w:val="28"/>
        </w:rPr>
        <w:t>. Powierzchnia działek w obszarze analizowanym waha się od 747 m</w:t>
      </w:r>
      <w:r w:rsidRPr="00BD3058">
        <w:rPr>
          <w:rFonts w:cstheme="minorHAnsi"/>
          <w:sz w:val="28"/>
          <w:szCs w:val="28"/>
          <w:vertAlign w:val="superscript"/>
        </w:rPr>
        <w:t>2</w:t>
      </w:r>
      <w:r w:rsidRPr="00BD3058">
        <w:rPr>
          <w:rFonts w:cstheme="minorHAnsi"/>
          <w:sz w:val="28"/>
          <w:szCs w:val="28"/>
        </w:rPr>
        <w:t xml:space="preserve"> do 9526 m</w:t>
      </w:r>
      <w:r w:rsidRPr="00BD3058">
        <w:rPr>
          <w:rFonts w:cstheme="minorHAnsi"/>
          <w:sz w:val="28"/>
          <w:szCs w:val="28"/>
          <w:vertAlign w:val="superscript"/>
        </w:rPr>
        <w:t>2</w:t>
      </w:r>
      <w:r w:rsidRPr="00BD3058">
        <w:rPr>
          <w:rFonts w:cstheme="minorHAnsi"/>
          <w:sz w:val="28"/>
          <w:szCs w:val="28"/>
        </w:rPr>
        <w:t xml:space="preserve">, zatem powierzchnie są bardzo zróżnicowane. W obszarze analizowanym występuje zabudowa zagrodowa, która co do zasady charakteryzuje się niższymi wskaźnikami powierzchni zabudowy oraz zabudowa mieszkaniowa (jednorodzinna). </w:t>
      </w:r>
    </w:p>
    <w:p w14:paraId="1F9C57B0"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Zdaniem Naczelnego Sądu Administracyjnego (wyrok z 11.06.2014 r., sygn. akt II OSK 95/13) możliwe jest w zakresie wskaźnika powierzchni zabudowy, w konkretnym przypadku, rozstrzygnięcie specyficzne, uwzględniające uwarunkowania zaistniałe na terenie obszaru urbanistycznego, w kontekście zamierzenia przedstawionego we wniosku. Wnioski do przyjęcia takiego rozstrzygnięcia muszą przy tym wynikać z analizy urbanistycznej. W omawianym przypadku wynikają. Ponadto Naczelny Sąd Administracyjny wyrokiem z 25.02.2011 r. (sygn. akt II OSK 1857/10) orzekł, że „Zgodnie z § 5 ust. 1 rozporządzenia chodzi o to, aby wielkość powierzchni nowej zabudowy, nie odbiegała drastycznie od wielkości powierzchni zabudowy na innych działkach (zabudowanych), znajdujących się w obszarze analizowanym”. Na obszarze analizowanym występują budynki mieszkalne o powierzchni od 82 m</w:t>
      </w:r>
      <w:r w:rsidRPr="00BD3058">
        <w:rPr>
          <w:rFonts w:cstheme="minorHAnsi"/>
          <w:sz w:val="28"/>
          <w:szCs w:val="28"/>
          <w:vertAlign w:val="superscript"/>
        </w:rPr>
        <w:t>2</w:t>
      </w:r>
      <w:r w:rsidRPr="00BD3058">
        <w:rPr>
          <w:rFonts w:cstheme="minorHAnsi"/>
          <w:sz w:val="28"/>
          <w:szCs w:val="28"/>
        </w:rPr>
        <w:t xml:space="preserve"> do 264 m</w:t>
      </w:r>
      <w:r w:rsidRPr="00BD3058">
        <w:rPr>
          <w:rFonts w:cstheme="minorHAnsi"/>
          <w:sz w:val="28"/>
          <w:szCs w:val="28"/>
          <w:vertAlign w:val="superscript"/>
        </w:rPr>
        <w:t>2</w:t>
      </w:r>
      <w:r w:rsidRPr="00BD3058">
        <w:rPr>
          <w:rFonts w:cstheme="minorHAnsi"/>
          <w:sz w:val="28"/>
          <w:szCs w:val="28"/>
        </w:rPr>
        <w:t>. Nowa zabudowa nie powinna odbiegać gabarytami od zabudowy istniejącej w obszarze analizowanym. Z tego względu, przy uwzględnieniu uwarunkowań zaistniałych w obszarze poddanym analizie, wskaźnik powierzchni nowej zabudowy ustalono na poziomie od 13,9 % do 14,9 % powierzchni każdego z terenów A i B. Jest to zakres wyższy od wskaźnika średniego, ale występujący na terenach w obszarze analizowanym.</w:t>
      </w:r>
    </w:p>
    <w:p w14:paraId="4BDCAC3D"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 xml:space="preserve">Szerokość elewacji frontowej planowanych budynków mieszkalnych nie wyznaczono na podstawie szerokości elewacji frontowych budynków występujących w obszarze analizowanym. Na podstawie średniej szerokości elewacji dla obszaru analizowanego z tolerancją ±20 %, przy średniej szerokości elewacji wynoszącej 11,6 m budynki powinny charakteryzować się szerokościami od 9,2 m do 13,9 m. </w:t>
      </w:r>
    </w:p>
    <w:p w14:paraId="6BC88DEE" w14:textId="77777777" w:rsidR="00BD3058" w:rsidRPr="00BD3058" w:rsidRDefault="00BD3058" w:rsidP="00BD3058">
      <w:pPr>
        <w:spacing w:after="120" w:line="240" w:lineRule="auto"/>
        <w:jc w:val="both"/>
        <w:rPr>
          <w:rFonts w:cstheme="minorHAnsi"/>
          <w:sz w:val="28"/>
          <w:szCs w:val="28"/>
        </w:rPr>
      </w:pPr>
      <w:r w:rsidRPr="00BD3058">
        <w:rPr>
          <w:rFonts w:cstheme="minorHAnsi"/>
          <w:sz w:val="28"/>
          <w:szCs w:val="28"/>
        </w:rPr>
        <w:lastRenderedPageBreak/>
        <w:t xml:space="preserve">Wnioskowana szerokość elewacji frontowej budynków mieszkalnych (od 10,1 m do 18,9 m) nie mieści się w ramach standardowo wyznaczonej wielkości, ale mieści się w przedziale szerokości elewacji występujących w obszarze analizowanym w przedziale od 3,2 m do 21,3 m, przy czym budynki mieszkalne charakteryzują się szerokościami od 8,0 m do 21,3 m. Szerokości elewacji budynków mieszkalnych na działkach w obszarze analizowanym o nr ewid.: 79; 80, 81, 82; 83/2; 84/1; 101/1; 99/8; 99/9; 85/2; 86/1; 86/3; 86/4; 87/2; 87/3; 87/4; 425/13; 425/14; 425/15; 425/16; 425/16; 426/17; 425/18; 425/19; 425/20; 425/21; 425/22, wynoszą odpowiednio: 8,0 m, 12,5 m i 11,0 m, 10,5 m, 14,8  m, </w:t>
      </w:r>
      <w:r w:rsidRPr="00BD3058">
        <w:rPr>
          <w:rFonts w:cstheme="minorHAnsi"/>
          <w:b/>
          <w:bCs/>
          <w:sz w:val="28"/>
          <w:szCs w:val="28"/>
        </w:rPr>
        <w:t>18,3 m</w:t>
      </w:r>
      <w:r w:rsidRPr="00BD3058">
        <w:rPr>
          <w:rFonts w:cstheme="minorHAnsi"/>
          <w:sz w:val="28"/>
          <w:szCs w:val="28"/>
        </w:rPr>
        <w:t xml:space="preserve">, 11,2  m, 13,0 m, 10,1  m, 12,1 m, 12,7 m, 12,2 m, 12,9 m, 14,2  m, 13,5 m, 12,7 m, </w:t>
      </w:r>
      <w:r w:rsidRPr="00BD3058">
        <w:rPr>
          <w:rFonts w:cstheme="minorHAnsi"/>
          <w:b/>
          <w:bCs/>
          <w:sz w:val="28"/>
          <w:szCs w:val="28"/>
        </w:rPr>
        <w:t>18,1 m</w:t>
      </w:r>
      <w:r w:rsidRPr="00BD3058">
        <w:rPr>
          <w:rFonts w:cstheme="minorHAnsi"/>
          <w:sz w:val="28"/>
          <w:szCs w:val="28"/>
        </w:rPr>
        <w:t xml:space="preserve">, 21,3 m, 14,5 m, 14,1 m, </w:t>
      </w:r>
      <w:r w:rsidRPr="00BD3058">
        <w:rPr>
          <w:rFonts w:cstheme="minorHAnsi"/>
          <w:b/>
          <w:bCs/>
          <w:sz w:val="28"/>
          <w:szCs w:val="28"/>
        </w:rPr>
        <w:t>18,9 m</w:t>
      </w:r>
      <w:r w:rsidRPr="00BD3058">
        <w:rPr>
          <w:rFonts w:cstheme="minorHAnsi"/>
          <w:sz w:val="28"/>
          <w:szCs w:val="28"/>
        </w:rPr>
        <w:t xml:space="preserve">, 15,9 m, 15,6 m, 12,5 m, 15,9 m. Szerokość projektowanych budynków ze względu na zróżnicowanie istniejącej zabudowy oraz na fakt, iż powinna charakteryzować się szerokością pośrednią wśród budynków występujących w sąsiedztwie, ustalono na poziomie od 10,1 m do 18,9 m, bowiem są to wartości występujące w obszarze analizowanym oraz najbliższe wartościom wnioskowanym. </w:t>
      </w:r>
    </w:p>
    <w:p w14:paraId="07F9C146" w14:textId="77777777" w:rsidR="00BD3058" w:rsidRPr="00BD3058" w:rsidRDefault="00BD3058" w:rsidP="00BD3058">
      <w:pPr>
        <w:spacing w:after="120" w:line="240" w:lineRule="auto"/>
        <w:ind w:firstLine="567"/>
        <w:jc w:val="both"/>
        <w:rPr>
          <w:rFonts w:cs="Times New Roman"/>
          <w:sz w:val="28"/>
          <w:szCs w:val="28"/>
        </w:rPr>
      </w:pPr>
      <w:r w:rsidRPr="00BD3058">
        <w:rPr>
          <w:rFonts w:cs="Times New Roman"/>
          <w:sz w:val="28"/>
          <w:szCs w:val="28"/>
        </w:rPr>
        <w:t xml:space="preserve">Wysokość górnej krawędzi elewacji frontowej, jej gzymsu lub attyki wyznacza się dla nowej zabudowy jako przedłużenie tych krawędzi odpowiednio do istniejącej zabudowy na działkach sąsiednich. Dopuszcza się wyznaczenie innej wysokości górnej krawędzi elewacji frontowej, jeżeli wynika to z analizy.   </w:t>
      </w:r>
      <w:r w:rsidRPr="00BD3058">
        <w:rPr>
          <w:sz w:val="28"/>
          <w:szCs w:val="28"/>
        </w:rPr>
        <w:t xml:space="preserve">Wysokość górnej krawędzi elewacji frontowej budynków usytuowanych kalenicowo do frontu </w:t>
      </w:r>
      <w:r w:rsidRPr="00BD3058">
        <w:rPr>
          <w:sz w:val="28"/>
        </w:rPr>
        <w:t>terenu na działkach o nr ewid. 86/1; 86/3; 425/13; 425/14; 425/15 wynosi 2,5 m, na działkach o nr ewid. 80, 81, 82; 425/16, 425/19, 425/20 wynosi 3,0 m, na działkach o nr ewid. 80, 81, 82; 84/1; 101/1; 99/9; 85/2; 87/4; 425/18; 425/21; 425/22 wynosi 3,5 m, na działkach o nr ewid. 83/; 426/17 wynosi 4,0 m, a wysokość górnej krawędzi elewacji frontowej budynków w obszarze analizowanym, usytuowanych szczytowo w stosunku do frontu terenu na działkach o nr ewid. 99/8; 86/4; 87/2 wynosi odpowiednio 7,5 m, 7,0 m, 6,0 m. W przedmiotowym obszarze występują również budynki gospodarcze / gospodarczo-garażowe o wysokości elewacji frontowej od 2,0 m do 7,5 m. Ponadto w obszarze analizowanym występują budynki z dachami tzw. płaskimi (o kącie nachylenia do 12</w:t>
      </w:r>
      <w:r w:rsidRPr="00BD3058">
        <w:rPr>
          <w:rFonts w:cstheme="minorHAnsi"/>
          <w:sz w:val="28"/>
        </w:rPr>
        <w:t>°</w:t>
      </w:r>
      <w:r w:rsidRPr="00BD3058">
        <w:rPr>
          <w:sz w:val="28"/>
        </w:rPr>
        <w:t xml:space="preserve">) o wysokości elewacji frontowej od 1,0 m do 7,5 m. </w:t>
      </w:r>
      <w:r w:rsidRPr="00BD3058">
        <w:rPr>
          <w:rFonts w:cs="Times New Roman"/>
          <w:sz w:val="28"/>
          <w:szCs w:val="28"/>
        </w:rPr>
        <w:t xml:space="preserve">Projektowane budynki, z wysokością elewacji frontowej od 6,1 m do 7,5 m dla budynków usytuowanych kalenicowo, charakteryzują się wysokościami niewystępującymi w obszarze analizowanym. </w:t>
      </w:r>
    </w:p>
    <w:p w14:paraId="13785DCB" w14:textId="77777777" w:rsidR="00BD3058" w:rsidRPr="00BD3058" w:rsidRDefault="00BD3058" w:rsidP="00BD3058">
      <w:pPr>
        <w:spacing w:after="120" w:line="240" w:lineRule="auto"/>
        <w:jc w:val="both"/>
        <w:rPr>
          <w:rFonts w:cs="Times New Roman"/>
          <w:sz w:val="28"/>
          <w:szCs w:val="28"/>
        </w:rPr>
      </w:pPr>
    </w:p>
    <w:p w14:paraId="0BB2F38A" w14:textId="77777777" w:rsidR="00BD3058" w:rsidRPr="00BD3058" w:rsidRDefault="00BD3058" w:rsidP="00BD3058">
      <w:pPr>
        <w:spacing w:after="120" w:line="240" w:lineRule="auto"/>
        <w:jc w:val="both"/>
        <w:rPr>
          <w:rFonts w:cs="Times New Roman"/>
          <w:sz w:val="28"/>
          <w:szCs w:val="28"/>
          <w:highlight w:val="yellow"/>
        </w:rPr>
      </w:pPr>
      <w:r w:rsidRPr="00BD3058">
        <w:rPr>
          <w:rFonts w:cs="Times New Roman"/>
          <w:sz w:val="28"/>
          <w:szCs w:val="28"/>
        </w:rPr>
        <w:lastRenderedPageBreak/>
        <w:t>Natomiast projektowane budynki z wysokością elewacji frontowej od 7,0 m do 7,5 m dla budynków usytuowanych szczytowo, charakteryzują się wysokościami zbliżonymi do występujących w obszarze analizowanym. W związku z powyższym wysokość górnej krawędzi elewacji frontowej ustalono na podstawie wysokości występujących w obszarze analizowanym, czyli od 3,0 m do 4,0 m dla budynków usytuowanych kalenicowo do frontu terenu i od 7,0 m do 7,5 m dla budynków usytuowanych szczytowo do frontu terenu</w:t>
      </w:r>
      <w:r w:rsidRPr="00BD3058">
        <w:rPr>
          <w:rFonts w:cstheme="minorHAnsi"/>
          <w:sz w:val="28"/>
          <w:szCs w:val="28"/>
        </w:rPr>
        <w:t xml:space="preserve">. </w:t>
      </w:r>
    </w:p>
    <w:p w14:paraId="6B35B0D9" w14:textId="77777777" w:rsidR="00BD3058" w:rsidRPr="00BD3058" w:rsidRDefault="00BD3058" w:rsidP="00BD3058">
      <w:pPr>
        <w:spacing w:after="120" w:line="240" w:lineRule="auto"/>
        <w:ind w:firstLine="567"/>
        <w:jc w:val="both"/>
        <w:rPr>
          <w:sz w:val="28"/>
          <w:szCs w:val="28"/>
          <w:highlight w:val="yellow"/>
        </w:rPr>
      </w:pPr>
      <w:r w:rsidRPr="00BD3058">
        <w:rPr>
          <w:rFonts w:cs="Times New Roman"/>
          <w:sz w:val="28"/>
          <w:szCs w:val="28"/>
        </w:rPr>
        <w:t>Geometrię dachu projektowanego budynku ustalono odpowiednio do geometrii dachów występujących na obszarze analizowanym, w którym występują budynki z dachami dwu- i wielospadowymi o nachyleniu od 20</w:t>
      </w:r>
      <w:r w:rsidRPr="00BD3058">
        <w:rPr>
          <w:rFonts w:cstheme="minorHAnsi"/>
          <w:sz w:val="28"/>
          <w:szCs w:val="28"/>
        </w:rPr>
        <w:t>°</w:t>
      </w:r>
      <w:r w:rsidRPr="00BD3058">
        <w:rPr>
          <w:rFonts w:cs="Times New Roman"/>
          <w:sz w:val="28"/>
          <w:szCs w:val="28"/>
        </w:rPr>
        <w:t xml:space="preserve"> do 40</w:t>
      </w:r>
      <w:r w:rsidRPr="00BD3058">
        <w:rPr>
          <w:rFonts w:cstheme="minorHAnsi"/>
          <w:sz w:val="28"/>
          <w:szCs w:val="28"/>
        </w:rPr>
        <w:t>°</w:t>
      </w:r>
      <w:r w:rsidRPr="00BD3058">
        <w:rPr>
          <w:rFonts w:cs="Times New Roman"/>
          <w:sz w:val="28"/>
          <w:szCs w:val="28"/>
        </w:rPr>
        <w:t xml:space="preserve">, </w:t>
      </w:r>
      <w:r w:rsidRPr="00BD3058">
        <w:rPr>
          <w:rFonts w:cstheme="minorHAnsi"/>
          <w:sz w:val="28"/>
          <w:szCs w:val="28"/>
        </w:rPr>
        <w:t>o wysokości głównej kalenicy budynków w obszarze analizowanym od 4,0 m do 8,0 m</w:t>
      </w:r>
      <w:r w:rsidRPr="00BD3058">
        <w:rPr>
          <w:sz w:val="28"/>
          <w:szCs w:val="28"/>
        </w:rPr>
        <w:t xml:space="preserve"> </w:t>
      </w:r>
      <w:r w:rsidRPr="00BD3058">
        <w:rPr>
          <w:rFonts w:cstheme="minorHAnsi"/>
          <w:sz w:val="28"/>
          <w:szCs w:val="28"/>
        </w:rPr>
        <w:t>oraz budynki z dachem tzw. płaskimi (o kącie nachylenia do 12°) i wysokości budynku od 1,0 m do 7,5 m</w:t>
      </w:r>
      <w:r w:rsidRPr="00BD3058">
        <w:rPr>
          <w:sz w:val="28"/>
          <w:szCs w:val="28"/>
        </w:rPr>
        <w:t xml:space="preserve">. W obszarze analizowanym występują dachy o kalenicowym (równoległym lub zbliżonym do równoległego) do frontu działki i szczytowym (prostopadłym lub zbliżonym do prostopadłego) kierunku kalenicy w stosunku do frontu działki. </w:t>
      </w:r>
      <w:r w:rsidRPr="00BD3058">
        <w:rPr>
          <w:rFonts w:cstheme="minorHAnsi"/>
          <w:sz w:val="28"/>
          <w:szCs w:val="28"/>
        </w:rPr>
        <w:t xml:space="preserve">Po dokonaniu analizy stwierdzono, że wnioskowana geometria dachu budynku mieszkalnego: dach dwuspadowy o kącie nachylenia </w:t>
      </w:r>
      <w:r w:rsidRPr="00BD3058">
        <w:rPr>
          <w:rFonts w:cs="Times New Roman"/>
          <w:sz w:val="28"/>
          <w:szCs w:val="28"/>
        </w:rPr>
        <w:t>od 25</w:t>
      </w:r>
      <w:r w:rsidRPr="00BD3058">
        <w:rPr>
          <w:rFonts w:cstheme="minorHAnsi"/>
          <w:sz w:val="28"/>
          <w:szCs w:val="28"/>
        </w:rPr>
        <w:t>°</w:t>
      </w:r>
      <w:r w:rsidRPr="00BD3058">
        <w:rPr>
          <w:rFonts w:cs="Times New Roman"/>
          <w:sz w:val="28"/>
          <w:szCs w:val="28"/>
        </w:rPr>
        <w:t xml:space="preserve"> do 40</w:t>
      </w:r>
      <w:r w:rsidRPr="00BD3058">
        <w:rPr>
          <w:rFonts w:cstheme="minorHAnsi"/>
          <w:sz w:val="28"/>
          <w:szCs w:val="28"/>
        </w:rPr>
        <w:t xml:space="preserve">°, o kalenicowym lub szczytowym kierunku głównej kalenicy dachu w stosunku do frontu działki oraz o wysokości głównej kalenicy od 7,0 m do 7,5 m, niezupełnie odpowiada parametrom budynków w obszarze analizowanym. Możliwe jest ustalenie następującej geometrii dachu: dach dwuspadowy o kącie nachylenia </w:t>
      </w:r>
      <w:r w:rsidRPr="00BD3058">
        <w:rPr>
          <w:rFonts w:cs="Times New Roman"/>
          <w:sz w:val="28"/>
          <w:szCs w:val="28"/>
        </w:rPr>
        <w:t>od 30</w:t>
      </w:r>
      <w:r w:rsidRPr="00BD3058">
        <w:rPr>
          <w:rFonts w:cstheme="minorHAnsi"/>
          <w:sz w:val="28"/>
          <w:szCs w:val="28"/>
        </w:rPr>
        <w:t>°</w:t>
      </w:r>
      <w:r w:rsidRPr="00BD3058">
        <w:rPr>
          <w:rFonts w:cs="Times New Roman"/>
          <w:sz w:val="28"/>
          <w:szCs w:val="28"/>
        </w:rPr>
        <w:t xml:space="preserve"> do 40</w:t>
      </w:r>
      <w:r w:rsidRPr="00BD3058">
        <w:rPr>
          <w:rFonts w:cstheme="minorHAnsi"/>
          <w:sz w:val="28"/>
          <w:szCs w:val="28"/>
        </w:rPr>
        <w:t>°, o kalenicowym lub szczytowym kierunku głównej kalenicy dachu w stosunku do frontu działki oraz o wysokości głównej kalenicy od 7,0 m do 8,0 m, bowiem ustalenie takiej geometrii dachu harmonijnie wpisze się w sąsiadującą zabudowę.</w:t>
      </w:r>
    </w:p>
    <w:p w14:paraId="05CE6C1F"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(Dz. U. Nr 64, poz. 1589)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w:t>
      </w:r>
    </w:p>
    <w:p w14:paraId="5B169B54" w14:textId="77777777" w:rsidR="00BD3058" w:rsidRPr="00BD3058" w:rsidRDefault="00BD3058" w:rsidP="00BD3058">
      <w:pPr>
        <w:spacing w:after="120" w:line="240" w:lineRule="auto"/>
        <w:jc w:val="both"/>
        <w:rPr>
          <w:rFonts w:cstheme="minorHAnsi"/>
          <w:sz w:val="28"/>
          <w:szCs w:val="28"/>
        </w:rPr>
      </w:pPr>
    </w:p>
    <w:p w14:paraId="0D51DCF4" w14:textId="77777777" w:rsidR="00BD3058" w:rsidRPr="00BD3058" w:rsidRDefault="00BD3058" w:rsidP="00BD3058">
      <w:pPr>
        <w:spacing w:after="120" w:line="240" w:lineRule="auto"/>
        <w:jc w:val="both"/>
        <w:rPr>
          <w:rFonts w:cstheme="minorHAnsi"/>
          <w:sz w:val="28"/>
          <w:szCs w:val="28"/>
        </w:rPr>
      </w:pPr>
      <w:r w:rsidRPr="00BD3058">
        <w:rPr>
          <w:rFonts w:cstheme="minorHAnsi"/>
          <w:sz w:val="28"/>
          <w:szCs w:val="28"/>
        </w:rPr>
        <w:lastRenderedPageBreak/>
        <w:t xml:space="preserve">„Takimi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189644A6"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W niniejszej decyzji Burmistrz Śremu określił zasady związane z lokalizacją miejsc parkingowych na terenie inwestycji, a mianowicie: liczbę miejsc parkingowych (nie mniej niż dwa na lokal mieszkalny), które mają zostać zlokalizowane na terenie inwestycji, poza terenem planowanej drogi wewnętrznej (ust. 2 pkt 3 lit. h decyzji).</w:t>
      </w:r>
    </w:p>
    <w:p w14:paraId="57D45D22"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poz. 1724). W związku z tym nie zachodził obowiązek uzyskania decyzji o środowiskowych uwarunkowaniach określającej środowiskowe uwarunkowania realizacji przedsięwzięcia.</w:t>
      </w:r>
    </w:p>
    <w:p w14:paraId="0905D079"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2023 r. poz. 1094, 1113, 1501, 1506, 1719, 1890, 1688, 1906, 1890 i 2029) tutejszy organ rozważył, przed wydaniem niniejszej decyzji, czy analizowane przedsięwzięcie, </w:t>
      </w:r>
      <w:r w:rsidRPr="00BD3058">
        <w:rPr>
          <w:rFonts w:eastAsia="Times New Roman" w:cstheme="minorHAnsi"/>
          <w:sz w:val="28"/>
          <w:szCs w:val="28"/>
          <w:lang w:eastAsia="pl-PL"/>
        </w:rPr>
        <w:t>inne niż przedsięwzięcie mogące znacząco oddziaływać na środowisko</w:t>
      </w:r>
      <w:r w:rsidRPr="00BD3058">
        <w:rPr>
          <w:rFonts w:cstheme="minorHAnsi"/>
          <w:sz w:val="28"/>
        </w:rPr>
        <w:t>, które nie jest bezpośrednio związane z ochroną obszaru Natura 2000 lub nie wynika z tej ochrony, może potencjalnie znacząco oddziaływać na obszar Natura 2000. Otóż planowana inwestycja:</w:t>
      </w:r>
      <w:bookmarkStart w:id="2" w:name="_Hlk84408696"/>
    </w:p>
    <w:bookmarkEnd w:id="2"/>
    <w:p w14:paraId="3F1B73BF" w14:textId="77777777" w:rsidR="00BD3058" w:rsidRPr="00BD3058" w:rsidRDefault="00BD3058">
      <w:pPr>
        <w:widowControl w:val="0"/>
        <w:numPr>
          <w:ilvl w:val="0"/>
          <w:numId w:val="7"/>
        </w:numPr>
        <w:tabs>
          <w:tab w:val="left" w:pos="993"/>
        </w:tabs>
        <w:autoSpaceDE w:val="0"/>
        <w:spacing w:after="120" w:line="240" w:lineRule="auto"/>
        <w:ind w:left="0" w:firstLine="567"/>
        <w:contextualSpacing/>
        <w:jc w:val="both"/>
        <w:rPr>
          <w:rFonts w:cstheme="minorHAnsi"/>
          <w:sz w:val="28"/>
        </w:rPr>
      </w:pPr>
      <w:r w:rsidRPr="00BD3058">
        <w:rPr>
          <w:rFonts w:cstheme="minorHAnsi"/>
          <w:sz w:val="28"/>
        </w:rPr>
        <w:t>położona jest na niezabudowanych działkach użytkowanych rolniczo, w sąsiedztwie zabudowy mieszkaniowej i zabudowy zagrodowej;</w:t>
      </w:r>
    </w:p>
    <w:p w14:paraId="1B342C4C" w14:textId="77777777" w:rsidR="00BD3058" w:rsidRPr="00BD3058" w:rsidRDefault="00BD3058" w:rsidP="00BD3058">
      <w:pPr>
        <w:widowControl w:val="0"/>
        <w:tabs>
          <w:tab w:val="left" w:pos="993"/>
        </w:tabs>
        <w:autoSpaceDE w:val="0"/>
        <w:spacing w:after="120" w:line="240" w:lineRule="auto"/>
        <w:ind w:left="567"/>
        <w:contextualSpacing/>
        <w:jc w:val="both"/>
        <w:rPr>
          <w:rFonts w:cstheme="minorHAnsi"/>
          <w:sz w:val="28"/>
        </w:rPr>
      </w:pPr>
    </w:p>
    <w:p w14:paraId="3B942525" w14:textId="77777777" w:rsidR="00BD3058" w:rsidRPr="00BD3058" w:rsidRDefault="00BD3058">
      <w:pPr>
        <w:widowControl w:val="0"/>
        <w:numPr>
          <w:ilvl w:val="0"/>
          <w:numId w:val="7"/>
        </w:numPr>
        <w:tabs>
          <w:tab w:val="left" w:pos="993"/>
        </w:tabs>
        <w:autoSpaceDE w:val="0"/>
        <w:spacing w:after="120" w:line="240" w:lineRule="auto"/>
        <w:ind w:left="0" w:firstLine="567"/>
        <w:contextualSpacing/>
        <w:jc w:val="both"/>
        <w:rPr>
          <w:rFonts w:cstheme="minorHAnsi"/>
          <w:sz w:val="28"/>
        </w:rPr>
      </w:pPr>
      <w:r w:rsidRPr="00BD3058">
        <w:rPr>
          <w:rFonts w:cstheme="minorHAnsi"/>
          <w:sz w:val="28"/>
        </w:rPr>
        <w:lastRenderedPageBreak/>
        <w:t>odległa jest od najbliższego obszaru Natura 2000 (pomiar w linii prostej) o ca 3,4 km;</w:t>
      </w:r>
    </w:p>
    <w:p w14:paraId="3D61C57F" w14:textId="77777777" w:rsidR="00BD3058" w:rsidRPr="00BD3058" w:rsidRDefault="00BD3058">
      <w:pPr>
        <w:widowControl w:val="0"/>
        <w:numPr>
          <w:ilvl w:val="0"/>
          <w:numId w:val="7"/>
        </w:numPr>
        <w:tabs>
          <w:tab w:val="left" w:pos="993"/>
        </w:tabs>
        <w:autoSpaceDE w:val="0"/>
        <w:spacing w:after="120" w:line="240" w:lineRule="auto"/>
        <w:ind w:left="0" w:firstLine="567"/>
        <w:contextualSpacing/>
        <w:jc w:val="both"/>
        <w:rPr>
          <w:rFonts w:cstheme="minorHAnsi"/>
          <w:sz w:val="28"/>
        </w:rPr>
      </w:pPr>
      <w:r w:rsidRPr="00BD3058">
        <w:rPr>
          <w:rFonts w:cstheme="minorHAnsi"/>
          <w:sz w:val="28"/>
        </w:rPr>
        <w:t>nie wiąże się z generowaniem jakichkolwiek emisji do środowiska (hałas, pola elektromagnetyczne, substancje).</w:t>
      </w:r>
    </w:p>
    <w:p w14:paraId="6AE276CB" w14:textId="77777777" w:rsidR="00BD3058" w:rsidRPr="00BD3058" w:rsidRDefault="00BD3058" w:rsidP="00BD3058">
      <w:pPr>
        <w:widowControl w:val="0"/>
        <w:autoSpaceDE w:val="0"/>
        <w:spacing w:after="120" w:line="240" w:lineRule="auto"/>
        <w:ind w:firstLine="567"/>
        <w:jc w:val="both"/>
        <w:rPr>
          <w:rFonts w:cstheme="minorHAnsi"/>
          <w:sz w:val="28"/>
        </w:rPr>
      </w:pPr>
      <w:r w:rsidRPr="00BD3058">
        <w:rPr>
          <w:rFonts w:cstheme="minorHAnsi"/>
          <w:sz w:val="28"/>
        </w:rPr>
        <w:t>W efekcie tych rozważań uznał, że planowane przedsięwzięcie ze względu na zakres przewidywanego oddziaływania, skalę oraz odległość od obszarów Natura 2000, a także brak oddziaływania na elementy środowiska przyrodniczego, z uwagi na występowanie których obszary te zostały wyznaczone, nie będzie potencjalnie znacząco oddziaływać na te obszary.</w:t>
      </w:r>
    </w:p>
    <w:p w14:paraId="0CF44BE6" w14:textId="77777777" w:rsidR="00BD3058" w:rsidRPr="00BD3058" w:rsidRDefault="00BD3058" w:rsidP="00BD3058">
      <w:pPr>
        <w:widowControl w:val="0"/>
        <w:autoSpaceDE w:val="0"/>
        <w:spacing w:after="120" w:line="240" w:lineRule="auto"/>
        <w:ind w:firstLine="567"/>
        <w:jc w:val="both"/>
        <w:rPr>
          <w:rFonts w:cs="Times New Roman"/>
          <w:sz w:val="28"/>
          <w:szCs w:val="28"/>
        </w:rPr>
      </w:pPr>
      <w:r w:rsidRPr="00BD3058">
        <w:rPr>
          <w:rFonts w:cs="Times New Roman"/>
          <w:sz w:val="28"/>
          <w:szCs w:val="28"/>
        </w:rPr>
        <w:t>Projekt decyzji został uzgodniony z organami, o których mowa w art. 53 ust. 4 pkt 6 w związku z art. 64 ust. 1 u.p.z.p., a mianowicie ze Starostą Śremskim i z Dyrektorem Zarządu Zlewni Państwowego Gospodarstwa Wodnego Wody Polskie w Poznaniu.</w:t>
      </w:r>
    </w:p>
    <w:p w14:paraId="13107DAA" w14:textId="77777777" w:rsidR="00BD3058" w:rsidRPr="00BD3058" w:rsidRDefault="00BD3058" w:rsidP="00BD3058">
      <w:pPr>
        <w:widowControl w:val="0"/>
        <w:autoSpaceDE w:val="0"/>
        <w:spacing w:after="120" w:line="240" w:lineRule="auto"/>
        <w:ind w:firstLine="567"/>
        <w:jc w:val="both"/>
        <w:rPr>
          <w:rFonts w:cstheme="minorHAnsi"/>
          <w:sz w:val="28"/>
          <w:szCs w:val="28"/>
        </w:rPr>
      </w:pPr>
      <w:r w:rsidRPr="00BD3058">
        <w:rPr>
          <w:rFonts w:cstheme="minorHAnsi"/>
          <w:sz w:val="28"/>
          <w:szCs w:val="28"/>
        </w:rPr>
        <w:t>Projekt decyzji nie wymagał zaopiniowania przez operatorów, o których mowa w art. 53 ust. 5e w związku z art. 64 ust. 1 u.p.z.p.</w:t>
      </w:r>
    </w:p>
    <w:p w14:paraId="7AB1A4B1" w14:textId="77777777" w:rsidR="00BD3058" w:rsidRPr="00BD3058" w:rsidRDefault="00BD3058" w:rsidP="00BD3058">
      <w:pPr>
        <w:widowControl w:val="0"/>
        <w:autoSpaceDE w:val="0"/>
        <w:spacing w:after="120" w:line="240" w:lineRule="auto"/>
        <w:ind w:firstLine="567"/>
        <w:jc w:val="both"/>
        <w:rPr>
          <w:rFonts w:cstheme="minorHAnsi"/>
          <w:sz w:val="28"/>
          <w:szCs w:val="28"/>
        </w:rPr>
      </w:pPr>
      <w:r w:rsidRPr="00BD3058">
        <w:rPr>
          <w:rFonts w:cstheme="minorHAnsi"/>
          <w:sz w:val="28"/>
          <w:szCs w:val="28"/>
        </w:rPr>
        <w:t>W ramach wewnętrznej procedury projekt decyzji uzyskał stanowisko zarządcy drogi gminnej – ul. Leśnej (działki o nr ewid. 89/1, obręb Nochowo), czyli Burmistrza Śremu.</w:t>
      </w:r>
    </w:p>
    <w:p w14:paraId="0C081483" w14:textId="77777777" w:rsidR="00BD3058" w:rsidRPr="00BD3058" w:rsidRDefault="00BD3058" w:rsidP="00BD3058">
      <w:pPr>
        <w:widowControl w:val="0"/>
        <w:autoSpaceDE w:val="0"/>
        <w:spacing w:after="120" w:line="240" w:lineRule="auto"/>
        <w:ind w:firstLine="567"/>
        <w:jc w:val="both"/>
        <w:rPr>
          <w:rFonts w:cstheme="minorHAnsi"/>
          <w:sz w:val="28"/>
          <w:szCs w:val="28"/>
        </w:rPr>
      </w:pPr>
      <w:r w:rsidRPr="00BD3058">
        <w:rPr>
          <w:rFonts w:cstheme="minorHAnsi"/>
          <w:sz w:val="28"/>
          <w:szCs w:val="28"/>
        </w:rPr>
        <w:t>Projekt decyzji został uzgodniony z Powiatowym Państwowym Inspektorem Sanitarnym na podstawie art. 3 pkt 1a ustawy z dnia 14 marca 1985 r. o Państwowej Inspekcji Sanitarnej (Dz. U. z 2023 r. poz. 338 i 1688).</w:t>
      </w:r>
    </w:p>
    <w:p w14:paraId="2D07A2F5" w14:textId="77777777" w:rsidR="00BD3058" w:rsidRPr="00BD3058" w:rsidRDefault="00BD3058" w:rsidP="00BD3058">
      <w:pPr>
        <w:widowControl w:val="0"/>
        <w:autoSpaceDE w:val="0"/>
        <w:spacing w:after="120" w:line="240" w:lineRule="auto"/>
        <w:ind w:firstLine="567"/>
        <w:jc w:val="both"/>
        <w:rPr>
          <w:rFonts w:cstheme="minorHAnsi"/>
          <w:sz w:val="28"/>
          <w:szCs w:val="28"/>
        </w:rPr>
      </w:pPr>
      <w:r w:rsidRPr="00BD3058">
        <w:rPr>
          <w:rFonts w:cstheme="minorHAnsi"/>
          <w:sz w:val="28"/>
          <w:szCs w:val="28"/>
        </w:rPr>
        <w:t>Ponadto, decyzja nie wymagała wcześniejszego uzyskania decyzji wymaganych przepisami odrębnymi.</w:t>
      </w:r>
    </w:p>
    <w:p w14:paraId="190361C8" w14:textId="77777777" w:rsidR="00BD3058" w:rsidRPr="00BD3058" w:rsidRDefault="00BD3058" w:rsidP="00BD3058">
      <w:pPr>
        <w:widowControl w:val="0"/>
        <w:autoSpaceDE w:val="0"/>
        <w:spacing w:after="120" w:line="240" w:lineRule="auto"/>
        <w:ind w:firstLine="567"/>
        <w:jc w:val="both"/>
        <w:rPr>
          <w:rFonts w:cstheme="minorHAnsi"/>
          <w:sz w:val="28"/>
        </w:rPr>
      </w:pPr>
      <w:r w:rsidRPr="00BD3058">
        <w:rPr>
          <w:rFonts w:cstheme="minorHAnsi"/>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w:t>
      </w:r>
    </w:p>
    <w:p w14:paraId="31CAE1CA" w14:textId="77777777" w:rsidR="00BD3058" w:rsidRDefault="00BD3058" w:rsidP="00BD3058">
      <w:pPr>
        <w:widowControl w:val="0"/>
        <w:autoSpaceDE w:val="0"/>
        <w:spacing w:after="120" w:line="240" w:lineRule="auto"/>
        <w:jc w:val="both"/>
        <w:rPr>
          <w:rFonts w:cstheme="minorHAnsi"/>
          <w:sz w:val="28"/>
        </w:rPr>
      </w:pPr>
    </w:p>
    <w:p w14:paraId="1FE00F59" w14:textId="77777777" w:rsidR="00BD3058" w:rsidRPr="00BD3058" w:rsidRDefault="00BD3058" w:rsidP="00BD3058">
      <w:pPr>
        <w:widowControl w:val="0"/>
        <w:autoSpaceDE w:val="0"/>
        <w:spacing w:after="120" w:line="240" w:lineRule="auto"/>
        <w:jc w:val="both"/>
        <w:rPr>
          <w:rFonts w:cstheme="minorHAnsi"/>
          <w:sz w:val="28"/>
        </w:rPr>
      </w:pPr>
    </w:p>
    <w:p w14:paraId="4F44DBB2" w14:textId="77777777" w:rsidR="00BD3058" w:rsidRPr="00BD3058" w:rsidRDefault="00BD3058" w:rsidP="00BD3058">
      <w:pPr>
        <w:widowControl w:val="0"/>
        <w:autoSpaceDE w:val="0"/>
        <w:spacing w:after="120" w:line="240" w:lineRule="auto"/>
        <w:jc w:val="both"/>
        <w:rPr>
          <w:rFonts w:cstheme="minorHAnsi"/>
          <w:sz w:val="28"/>
        </w:rPr>
      </w:pPr>
      <w:r w:rsidRPr="00BD3058">
        <w:rPr>
          <w:rFonts w:cstheme="minorHAnsi"/>
          <w:sz w:val="28"/>
        </w:rPr>
        <w:lastRenderedPageBreak/>
        <w:t xml:space="preserve">Organ prowadzący postępowanie w sprawie warunków zabudowy ma obowiązek zbadać rodzaj inwestycji, jej rozmiary oraz stopień i zakres jej uciążliwości dla otoczenia, a następnie ustalić, jak daleko sięgać będzie oddziaływanie planowanej inwestycji. </w:t>
      </w:r>
    </w:p>
    <w:p w14:paraId="1FAD2949" w14:textId="77777777" w:rsidR="00BD3058" w:rsidRPr="00BD3058" w:rsidRDefault="00BD3058" w:rsidP="00BD3058">
      <w:pPr>
        <w:widowControl w:val="0"/>
        <w:autoSpaceDE w:val="0"/>
        <w:spacing w:after="120" w:line="240" w:lineRule="auto"/>
        <w:ind w:firstLine="567"/>
        <w:jc w:val="both"/>
        <w:rPr>
          <w:rFonts w:cstheme="minorHAnsi"/>
          <w:sz w:val="28"/>
        </w:rPr>
      </w:pPr>
      <w:r w:rsidRPr="00BD3058">
        <w:rPr>
          <w:rFonts w:cstheme="minorHAnsi"/>
          <w:sz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bookmarkStart w:id="3" w:name="_Hlk92801010"/>
    </w:p>
    <w:p w14:paraId="5115A564" w14:textId="77777777" w:rsidR="00BD3058" w:rsidRPr="00BD3058" w:rsidRDefault="00BD3058" w:rsidP="00BD3058">
      <w:pPr>
        <w:widowControl w:val="0"/>
        <w:autoSpaceDE w:val="0"/>
        <w:spacing w:after="120" w:line="240" w:lineRule="auto"/>
        <w:ind w:firstLine="567"/>
        <w:jc w:val="both"/>
        <w:rPr>
          <w:rFonts w:cstheme="minorHAnsi"/>
          <w:sz w:val="28"/>
        </w:rPr>
      </w:pPr>
      <w:r w:rsidRPr="00BD3058">
        <w:rPr>
          <w:rFonts w:cstheme="minorHAnsi"/>
          <w:sz w:val="28"/>
        </w:rPr>
        <w:t>Ze względu na charakter i skalę inwestycji oraz przewidywane oddziaływanie planowanej inwestycji na nieruchomości sąsiednie zakresem oddziaływania planowanej inwestycji objęty jest teren: działki stanowiące teren inwestycji o nr ewid. 84/8 i 873, obręb Nochowo i działki o nr ewid.: 82, 83/2, 83/1, 84/1, 83/3, 84/3, 84/4, 85/2, 86/3, 86/4, 425/15, 425/16, 425/17, 425/18, 425/19, 425/20, obręb Nochowo.</w:t>
      </w:r>
    </w:p>
    <w:p w14:paraId="4676DF4B" w14:textId="77777777" w:rsidR="00BD3058" w:rsidRPr="00BD3058" w:rsidRDefault="00BD3058" w:rsidP="00BD3058">
      <w:pPr>
        <w:widowControl w:val="0"/>
        <w:autoSpaceDE w:val="0"/>
        <w:spacing w:after="120" w:line="240" w:lineRule="auto"/>
        <w:ind w:firstLine="567"/>
        <w:jc w:val="both"/>
        <w:rPr>
          <w:rFonts w:cstheme="minorHAnsi"/>
          <w:sz w:val="28"/>
        </w:rPr>
      </w:pPr>
      <w:r w:rsidRPr="00BD3058">
        <w:rPr>
          <w:rFonts w:cstheme="minorHAnsi"/>
          <w:sz w:val="28"/>
        </w:rPr>
        <w:t>Biorąc powyższe pod uwagę za strony postępowania zostali uznani Wnioskodawca oraz właściciele / współwłaściciele działek o nr ewid.: 84/8, 873, 82, 83/2, 83/1, 84/1, 83/3, 84/3, 84/4, 85/2, 86/3, 86/4, 425/15, 425/16, 425/17, 425/18, 425/19, 425/20, obręb Nochowo.</w:t>
      </w:r>
      <w:bookmarkEnd w:id="3"/>
    </w:p>
    <w:p w14:paraId="596124A6" w14:textId="77777777" w:rsidR="00BD3058" w:rsidRPr="00BD3058" w:rsidRDefault="00BD3058" w:rsidP="00BD3058">
      <w:pPr>
        <w:tabs>
          <w:tab w:val="left" w:pos="851"/>
        </w:tabs>
        <w:spacing w:after="120" w:line="240" w:lineRule="auto"/>
        <w:ind w:firstLine="567"/>
        <w:jc w:val="both"/>
        <w:rPr>
          <w:rFonts w:cstheme="minorHAnsi"/>
          <w:sz w:val="28"/>
        </w:rPr>
      </w:pPr>
      <w:r w:rsidRPr="00BD3058">
        <w:rPr>
          <w:rFonts w:cstheme="minorHAnsi"/>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7EC7DD6D" w14:textId="77777777" w:rsidR="00BD3058" w:rsidRPr="00BD3058" w:rsidRDefault="00BD3058" w:rsidP="00BD3058">
      <w:pPr>
        <w:tabs>
          <w:tab w:val="left" w:pos="851"/>
        </w:tabs>
        <w:spacing w:after="120" w:line="240" w:lineRule="auto"/>
        <w:ind w:firstLine="567"/>
        <w:jc w:val="both"/>
        <w:rPr>
          <w:rFonts w:cstheme="minorHAnsi"/>
          <w:sz w:val="28"/>
          <w:szCs w:val="28"/>
        </w:rPr>
      </w:pPr>
      <w:r w:rsidRPr="00BD3058">
        <w:rPr>
          <w:rFonts w:cstheme="minorHAnsi"/>
          <w:sz w:val="28"/>
          <w:szCs w:val="28"/>
        </w:rPr>
        <w:t xml:space="preserve">Stosownie do art. 56, w związku z art. 64 u.p.z.p. nie można odmówić ustalenia warunków zabudowy, jeżeli zamierzenie inwestycyjne jest zgodne z przepisami odrębnymi. </w:t>
      </w:r>
    </w:p>
    <w:p w14:paraId="548698BB" w14:textId="77777777" w:rsidR="00BD3058" w:rsidRPr="00BD3058" w:rsidRDefault="00BD3058" w:rsidP="00BD3058">
      <w:pPr>
        <w:tabs>
          <w:tab w:val="left" w:pos="851"/>
        </w:tabs>
        <w:spacing w:after="120" w:line="240" w:lineRule="auto"/>
        <w:ind w:firstLine="567"/>
        <w:jc w:val="both"/>
        <w:rPr>
          <w:rFonts w:cstheme="minorHAnsi"/>
          <w:sz w:val="28"/>
          <w:szCs w:val="28"/>
        </w:rPr>
      </w:pPr>
      <w:r w:rsidRPr="00BD3058">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4A9E1AC5" w14:textId="77777777" w:rsidR="00BD3058" w:rsidRPr="00BD3058" w:rsidRDefault="00BD3058" w:rsidP="00BD3058">
      <w:pPr>
        <w:spacing w:after="120" w:line="240" w:lineRule="auto"/>
        <w:jc w:val="center"/>
        <w:rPr>
          <w:rFonts w:cstheme="minorHAnsi"/>
          <w:sz w:val="28"/>
          <w:szCs w:val="28"/>
        </w:rPr>
      </w:pPr>
      <w:r w:rsidRPr="00BD3058">
        <w:rPr>
          <w:rFonts w:cstheme="minorHAnsi"/>
          <w:sz w:val="28"/>
          <w:szCs w:val="28"/>
        </w:rPr>
        <w:lastRenderedPageBreak/>
        <w:t>W związku z powyższym orzeczono jak w sentencji.</w:t>
      </w:r>
    </w:p>
    <w:p w14:paraId="2E75D36E" w14:textId="77777777" w:rsidR="00BD3058" w:rsidRPr="00BD3058" w:rsidRDefault="00BD3058" w:rsidP="00BD3058">
      <w:pPr>
        <w:spacing w:after="120" w:line="240" w:lineRule="auto"/>
        <w:jc w:val="center"/>
        <w:rPr>
          <w:rFonts w:cstheme="minorHAnsi"/>
          <w:sz w:val="28"/>
          <w:szCs w:val="28"/>
        </w:rPr>
      </w:pPr>
      <w:r w:rsidRPr="00BD3058">
        <w:rPr>
          <w:rFonts w:cstheme="minorHAnsi"/>
          <w:sz w:val="28"/>
          <w:szCs w:val="28"/>
        </w:rPr>
        <w:t>Pouczenie</w:t>
      </w:r>
    </w:p>
    <w:p w14:paraId="793CF0F5"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Stosownie do art. 63 pkt 2 u.p.z.p. decyzja o warunkach zabudowy nie rodzi praw do terenu oraz nie narusza prawa własności i uprawnień osób trzecich.</w:t>
      </w:r>
    </w:p>
    <w:p w14:paraId="31F4EA94"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Od niniejszej decyzji służy stronom prawo wniesienia odwołania do Samorządowego Kolegium Odwoławczego w Poznaniu, za moim pośrednictwem, w terminie 14 dni od dnia doręczenia.</w:t>
      </w:r>
    </w:p>
    <w:p w14:paraId="1BD8081C"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49BBD391" w14:textId="77777777" w:rsidR="00BD3058" w:rsidRPr="00BD3058" w:rsidRDefault="00BD3058" w:rsidP="00BD3058">
      <w:pPr>
        <w:spacing w:after="120" w:line="240" w:lineRule="auto"/>
        <w:ind w:firstLine="567"/>
        <w:jc w:val="both"/>
        <w:rPr>
          <w:rFonts w:cstheme="minorHAnsi"/>
          <w:sz w:val="28"/>
          <w:szCs w:val="28"/>
        </w:rPr>
      </w:pPr>
      <w:r w:rsidRPr="00BD3058">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45B040C2" w14:textId="77777777" w:rsidR="00BD3058" w:rsidRPr="00BD3058" w:rsidRDefault="00BD3058" w:rsidP="00BD3058">
      <w:pPr>
        <w:spacing w:after="120" w:line="240" w:lineRule="auto"/>
        <w:ind w:firstLine="567"/>
        <w:jc w:val="both"/>
        <w:rPr>
          <w:sz w:val="28"/>
        </w:rPr>
      </w:pPr>
      <w:r w:rsidRPr="00BD3058">
        <w:rPr>
          <w:sz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BD3058">
        <w:rPr>
          <w:color w:val="000000"/>
          <w:sz w:val="28"/>
          <w:shd w:val="clear" w:color="auto" w:fill="FFFFFF"/>
        </w:rPr>
        <w:t>wnosi się za pośrednictwem Burmistrza Śremu w terminie 14 dni od dnia doręczenia decyzji o warunkach zabudowy. Żądanie wniesione po terminie pozostawia się bez rozpoznania.</w:t>
      </w:r>
    </w:p>
    <w:p w14:paraId="15B13F93" w14:textId="77777777" w:rsidR="00BD3058" w:rsidRPr="00BD3058" w:rsidRDefault="00BD3058" w:rsidP="00BD3058">
      <w:pPr>
        <w:widowControl w:val="0"/>
        <w:autoSpaceDE w:val="0"/>
        <w:autoSpaceDN w:val="0"/>
        <w:adjustRightInd w:val="0"/>
        <w:spacing w:after="120" w:line="240" w:lineRule="auto"/>
        <w:ind w:right="-1"/>
        <w:jc w:val="both"/>
        <w:rPr>
          <w:rFonts w:cstheme="minorHAnsi"/>
          <w:sz w:val="28"/>
          <w:szCs w:val="28"/>
        </w:rPr>
      </w:pPr>
    </w:p>
    <w:p w14:paraId="366039AF"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 z up. BURMISTRZA</w:t>
      </w:r>
    </w:p>
    <w:p w14:paraId="2491C39F"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Katarzyna Bednarowicz</w:t>
      </w:r>
    </w:p>
    <w:p w14:paraId="070A6476"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naczelnik Pionu Gospodarowania</w:t>
      </w:r>
    </w:p>
    <w:p w14:paraId="34BCB119"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Przestrzenią i Środowiskiem</w:t>
      </w:r>
    </w:p>
    <w:p w14:paraId="45E2E8B2" w14:textId="77777777" w:rsidR="00BD3058" w:rsidRPr="00ED19D2" w:rsidRDefault="00BD3058" w:rsidP="00BD3058">
      <w:pPr>
        <w:spacing w:after="0" w:line="240" w:lineRule="auto"/>
        <w:ind w:left="3540"/>
        <w:jc w:val="center"/>
        <w:rPr>
          <w:rFonts w:ascii="Calibri" w:hAnsi="Calibri" w:cs="Calibri"/>
          <w:sz w:val="28"/>
          <w:szCs w:val="28"/>
        </w:rPr>
      </w:pPr>
      <w:r w:rsidRPr="00ED19D2">
        <w:rPr>
          <w:rFonts w:ascii="Calibri" w:hAnsi="Calibri" w:cs="Calibri"/>
          <w:sz w:val="28"/>
          <w:szCs w:val="28"/>
        </w:rPr>
        <w:t>/dokument podpisany elektronicznie/</w:t>
      </w:r>
    </w:p>
    <w:p w14:paraId="4BE0AFDC" w14:textId="77777777" w:rsidR="00BD3058" w:rsidRPr="00BD3058" w:rsidRDefault="00BD3058" w:rsidP="00BD3058">
      <w:pPr>
        <w:widowControl w:val="0"/>
        <w:autoSpaceDE w:val="0"/>
        <w:autoSpaceDN w:val="0"/>
        <w:adjustRightInd w:val="0"/>
        <w:spacing w:after="120" w:line="240" w:lineRule="auto"/>
        <w:ind w:right="-1"/>
        <w:jc w:val="both"/>
        <w:rPr>
          <w:rFonts w:cstheme="minorHAnsi"/>
          <w:sz w:val="28"/>
          <w:szCs w:val="28"/>
        </w:rPr>
      </w:pPr>
    </w:p>
    <w:p w14:paraId="05C77360" w14:textId="77777777" w:rsidR="00BD3058" w:rsidRPr="00BD3058" w:rsidRDefault="00BD3058" w:rsidP="00BD3058">
      <w:pPr>
        <w:widowControl w:val="0"/>
        <w:autoSpaceDE w:val="0"/>
        <w:autoSpaceDN w:val="0"/>
        <w:adjustRightInd w:val="0"/>
        <w:spacing w:after="120" w:line="240" w:lineRule="auto"/>
        <w:ind w:right="-1"/>
        <w:jc w:val="both"/>
        <w:rPr>
          <w:rFonts w:cstheme="minorHAnsi"/>
          <w:sz w:val="28"/>
          <w:szCs w:val="28"/>
        </w:rPr>
      </w:pPr>
      <w:r w:rsidRPr="00BD3058">
        <w:rPr>
          <w:rFonts w:cstheme="minorHAnsi"/>
          <w:sz w:val="28"/>
          <w:szCs w:val="28"/>
        </w:rPr>
        <w:t>Załączniki:</w:t>
      </w:r>
    </w:p>
    <w:p w14:paraId="4FA1E54B"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1 – część graficzna decyzji,</w:t>
      </w:r>
    </w:p>
    <w:p w14:paraId="10E649A9"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2 – część tekstowa wyników analizy funkcji oraz cech zabudowy i zagospodarowania terenu,</w:t>
      </w:r>
    </w:p>
    <w:p w14:paraId="6DA4A2F2"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3 – część graficzna wyników analizy funkcji oraz cech zabudowy i zagospodarowania terenu,</w:t>
      </w:r>
    </w:p>
    <w:p w14:paraId="600C13D9" w14:textId="77777777" w:rsidR="00BD3058" w:rsidRPr="00BD3058" w:rsidRDefault="00BD3058">
      <w:pPr>
        <w:numPr>
          <w:ilvl w:val="0"/>
          <w:numId w:val="5"/>
        </w:numPr>
        <w:spacing w:after="120" w:line="240" w:lineRule="auto"/>
        <w:ind w:right="-1"/>
        <w:jc w:val="both"/>
        <w:rPr>
          <w:rFonts w:cstheme="minorHAnsi"/>
          <w:sz w:val="28"/>
          <w:szCs w:val="28"/>
        </w:rPr>
      </w:pPr>
      <w:r w:rsidRPr="00BD3058">
        <w:rPr>
          <w:rFonts w:cstheme="minorHAnsi"/>
          <w:sz w:val="28"/>
          <w:szCs w:val="28"/>
        </w:rPr>
        <w:t>załącznik nr 4 – dane osobowe Stron postępowania (w aktach sprawy).</w:t>
      </w:r>
    </w:p>
    <w:p w14:paraId="4A626870" w14:textId="77777777" w:rsidR="00BD3058" w:rsidRPr="00BD3058" w:rsidRDefault="00BD3058" w:rsidP="00BD3058">
      <w:pPr>
        <w:spacing w:after="0" w:line="240" w:lineRule="auto"/>
        <w:jc w:val="both"/>
        <w:rPr>
          <w:rFonts w:cstheme="minorHAnsi"/>
          <w:sz w:val="28"/>
          <w:szCs w:val="28"/>
        </w:rPr>
      </w:pPr>
    </w:p>
    <w:p w14:paraId="3C4D6D26"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Sprawę prowadzi:</w:t>
      </w:r>
    </w:p>
    <w:p w14:paraId="01612A31"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Monika Grzegorek</w:t>
      </w:r>
      <w:r w:rsidRPr="00BD3058">
        <w:rPr>
          <w:rFonts w:cstheme="minorHAnsi"/>
          <w:sz w:val="28"/>
          <w:szCs w:val="28"/>
        </w:rPr>
        <w:tab/>
      </w:r>
    </w:p>
    <w:p w14:paraId="079C560C"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inspektor</w:t>
      </w:r>
    </w:p>
    <w:p w14:paraId="139DBF56" w14:textId="77777777" w:rsidR="00BD3058" w:rsidRPr="00BD3058" w:rsidRDefault="00BD3058" w:rsidP="00BD3058">
      <w:pPr>
        <w:spacing w:after="0" w:line="240" w:lineRule="auto"/>
        <w:jc w:val="both"/>
        <w:rPr>
          <w:rFonts w:cstheme="minorHAnsi"/>
          <w:sz w:val="28"/>
          <w:szCs w:val="28"/>
        </w:rPr>
      </w:pPr>
      <w:r w:rsidRPr="00BD3058">
        <w:rPr>
          <w:rFonts w:cstheme="minorHAnsi"/>
          <w:sz w:val="28"/>
          <w:szCs w:val="28"/>
        </w:rPr>
        <w:t xml:space="preserve">tel. 61 28 47 123 </w:t>
      </w:r>
    </w:p>
    <w:p w14:paraId="650E25BD" w14:textId="77777777" w:rsidR="006838B1" w:rsidRDefault="006838B1" w:rsidP="00BD3058">
      <w:pPr>
        <w:spacing w:after="120" w:line="240" w:lineRule="auto"/>
        <w:jc w:val="both"/>
        <w:rPr>
          <w:rFonts w:cstheme="minorHAnsi"/>
          <w:sz w:val="28"/>
          <w:szCs w:val="28"/>
        </w:rPr>
      </w:pPr>
    </w:p>
    <w:p w14:paraId="25C21555" w14:textId="7C124C83" w:rsidR="00BD3058" w:rsidRPr="00BD3058" w:rsidRDefault="00BD3058" w:rsidP="00BD3058">
      <w:pPr>
        <w:spacing w:after="120" w:line="240" w:lineRule="auto"/>
        <w:jc w:val="both"/>
        <w:rPr>
          <w:rFonts w:cstheme="minorHAnsi"/>
          <w:sz w:val="28"/>
          <w:szCs w:val="28"/>
        </w:rPr>
      </w:pPr>
      <w:r w:rsidRPr="00BD3058">
        <w:rPr>
          <w:rFonts w:cstheme="minorHAnsi"/>
          <w:sz w:val="28"/>
          <w:szCs w:val="28"/>
        </w:rPr>
        <w:t>Otrzymują:</w:t>
      </w:r>
    </w:p>
    <w:p w14:paraId="21B919DC" w14:textId="77777777" w:rsidR="00BD3058" w:rsidRPr="00BD3058" w:rsidRDefault="00BD3058">
      <w:pPr>
        <w:numPr>
          <w:ilvl w:val="0"/>
          <w:numId w:val="18"/>
        </w:numPr>
        <w:tabs>
          <w:tab w:val="left" w:pos="851"/>
        </w:tabs>
        <w:spacing w:after="120" w:line="240" w:lineRule="auto"/>
        <w:contextualSpacing/>
        <w:jc w:val="both"/>
        <w:rPr>
          <w:rFonts w:cstheme="minorHAnsi"/>
          <w:sz w:val="28"/>
          <w:szCs w:val="28"/>
        </w:rPr>
      </w:pPr>
      <w:r w:rsidRPr="00BD3058">
        <w:rPr>
          <w:rFonts w:cstheme="minorHAnsi"/>
          <w:sz w:val="28"/>
          <w:szCs w:val="28"/>
        </w:rPr>
        <w:t>Strona postępowania: AH GROUP Sp. z o.o.; ul. Fryderyka Chopina 1J, 63-100 Śrem</w:t>
      </w:r>
    </w:p>
    <w:p w14:paraId="5521E30D" w14:textId="77777777" w:rsidR="00BD3058" w:rsidRPr="00BD3058" w:rsidRDefault="00BD3058">
      <w:pPr>
        <w:numPr>
          <w:ilvl w:val="0"/>
          <w:numId w:val="18"/>
        </w:numPr>
        <w:tabs>
          <w:tab w:val="left" w:pos="851"/>
        </w:tabs>
        <w:spacing w:after="120" w:line="240" w:lineRule="auto"/>
        <w:contextualSpacing/>
        <w:jc w:val="both"/>
        <w:rPr>
          <w:rFonts w:cstheme="minorHAnsi"/>
          <w:sz w:val="28"/>
          <w:szCs w:val="28"/>
        </w:rPr>
      </w:pPr>
      <w:r w:rsidRPr="00BD3058">
        <w:rPr>
          <w:rFonts w:cstheme="minorHAnsi"/>
          <w:sz w:val="28"/>
          <w:szCs w:val="28"/>
        </w:rPr>
        <w:t xml:space="preserve">Pozostałe Strony postępowania zgodnie z załącznikiem nr 4 do decyzji w formie publicznego obwieszczenia </w:t>
      </w:r>
    </w:p>
    <w:p w14:paraId="10104EEB" w14:textId="77777777" w:rsidR="00BD3058" w:rsidRPr="00BD3058" w:rsidRDefault="00BD3058">
      <w:pPr>
        <w:numPr>
          <w:ilvl w:val="0"/>
          <w:numId w:val="18"/>
        </w:numPr>
        <w:tabs>
          <w:tab w:val="left" w:pos="851"/>
        </w:tabs>
        <w:spacing w:after="120" w:line="240" w:lineRule="auto"/>
        <w:contextualSpacing/>
        <w:jc w:val="both"/>
        <w:rPr>
          <w:rFonts w:cstheme="minorHAnsi"/>
          <w:sz w:val="28"/>
          <w:szCs w:val="28"/>
        </w:rPr>
      </w:pPr>
      <w:r w:rsidRPr="00BD3058">
        <w:rPr>
          <w:rFonts w:cstheme="minorHAnsi"/>
          <w:sz w:val="28"/>
          <w:szCs w:val="28"/>
        </w:rPr>
        <w:t>aa</w:t>
      </w:r>
    </w:p>
    <w:bookmarkEnd w:id="1"/>
    <w:p w14:paraId="5CB0396D" w14:textId="77777777" w:rsidR="00BD3058" w:rsidRPr="00BD3058" w:rsidRDefault="00BD3058" w:rsidP="00BD3058">
      <w:pPr>
        <w:spacing w:after="0" w:line="240" w:lineRule="auto"/>
        <w:jc w:val="both"/>
        <w:rPr>
          <w:rFonts w:cstheme="minorHAnsi"/>
          <w:sz w:val="28"/>
        </w:rPr>
      </w:pPr>
    </w:p>
    <w:p w14:paraId="6F98034E" w14:textId="77777777" w:rsidR="00BD3058" w:rsidRPr="00BD3058" w:rsidRDefault="00BD3058" w:rsidP="00BD3058">
      <w:pPr>
        <w:spacing w:after="0" w:line="240" w:lineRule="auto"/>
        <w:jc w:val="both"/>
        <w:rPr>
          <w:rFonts w:cstheme="minorHAnsi"/>
          <w:sz w:val="28"/>
        </w:rPr>
      </w:pPr>
      <w:r w:rsidRPr="00BD3058">
        <w:rPr>
          <w:rFonts w:cstheme="minorHAnsi"/>
          <w:sz w:val="28"/>
        </w:rPr>
        <w:t>Uiszczono opłatę skarbową w kwocie: 598 zł</w:t>
      </w:r>
    </w:p>
    <w:p w14:paraId="35C3B914" w14:textId="77777777" w:rsidR="00BD3058" w:rsidRPr="00BD3058" w:rsidRDefault="00BD3058" w:rsidP="00BD3058">
      <w:pPr>
        <w:spacing w:after="0" w:line="240" w:lineRule="auto"/>
        <w:jc w:val="both"/>
        <w:rPr>
          <w:rFonts w:cstheme="minorHAnsi"/>
          <w:color w:val="FF0000"/>
          <w:sz w:val="28"/>
        </w:rPr>
      </w:pPr>
      <w:r w:rsidRPr="00BD3058">
        <w:rPr>
          <w:rFonts w:cstheme="minorHAnsi"/>
          <w:sz w:val="28"/>
        </w:rPr>
        <w:t>Data wpłaty: 03.10.2023 r.</w:t>
      </w:r>
    </w:p>
    <w:p w14:paraId="30A003EA" w14:textId="77777777" w:rsidR="00BD3058" w:rsidRPr="00BD3058" w:rsidRDefault="00BD3058" w:rsidP="00BD3058">
      <w:pPr>
        <w:spacing w:after="0" w:line="240" w:lineRule="auto"/>
        <w:jc w:val="both"/>
        <w:rPr>
          <w:rFonts w:cstheme="minorHAnsi"/>
          <w:sz w:val="28"/>
        </w:rPr>
      </w:pPr>
      <w:r w:rsidRPr="00BD3058">
        <w:rPr>
          <w:rFonts w:cstheme="minorHAnsi"/>
          <w:sz w:val="28"/>
        </w:rPr>
        <w:t>Nr rachunku bankowego Urzędu Miejskiego w Śremie</w:t>
      </w:r>
    </w:p>
    <w:p w14:paraId="05C30513" w14:textId="77777777" w:rsidR="00BD3058" w:rsidRPr="00BD3058" w:rsidRDefault="00BD3058" w:rsidP="00BD3058">
      <w:pPr>
        <w:spacing w:after="0" w:line="240" w:lineRule="auto"/>
        <w:jc w:val="both"/>
        <w:rPr>
          <w:rFonts w:cstheme="minorHAnsi"/>
          <w:sz w:val="2"/>
          <w:szCs w:val="2"/>
        </w:rPr>
      </w:pPr>
      <w:r w:rsidRPr="00BD3058">
        <w:rPr>
          <w:rFonts w:cstheme="minorHAnsi"/>
          <w:sz w:val="28"/>
        </w:rPr>
        <w:t>57 9084 0003 2102 0013 0521 0013</w:t>
      </w:r>
    </w:p>
    <w:p w14:paraId="38B39FE3" w14:textId="77777777" w:rsidR="00BD3058" w:rsidRPr="004D2F43" w:rsidRDefault="00BD3058" w:rsidP="00BD3058">
      <w:pPr>
        <w:widowControl w:val="0"/>
        <w:autoSpaceDE w:val="0"/>
        <w:autoSpaceDN w:val="0"/>
        <w:adjustRightInd w:val="0"/>
        <w:spacing w:after="0" w:line="240" w:lineRule="auto"/>
        <w:ind w:right="4961"/>
        <w:rPr>
          <w:rFonts w:ascii="Calibri" w:hAnsi="Calibri" w:cs="Calibri"/>
          <w:bCs/>
          <w:sz w:val="28"/>
          <w:szCs w:val="28"/>
        </w:rPr>
      </w:pPr>
    </w:p>
    <w:p w14:paraId="00698EEB" w14:textId="77777777" w:rsidR="00F022DA" w:rsidRPr="00F022DA" w:rsidRDefault="00F022DA" w:rsidP="00F022DA">
      <w:pPr>
        <w:spacing w:after="120" w:line="240" w:lineRule="auto"/>
        <w:ind w:right="-1"/>
        <w:jc w:val="both"/>
        <w:rPr>
          <w:rFonts w:cstheme="minorHAnsi"/>
          <w:sz w:val="28"/>
          <w:szCs w:val="28"/>
        </w:rPr>
      </w:pPr>
    </w:p>
    <w:p w14:paraId="25E71135" w14:textId="77777777" w:rsidR="00DF18B2" w:rsidRPr="00DF18B2" w:rsidRDefault="00DF18B2" w:rsidP="00DF18B2">
      <w:pPr>
        <w:spacing w:after="120" w:line="240" w:lineRule="auto"/>
        <w:ind w:right="-1"/>
        <w:jc w:val="both"/>
        <w:rPr>
          <w:rFonts w:cstheme="minorHAnsi"/>
          <w:sz w:val="28"/>
          <w:szCs w:val="28"/>
        </w:rPr>
      </w:pPr>
    </w:p>
    <w:p w14:paraId="5022420A" w14:textId="77777777" w:rsidR="008C0D69" w:rsidRDefault="008C0D69" w:rsidP="001E33D8">
      <w:pPr>
        <w:rPr>
          <w:sz w:val="28"/>
          <w:szCs w:val="28"/>
        </w:rPr>
        <w:sectPr w:rsidR="008C0D69" w:rsidSect="009D3446">
          <w:headerReference w:type="default" r:id="rId14"/>
          <w:footerReference w:type="default" r:id="rId15"/>
          <w:pgSz w:w="11906" w:h="16838"/>
          <w:pgMar w:top="1418" w:right="1418" w:bottom="1701" w:left="1701" w:header="709" w:footer="709" w:gutter="0"/>
          <w:pgNumType w:start="1"/>
          <w:cols w:space="708"/>
          <w:docGrid w:linePitch="600" w:charSpace="32768"/>
        </w:sectPr>
      </w:pPr>
    </w:p>
    <w:p w14:paraId="343BBA99" w14:textId="7260A113" w:rsidR="00EC6D4F" w:rsidRDefault="00BD3058" w:rsidP="00C41720">
      <w:pPr>
        <w:jc w:val="center"/>
        <w:rPr>
          <w:sz w:val="28"/>
          <w:szCs w:val="28"/>
        </w:rPr>
      </w:pPr>
      <w:r>
        <w:rPr>
          <w:noProof/>
          <w:sz w:val="28"/>
          <w:szCs w:val="28"/>
        </w:rPr>
        <w:lastRenderedPageBreak/>
        <w:drawing>
          <wp:inline distT="0" distB="0" distL="0" distR="0" wp14:anchorId="00104C38" wp14:editId="17491E81">
            <wp:extent cx="13368759" cy="9344025"/>
            <wp:effectExtent l="0" t="0" r="4445" b="0"/>
            <wp:docPr id="952326350" name="Obraz 1" descr="Obraz zawierający tekst, diagram, Plan,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26350" name="Obraz 1" descr="Obraz zawierający tekst, diagram, Plan, mapa&#10;&#10;Opis wygenerowany automatycznie"/>
                    <pic:cNvPicPr/>
                  </pic:nvPicPr>
                  <pic:blipFill>
                    <a:blip r:embed="rId16">
                      <a:extLst>
                        <a:ext uri="{28A0092B-C50C-407E-A947-70E740481C1C}">
                          <a14:useLocalDpi xmlns:a14="http://schemas.microsoft.com/office/drawing/2010/main" val="0"/>
                        </a:ext>
                      </a:extLst>
                    </a:blip>
                    <a:stretch>
                      <a:fillRect/>
                    </a:stretch>
                  </pic:blipFill>
                  <pic:spPr>
                    <a:xfrm>
                      <a:off x="0" y="0"/>
                      <a:ext cx="13374219" cy="9347841"/>
                    </a:xfrm>
                    <a:prstGeom prst="rect">
                      <a:avLst/>
                    </a:prstGeom>
                  </pic:spPr>
                </pic:pic>
              </a:graphicData>
            </a:graphic>
          </wp:inline>
        </w:drawing>
      </w:r>
    </w:p>
    <w:p w14:paraId="58B5190B" w14:textId="77777777" w:rsidR="00BD3058" w:rsidRDefault="00BD3058" w:rsidP="00C41720">
      <w:pPr>
        <w:jc w:val="center"/>
        <w:rPr>
          <w:sz w:val="28"/>
          <w:szCs w:val="28"/>
        </w:rPr>
        <w:sectPr w:rsidR="00BD3058" w:rsidSect="009D3446">
          <w:headerReference w:type="default" r:id="rId17"/>
          <w:footerReference w:type="default" r:id="rId18"/>
          <w:pgSz w:w="23811" w:h="16838" w:orient="landscape" w:code="8"/>
          <w:pgMar w:top="720" w:right="720" w:bottom="720" w:left="720" w:header="709" w:footer="709" w:gutter="0"/>
          <w:pgNumType w:start="1"/>
          <w:cols w:space="708"/>
          <w:docGrid w:linePitch="600" w:charSpace="32768"/>
        </w:sectPr>
      </w:pPr>
    </w:p>
    <w:p w14:paraId="09E83F7C" w14:textId="77777777" w:rsidR="00BD3058" w:rsidRPr="00BD3058" w:rsidRDefault="00BD3058" w:rsidP="00BD3058">
      <w:pPr>
        <w:spacing w:after="120" w:line="240" w:lineRule="auto"/>
        <w:jc w:val="both"/>
        <w:rPr>
          <w:rFonts w:ascii="Calibri" w:hAnsi="Calibri" w:cs="Calibri"/>
          <w:sz w:val="28"/>
        </w:rPr>
      </w:pPr>
      <w:r w:rsidRPr="00BD3058">
        <w:rPr>
          <w:rFonts w:ascii="Calibri" w:hAnsi="Calibri" w:cs="Calibri"/>
          <w:sz w:val="28"/>
        </w:rPr>
        <w:lastRenderedPageBreak/>
        <w:t>PPSPP.6730.148.2023.GMON</w:t>
      </w:r>
    </w:p>
    <w:p w14:paraId="2DD83F9B" w14:textId="77777777" w:rsidR="00BD3058" w:rsidRPr="00BD3058" w:rsidRDefault="00BD3058" w:rsidP="00BD3058">
      <w:pPr>
        <w:spacing w:after="120" w:line="240" w:lineRule="auto"/>
        <w:jc w:val="both"/>
        <w:rPr>
          <w:rFonts w:ascii="Calibri" w:hAnsi="Calibri" w:cs="Calibri"/>
          <w:sz w:val="28"/>
        </w:rPr>
      </w:pPr>
    </w:p>
    <w:p w14:paraId="5C0CE2B1" w14:textId="77777777" w:rsidR="00BD3058" w:rsidRPr="00BD3058" w:rsidRDefault="00BD3058" w:rsidP="00BD3058">
      <w:pPr>
        <w:spacing w:after="120" w:line="240" w:lineRule="auto"/>
        <w:jc w:val="center"/>
        <w:rPr>
          <w:rFonts w:ascii="Calibri" w:hAnsi="Calibri" w:cs="Calibri"/>
          <w:sz w:val="28"/>
        </w:rPr>
      </w:pPr>
      <w:r w:rsidRPr="00BD3058">
        <w:rPr>
          <w:rFonts w:ascii="Calibri" w:hAnsi="Calibri" w:cs="Calibri"/>
          <w:sz w:val="28"/>
        </w:rPr>
        <w:t>Wyniki analizy funkcji oraz cech zabudowy i zagospodarowania terenu w zakresie warunków, o których mowa w art. 61 ust. 1 – 5 ustawy z dnia 27 marca 2003 r. o planowaniu i zagospodarowaniu przestrzennym</w:t>
      </w:r>
    </w:p>
    <w:p w14:paraId="756181C8" w14:textId="77777777" w:rsidR="00BD3058" w:rsidRPr="00BD3058" w:rsidRDefault="00BD3058" w:rsidP="00BD3058">
      <w:pPr>
        <w:spacing w:after="120" w:line="240" w:lineRule="auto"/>
        <w:jc w:val="center"/>
        <w:rPr>
          <w:rFonts w:ascii="Calibri" w:hAnsi="Calibri" w:cs="Calibri"/>
          <w:sz w:val="28"/>
        </w:rPr>
      </w:pPr>
    </w:p>
    <w:p w14:paraId="38BCBB8F" w14:textId="77777777" w:rsidR="00BD3058" w:rsidRPr="00BD3058" w:rsidRDefault="00BD3058" w:rsidP="00BD3058">
      <w:pPr>
        <w:spacing w:after="120" w:line="240" w:lineRule="auto"/>
        <w:ind w:firstLine="567"/>
        <w:jc w:val="both"/>
        <w:rPr>
          <w:rFonts w:ascii="Calibri" w:hAnsi="Calibri" w:cs="Calibri"/>
          <w:sz w:val="28"/>
        </w:rPr>
      </w:pPr>
      <w:r w:rsidRPr="00BD3058">
        <w:rPr>
          <w:rFonts w:ascii="Calibri" w:hAnsi="Calibri" w:cs="Calibri"/>
          <w:sz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880"/>
        <w:gridCol w:w="5961"/>
        <w:gridCol w:w="1828"/>
      </w:tblGrid>
      <w:tr w:rsidR="00BD3058" w:rsidRPr="00BD3058" w14:paraId="07A351BB" w14:textId="77777777" w:rsidTr="002408E6">
        <w:tc>
          <w:tcPr>
            <w:tcW w:w="6841" w:type="dxa"/>
            <w:gridSpan w:val="2"/>
            <w:tcBorders>
              <w:right w:val="dotted" w:sz="4" w:space="0" w:color="auto"/>
            </w:tcBorders>
            <w:vAlign w:val="center"/>
          </w:tcPr>
          <w:p w14:paraId="3B7437FD"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Punkt i treść warunku, o którym mowa w art. 61 ust. 1</w:t>
            </w:r>
          </w:p>
        </w:tc>
        <w:tc>
          <w:tcPr>
            <w:tcW w:w="1828" w:type="dxa"/>
            <w:tcBorders>
              <w:left w:val="dotted" w:sz="4" w:space="0" w:color="auto"/>
            </w:tcBorders>
            <w:vAlign w:val="center"/>
          </w:tcPr>
          <w:p w14:paraId="7494B2FC"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Spełnienie warunku</w:t>
            </w:r>
          </w:p>
        </w:tc>
      </w:tr>
      <w:tr w:rsidR="00BD3058" w:rsidRPr="00BD3058" w14:paraId="0A3AD4A6" w14:textId="77777777" w:rsidTr="002408E6">
        <w:tc>
          <w:tcPr>
            <w:tcW w:w="880" w:type="dxa"/>
            <w:tcBorders>
              <w:bottom w:val="single" w:sz="2" w:space="0" w:color="auto"/>
              <w:right w:val="dotted" w:sz="4" w:space="0" w:color="auto"/>
            </w:tcBorders>
            <w:vAlign w:val="center"/>
          </w:tcPr>
          <w:p w14:paraId="1F8320DE"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pkt 1</w:t>
            </w:r>
          </w:p>
        </w:tc>
        <w:tc>
          <w:tcPr>
            <w:tcW w:w="5961" w:type="dxa"/>
            <w:tcBorders>
              <w:left w:val="dotted" w:sz="4" w:space="0" w:color="auto"/>
              <w:bottom w:val="single" w:sz="2" w:space="0" w:color="auto"/>
              <w:right w:val="dotted" w:sz="4" w:space="0" w:color="auto"/>
            </w:tcBorders>
          </w:tcPr>
          <w:p w14:paraId="0490A564"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3C259E68"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tak</w:t>
            </w:r>
          </w:p>
        </w:tc>
      </w:tr>
      <w:tr w:rsidR="00BD3058" w:rsidRPr="00BD3058" w14:paraId="3B84BEB6" w14:textId="77777777" w:rsidTr="002408E6">
        <w:tc>
          <w:tcPr>
            <w:tcW w:w="880" w:type="dxa"/>
            <w:tcBorders>
              <w:top w:val="single" w:sz="2" w:space="0" w:color="auto"/>
              <w:bottom w:val="single" w:sz="2" w:space="0" w:color="auto"/>
              <w:right w:val="dotted" w:sz="4" w:space="0" w:color="auto"/>
            </w:tcBorders>
            <w:vAlign w:val="center"/>
          </w:tcPr>
          <w:p w14:paraId="0DFCA81E"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pkt 2</w:t>
            </w:r>
          </w:p>
        </w:tc>
        <w:tc>
          <w:tcPr>
            <w:tcW w:w="5961" w:type="dxa"/>
            <w:tcBorders>
              <w:top w:val="single" w:sz="2" w:space="0" w:color="auto"/>
              <w:left w:val="dotted" w:sz="4" w:space="0" w:color="auto"/>
              <w:bottom w:val="single" w:sz="2" w:space="0" w:color="auto"/>
              <w:right w:val="dotted" w:sz="4" w:space="0" w:color="auto"/>
            </w:tcBorders>
          </w:tcPr>
          <w:p w14:paraId="30CA4923" w14:textId="77777777" w:rsidR="00BD3058" w:rsidRPr="00BD3058" w:rsidRDefault="00BD3058" w:rsidP="00BD3058">
            <w:pPr>
              <w:spacing w:after="120"/>
              <w:jc w:val="both"/>
              <w:rPr>
                <w:rFonts w:ascii="Calibri" w:eastAsia="Times New Roman" w:hAnsi="Calibri" w:cs="Calibri"/>
                <w:sz w:val="24"/>
                <w:szCs w:val="24"/>
                <w:lang w:eastAsia="pl-PL"/>
              </w:rPr>
            </w:pPr>
            <w:bookmarkStart w:id="4" w:name="mip44711609"/>
            <w:bookmarkEnd w:id="4"/>
            <w:r w:rsidRPr="00BD3058">
              <w:rPr>
                <w:rFonts w:ascii="Calibri" w:eastAsia="Times New Roman" w:hAnsi="Calibri" w:cs="Calibri"/>
                <w:sz w:val="24"/>
                <w:szCs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5B648D11"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tak</w:t>
            </w:r>
          </w:p>
        </w:tc>
      </w:tr>
      <w:tr w:rsidR="00BD3058" w:rsidRPr="00BD3058" w14:paraId="49D89A0C" w14:textId="77777777" w:rsidTr="002408E6">
        <w:tc>
          <w:tcPr>
            <w:tcW w:w="880" w:type="dxa"/>
            <w:tcBorders>
              <w:top w:val="single" w:sz="2" w:space="0" w:color="auto"/>
              <w:bottom w:val="single" w:sz="2" w:space="0" w:color="auto"/>
              <w:right w:val="dotted" w:sz="4" w:space="0" w:color="auto"/>
            </w:tcBorders>
            <w:vAlign w:val="center"/>
          </w:tcPr>
          <w:p w14:paraId="6E95176B"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pkt 3</w:t>
            </w:r>
          </w:p>
        </w:tc>
        <w:tc>
          <w:tcPr>
            <w:tcW w:w="5961" w:type="dxa"/>
            <w:tcBorders>
              <w:top w:val="single" w:sz="2" w:space="0" w:color="auto"/>
              <w:left w:val="dotted" w:sz="4" w:space="0" w:color="auto"/>
              <w:bottom w:val="single" w:sz="2" w:space="0" w:color="auto"/>
              <w:right w:val="dotted" w:sz="4" w:space="0" w:color="auto"/>
            </w:tcBorders>
          </w:tcPr>
          <w:p w14:paraId="68B052C3"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4F63FC73"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tak</w:t>
            </w:r>
          </w:p>
        </w:tc>
      </w:tr>
      <w:tr w:rsidR="00BD3058" w:rsidRPr="00BD3058" w14:paraId="4881DA6C" w14:textId="77777777" w:rsidTr="002408E6">
        <w:tc>
          <w:tcPr>
            <w:tcW w:w="880" w:type="dxa"/>
            <w:tcBorders>
              <w:top w:val="single" w:sz="2" w:space="0" w:color="auto"/>
              <w:bottom w:val="single" w:sz="2" w:space="0" w:color="auto"/>
              <w:right w:val="dotted" w:sz="4" w:space="0" w:color="auto"/>
            </w:tcBorders>
            <w:vAlign w:val="center"/>
          </w:tcPr>
          <w:p w14:paraId="159AA923"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pkt 4</w:t>
            </w:r>
          </w:p>
        </w:tc>
        <w:tc>
          <w:tcPr>
            <w:tcW w:w="5961" w:type="dxa"/>
            <w:tcBorders>
              <w:top w:val="single" w:sz="2" w:space="0" w:color="auto"/>
              <w:left w:val="dotted" w:sz="4" w:space="0" w:color="auto"/>
              <w:bottom w:val="single" w:sz="2" w:space="0" w:color="auto"/>
              <w:right w:val="dotted" w:sz="4" w:space="0" w:color="auto"/>
            </w:tcBorders>
          </w:tcPr>
          <w:p w14:paraId="695750F8"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teren nie wymaga</w:t>
            </w:r>
            <w:r w:rsidRPr="00BD3058">
              <w:rPr>
                <w:rFonts w:ascii="Calibri" w:hAnsi="Calibri" w:cs="Calibri"/>
                <w:i/>
                <w:sz w:val="24"/>
                <w:szCs w:val="24"/>
              </w:rPr>
              <w:t xml:space="preserve"> </w:t>
            </w:r>
            <w:r w:rsidRPr="00BD3058">
              <w:rPr>
                <w:rFonts w:ascii="Calibri" w:hAnsi="Calibri" w:cs="Calibr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55CA2F35"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 xml:space="preserve">tak </w:t>
            </w:r>
          </w:p>
        </w:tc>
      </w:tr>
      <w:tr w:rsidR="00BD3058" w:rsidRPr="00BD3058" w14:paraId="5CED0F36" w14:textId="77777777" w:rsidTr="002408E6">
        <w:tc>
          <w:tcPr>
            <w:tcW w:w="880" w:type="dxa"/>
            <w:tcBorders>
              <w:top w:val="single" w:sz="2" w:space="0" w:color="auto"/>
              <w:bottom w:val="single" w:sz="2" w:space="0" w:color="auto"/>
              <w:right w:val="dotted" w:sz="4" w:space="0" w:color="auto"/>
            </w:tcBorders>
            <w:vAlign w:val="center"/>
          </w:tcPr>
          <w:p w14:paraId="38A536BA"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pkt 5</w:t>
            </w:r>
          </w:p>
        </w:tc>
        <w:tc>
          <w:tcPr>
            <w:tcW w:w="5961" w:type="dxa"/>
            <w:tcBorders>
              <w:top w:val="single" w:sz="2" w:space="0" w:color="auto"/>
              <w:left w:val="dotted" w:sz="4" w:space="0" w:color="auto"/>
              <w:bottom w:val="single" w:sz="2" w:space="0" w:color="auto"/>
              <w:right w:val="dotted" w:sz="4" w:space="0" w:color="auto"/>
            </w:tcBorders>
          </w:tcPr>
          <w:p w14:paraId="35316113"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4265F822"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tak</w:t>
            </w:r>
          </w:p>
        </w:tc>
      </w:tr>
      <w:tr w:rsidR="00BD3058" w:rsidRPr="00BD3058" w14:paraId="0FABB56D" w14:textId="77777777" w:rsidTr="002408E6">
        <w:tc>
          <w:tcPr>
            <w:tcW w:w="880" w:type="dxa"/>
            <w:tcBorders>
              <w:top w:val="single" w:sz="2" w:space="0" w:color="auto"/>
              <w:right w:val="dotted" w:sz="4" w:space="0" w:color="auto"/>
            </w:tcBorders>
            <w:vAlign w:val="center"/>
          </w:tcPr>
          <w:p w14:paraId="0D6D62D0"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pkt 6</w:t>
            </w:r>
          </w:p>
        </w:tc>
        <w:tc>
          <w:tcPr>
            <w:tcW w:w="5961" w:type="dxa"/>
            <w:tcBorders>
              <w:top w:val="single" w:sz="2" w:space="0" w:color="auto"/>
              <w:left w:val="dotted" w:sz="4" w:space="0" w:color="auto"/>
              <w:right w:val="dotted" w:sz="4" w:space="0" w:color="auto"/>
            </w:tcBorders>
          </w:tcPr>
          <w:p w14:paraId="38747106"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tcBorders>
              <w:top w:val="single" w:sz="2" w:space="0" w:color="auto"/>
              <w:left w:val="dotted" w:sz="4" w:space="0" w:color="auto"/>
            </w:tcBorders>
            <w:vAlign w:val="center"/>
          </w:tcPr>
          <w:p w14:paraId="6620B424"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 xml:space="preserve">tak </w:t>
            </w:r>
          </w:p>
        </w:tc>
      </w:tr>
    </w:tbl>
    <w:p w14:paraId="495BE319" w14:textId="77777777" w:rsidR="00BD3058" w:rsidRPr="00BD3058" w:rsidRDefault="00BD3058" w:rsidP="00BD3058">
      <w:pPr>
        <w:spacing w:after="120" w:line="240" w:lineRule="auto"/>
        <w:jc w:val="both"/>
        <w:rPr>
          <w:rFonts w:ascii="Calibri" w:hAnsi="Calibri" w:cs="Calibri"/>
          <w:sz w:val="28"/>
        </w:rPr>
      </w:pPr>
    </w:p>
    <w:p w14:paraId="65242161" w14:textId="77777777" w:rsidR="00BD3058" w:rsidRPr="00BD3058" w:rsidRDefault="00BD3058" w:rsidP="00BD3058">
      <w:pPr>
        <w:spacing w:after="120" w:line="240" w:lineRule="auto"/>
        <w:jc w:val="both"/>
        <w:rPr>
          <w:rFonts w:ascii="Calibri" w:hAnsi="Calibri" w:cs="Calibri"/>
          <w:sz w:val="28"/>
        </w:rPr>
        <w:sectPr w:rsidR="00BD3058" w:rsidRPr="00BD3058" w:rsidSect="009D3446">
          <w:headerReference w:type="default" r:id="rId19"/>
          <w:footerReference w:type="default" r:id="rId20"/>
          <w:pgSz w:w="11906" w:h="16838"/>
          <w:pgMar w:top="1418" w:right="1418" w:bottom="1701" w:left="1701" w:header="709" w:footer="709" w:gutter="0"/>
          <w:cols w:space="708"/>
          <w:docGrid w:linePitch="600" w:charSpace="32768"/>
        </w:sectPr>
      </w:pPr>
    </w:p>
    <w:p w14:paraId="36216446" w14:textId="77777777" w:rsidR="00BD3058" w:rsidRPr="00BD3058" w:rsidRDefault="00BD3058" w:rsidP="00BD3058">
      <w:pPr>
        <w:spacing w:after="120" w:line="240" w:lineRule="auto"/>
        <w:ind w:firstLine="567"/>
        <w:jc w:val="both"/>
        <w:rPr>
          <w:rFonts w:ascii="Calibri" w:hAnsi="Calibri" w:cs="Calibri"/>
          <w:sz w:val="28"/>
        </w:rPr>
      </w:pPr>
      <w:r w:rsidRPr="00BD3058">
        <w:rPr>
          <w:rFonts w:ascii="Calibri" w:hAnsi="Calibri" w:cs="Calibri"/>
          <w:sz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p w14:paraId="3A10A9B2" w14:textId="77777777" w:rsidR="00BD3058" w:rsidRPr="00BD3058" w:rsidRDefault="00BD3058" w:rsidP="00BD3058">
      <w:pPr>
        <w:spacing w:after="120" w:line="240" w:lineRule="auto"/>
        <w:ind w:firstLine="567"/>
        <w:jc w:val="both"/>
        <w:rPr>
          <w:rFonts w:ascii="Calibri" w:hAnsi="Calibri" w:cs="Calibri"/>
          <w:sz w:val="28"/>
        </w:rPr>
      </w:pPr>
    </w:p>
    <w:tbl>
      <w:tblPr>
        <w:tblStyle w:val="Tabela-Siatka"/>
        <w:tblW w:w="0" w:type="auto"/>
        <w:tblInd w:w="108" w:type="dxa"/>
        <w:tblLook w:val="04A0" w:firstRow="1" w:lastRow="0" w:firstColumn="1" w:lastColumn="0" w:noHBand="0" w:noVBand="1"/>
      </w:tblPr>
      <w:tblGrid>
        <w:gridCol w:w="3513"/>
        <w:gridCol w:w="10088"/>
      </w:tblGrid>
      <w:tr w:rsidR="00BD3058" w:rsidRPr="00BD3058" w14:paraId="1EEAE7B1" w14:textId="77777777" w:rsidTr="002408E6">
        <w:trPr>
          <w:tblHeader/>
        </w:trPr>
        <w:tc>
          <w:tcPr>
            <w:tcW w:w="3544" w:type="dxa"/>
            <w:tcBorders>
              <w:right w:val="dotted" w:sz="4" w:space="0" w:color="auto"/>
            </w:tcBorders>
            <w:vAlign w:val="center"/>
          </w:tcPr>
          <w:p w14:paraId="2C4AEA75"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Wymagania nowej zabudowy</w:t>
            </w:r>
          </w:p>
        </w:tc>
        <w:tc>
          <w:tcPr>
            <w:tcW w:w="10206" w:type="dxa"/>
            <w:tcBorders>
              <w:left w:val="dotted" w:sz="4" w:space="0" w:color="auto"/>
            </w:tcBorders>
            <w:vAlign w:val="center"/>
          </w:tcPr>
          <w:p w14:paraId="51114758" w14:textId="77777777" w:rsidR="00BD3058" w:rsidRPr="00BD3058" w:rsidRDefault="00BD3058" w:rsidP="00BD3058">
            <w:pPr>
              <w:spacing w:after="120"/>
              <w:jc w:val="center"/>
              <w:rPr>
                <w:rFonts w:ascii="Calibri" w:hAnsi="Calibri" w:cs="Calibri"/>
                <w:sz w:val="24"/>
                <w:szCs w:val="24"/>
              </w:rPr>
            </w:pPr>
            <w:r w:rsidRPr="00BD3058">
              <w:rPr>
                <w:rFonts w:ascii="Calibri" w:hAnsi="Calibri" w:cs="Calibri"/>
                <w:sz w:val="24"/>
                <w:szCs w:val="24"/>
              </w:rPr>
              <w:t>Sposób ustalenia wymagań</w:t>
            </w:r>
          </w:p>
        </w:tc>
      </w:tr>
      <w:tr w:rsidR="00BD3058" w:rsidRPr="00BD3058" w14:paraId="40C10EBE" w14:textId="77777777" w:rsidTr="002408E6">
        <w:tc>
          <w:tcPr>
            <w:tcW w:w="3544" w:type="dxa"/>
            <w:tcBorders>
              <w:bottom w:val="single" w:sz="2" w:space="0" w:color="auto"/>
              <w:right w:val="dotted" w:sz="4" w:space="0" w:color="auto"/>
            </w:tcBorders>
            <w:vAlign w:val="center"/>
          </w:tcPr>
          <w:p w14:paraId="34C73A48"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Linia zabudowy</w:t>
            </w:r>
          </w:p>
        </w:tc>
        <w:tc>
          <w:tcPr>
            <w:tcW w:w="10206" w:type="dxa"/>
            <w:tcBorders>
              <w:left w:val="dotted" w:sz="4" w:space="0" w:color="auto"/>
              <w:bottom w:val="single" w:sz="2" w:space="0" w:color="auto"/>
            </w:tcBorders>
          </w:tcPr>
          <w:p w14:paraId="5A13B2D9"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 xml:space="preserve">zgodnie z § 4 ust. 2: zgodnie z przepisami odrębnymi – w odległości 6,0 m od granicy planowanej drogi wewnętrznej. </w:t>
            </w:r>
          </w:p>
        </w:tc>
      </w:tr>
      <w:tr w:rsidR="00BD3058" w:rsidRPr="00BD3058" w14:paraId="29A22763" w14:textId="77777777" w:rsidTr="002408E6">
        <w:tc>
          <w:tcPr>
            <w:tcW w:w="3544" w:type="dxa"/>
            <w:tcBorders>
              <w:top w:val="single" w:sz="2" w:space="0" w:color="auto"/>
              <w:bottom w:val="single" w:sz="2" w:space="0" w:color="auto"/>
              <w:right w:val="dotted" w:sz="4" w:space="0" w:color="auto"/>
            </w:tcBorders>
            <w:vAlign w:val="center"/>
          </w:tcPr>
          <w:p w14:paraId="495F55AE" w14:textId="77777777" w:rsidR="00BD3058" w:rsidRPr="00BD3058" w:rsidRDefault="00BD3058" w:rsidP="00BD3058">
            <w:pPr>
              <w:spacing w:after="120"/>
              <w:jc w:val="both"/>
              <w:rPr>
                <w:rFonts w:ascii="Calibri" w:eastAsia="Times New Roman" w:hAnsi="Calibri" w:cs="Calibri"/>
                <w:sz w:val="24"/>
                <w:szCs w:val="24"/>
                <w:lang w:eastAsia="pl-PL"/>
              </w:rPr>
            </w:pPr>
            <w:r w:rsidRPr="00BD3058">
              <w:rPr>
                <w:rFonts w:ascii="Calibri" w:hAnsi="Calibri" w:cs="Calibri"/>
                <w:sz w:val="24"/>
                <w:szCs w:val="24"/>
              </w:rPr>
              <w:t>Wskaźnik wielkości powierzchni nowej zabudowy w stosunku do powierzchni terenu</w:t>
            </w:r>
          </w:p>
        </w:tc>
        <w:tc>
          <w:tcPr>
            <w:tcW w:w="10206" w:type="dxa"/>
            <w:tcBorders>
              <w:top w:val="single" w:sz="2" w:space="0" w:color="auto"/>
              <w:left w:val="dotted" w:sz="4" w:space="0" w:color="auto"/>
              <w:bottom w:val="single" w:sz="2" w:space="0" w:color="auto"/>
            </w:tcBorders>
          </w:tcPr>
          <w:p w14:paraId="6966D910"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zgodnie z § 5 ust. 2:</w:t>
            </w:r>
            <w:r w:rsidRPr="00BD3058">
              <w:rPr>
                <w:rFonts w:ascii="Calibri" w:hAnsi="Calibri" w:cs="Calibri"/>
              </w:rPr>
              <w:t xml:space="preserve"> </w:t>
            </w:r>
            <w:r w:rsidRPr="00BD3058">
              <w:rPr>
                <w:rFonts w:ascii="Calibri" w:hAnsi="Calibri" w:cs="Calibri"/>
                <w:sz w:val="24"/>
                <w:szCs w:val="24"/>
              </w:rPr>
              <w:t>w inny sposób, jeżeli wynika to z analizy. Średni wskaźnik w obszarze analizowanym wynosi 11,3 %, przy czym w obszarze analizowanym waha się pomiędzy 3,9 % a 27,6 %, przy czym wskaźnik maksymalny jest znacznie wyższy od pozostałych występujących w obszarze analizowanym. Planowana inwestycja charakteryzuje się wskaźnikiem na poziomie do 14,9 % powierzchni terenu. Wskaźniki te są pośrednimi wśród wskaźników istniejących w obszarze analizowanym, bowiem wskaźniki na działkach o nr ewid. 79; 80, 81, 82; 83/2; 84/1; 101/1; 99/8; 99/9; 85/2; 86/1; 87/1; 86/3; 86/4; 87/2; 87/3; 87/4; 425/13; 425/14; 425/15; 425/16; 425/16; 426/17; 425/18; 425/19; 425/20; 425/21; 425/22, wynoszą odpowiednio: 4,0 %, 3,9 %, 14,9 %, 9,1 %, 5,3 %, 10,2 %, 5,2 %, 5,4 %, 13,9 %, 4,6 %, 27,6 %, 12,6 %, 13,8 %, 13,6 %, 9,2 %, 13,7 %, 11,3 %, 17,2 %, 11,2 %, 14,6 %, 14,9 %, 12,4 %, 10,1 %, 9,5 %, 13,5 %. Z tego względu, przy uwzględnieniu uwarunkowań zaistniałych w obszarze poddanym analizie, wskaźnik powierzchni nowej zabudowy ustalono na poziomie od 13,9 % do 14,9 % powierzchni każdego z terenów A i B. Jest to zakres wyższy od wskaźnika średniego, ale występujący na terenach w obszarze analizowanym.</w:t>
            </w:r>
          </w:p>
        </w:tc>
      </w:tr>
      <w:tr w:rsidR="00BD3058" w:rsidRPr="00BD3058" w14:paraId="58A56D8D" w14:textId="77777777" w:rsidTr="002408E6">
        <w:tc>
          <w:tcPr>
            <w:tcW w:w="3544" w:type="dxa"/>
            <w:tcBorders>
              <w:top w:val="single" w:sz="2" w:space="0" w:color="auto"/>
              <w:bottom w:val="single" w:sz="2" w:space="0" w:color="auto"/>
              <w:right w:val="dotted" w:sz="4" w:space="0" w:color="auto"/>
            </w:tcBorders>
            <w:vAlign w:val="center"/>
          </w:tcPr>
          <w:p w14:paraId="4CCDBC02" w14:textId="77777777" w:rsidR="00BD3058" w:rsidRPr="00BD3058" w:rsidRDefault="00BD3058" w:rsidP="00BD3058">
            <w:pPr>
              <w:spacing w:after="120"/>
              <w:jc w:val="both"/>
              <w:rPr>
                <w:rFonts w:ascii="Calibri" w:eastAsia="Times New Roman" w:hAnsi="Calibri" w:cs="Calibri"/>
                <w:sz w:val="24"/>
                <w:szCs w:val="24"/>
                <w:lang w:eastAsia="pl-PL"/>
              </w:rPr>
            </w:pPr>
            <w:bookmarkStart w:id="5" w:name="mip10826116"/>
            <w:bookmarkEnd w:id="5"/>
            <w:r w:rsidRPr="00BD3058">
              <w:rPr>
                <w:rFonts w:ascii="Calibri" w:eastAsia="Times New Roman" w:hAnsi="Calibri" w:cs="Calibri"/>
                <w:sz w:val="24"/>
                <w:szCs w:val="24"/>
                <w:lang w:eastAsia="pl-PL"/>
              </w:rPr>
              <w:t>Szerokość elewacji frontowej budynku</w:t>
            </w:r>
          </w:p>
        </w:tc>
        <w:tc>
          <w:tcPr>
            <w:tcW w:w="10206" w:type="dxa"/>
            <w:tcBorders>
              <w:top w:val="single" w:sz="2" w:space="0" w:color="auto"/>
              <w:left w:val="dotted" w:sz="4" w:space="0" w:color="auto"/>
              <w:bottom w:val="single" w:sz="2" w:space="0" w:color="auto"/>
            </w:tcBorders>
          </w:tcPr>
          <w:p w14:paraId="0BB277AA"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 xml:space="preserve">zgodnie z § 6 ust. 2: na podstawie szerokości elewacji frontowych budynków występujących w obszarze analizowanym. Na podstawie średniej szerokości elewacji dla obszaru analizowanego z tolerancją ±20 %, przy średniej szerokości elewacji wynoszącej 11,6 m budynki powinny charakteryzować się szerokościami od 9,2 m do 13,9 m. Wnioskowana szerokość elewacji frontowej budynku mieszkalnego (od 10,1 m do 18,9 m) nie mieści się w ramach standardowo wyznaczonej </w:t>
            </w:r>
            <w:r w:rsidRPr="00BD3058">
              <w:rPr>
                <w:rFonts w:ascii="Calibri" w:hAnsi="Calibri" w:cs="Calibri"/>
                <w:sz w:val="24"/>
                <w:szCs w:val="24"/>
              </w:rPr>
              <w:lastRenderedPageBreak/>
              <w:t xml:space="preserve">wielkości, ale mieści się w przedziale szerokości elewacji występujących w obszarze analizowanym w przedziale od 3,2 m do 21,3 m, przy czym budynki mieszkalne charakteryzują się szerokościami od 8,0 m do 21,3 m. Szerokości elewacji budynków mieszkalnych na działkach w obszarze analizowanym o nr ewid.: 79; 80, 81, 82; 83/2; 84/1; 101/1; 99/8; 99/9; 85/2; 86/1; 86/3; 86/4; 87/2; 87/3; 87/4; 425/13; 425/14; 425/15; 425/16; 425/16; 426/17; 425/18; 425/19; 425/20; 425/21; 425/22, wynoszą odpowiednio: 8,0 m, 12,5 m i 11,0 m, 10,5 m, 14,8  m, 18,3 m, 11,2  m, 13,0 m, 10,1  m, 12,1 m, 12,7 m, 12,2 m, 12,9 m, 14,2  m, 13,5 m, 12,7 m, 18,1 m, 21,3 m, 14,5 m, 14,1 m, 18,9 m, 15,9 m, 15,6 m, 12,5 m, 15,9 m. Szerokość projektowanych budynków ze względu na zróżnicowanie istniejącej zabudowy oraz na fakt, iż powinna charakteryzować się szerokością pośrednią wśród budynków występujących w sąsiedztwie, ustalono na poziomie od 10,1 m do 18,9 m, bowiem są to wartości występujące w obszarze analizowanym oraz najbliższe wartościom wnioskowanym. </w:t>
            </w:r>
          </w:p>
        </w:tc>
      </w:tr>
      <w:tr w:rsidR="00BD3058" w:rsidRPr="00BD3058" w14:paraId="6E75632A" w14:textId="77777777" w:rsidTr="002408E6">
        <w:tc>
          <w:tcPr>
            <w:tcW w:w="3544" w:type="dxa"/>
            <w:tcBorders>
              <w:top w:val="single" w:sz="2" w:space="0" w:color="auto"/>
              <w:bottom w:val="single" w:sz="2" w:space="0" w:color="auto"/>
              <w:right w:val="dotted" w:sz="4" w:space="0" w:color="auto"/>
            </w:tcBorders>
            <w:vAlign w:val="center"/>
          </w:tcPr>
          <w:p w14:paraId="5D68AE49"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lastRenderedPageBreak/>
              <w:t>Wysokość górnej krawędzi elewacji frontowej</w:t>
            </w:r>
          </w:p>
        </w:tc>
        <w:tc>
          <w:tcPr>
            <w:tcW w:w="10206" w:type="dxa"/>
            <w:tcBorders>
              <w:top w:val="single" w:sz="2" w:space="0" w:color="auto"/>
              <w:left w:val="dotted" w:sz="4" w:space="0" w:color="auto"/>
              <w:bottom w:val="single" w:sz="2" w:space="0" w:color="auto"/>
            </w:tcBorders>
          </w:tcPr>
          <w:p w14:paraId="13F30E39"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 xml:space="preserve">zgodnie z § 7 ust. 4: w inny sposób (na podstawie wysokości istniejących budynków w obszarze analizowanym), jeżeli wynika to z analizy. Wysokość górnej krawędzi elewacji frontowej budynków usytuowanych kalenicowo do frontu terenu wynosi od 2,5 m do 4,0 m, a wysokość górnej krawędzi elewacji frontowej budynków w obszarze analizowanym, usytuowanych szczytowo w stosunku do frontu terenu wynosi od 6,0 m do 7,5 m. W przedmiotowym obszarze występują również budynki gospodarcze / gospodarczo-garażowe o wysokości elewacji frontowej od 2,0 m do 7,5 m. Ponadto w obszarze analizowanym występują budynki z dachami tzw. płaskimi (o kącie nachylenia do 12°) o wysokości elewacji frontowej od 1,0 m do 7,5 m. Projektowane budynki, z wysokością elewacji frontowej od 6,1 m do 7,5 m dla budynków usytuowanych kalenicowo, charakteryzują się wysokościami niewystępującymi w obszarze analizowanym. Natomiast projektowane budynki z wysokością elewacji frontowej od 7,0 m do 7,5 m dla budynków usytuowanych szczytowo, charakteryzują się wysokościami zbliżonymi do występujących w obszarze analizowanym. W związku z powyższym wysokość górnej krawędzi elewacji frontowej ustalono na podstawie wysokości występujących w obszarze analizowanym, czyli od 3,0 m do 4,0 m dla budynków usytuowanych kalenicowo do frontu terenu i od 7,0 m do 7,5 m dla budynków usytuowanych szczytowo do frontu terenu. </w:t>
            </w:r>
          </w:p>
        </w:tc>
      </w:tr>
      <w:tr w:rsidR="00BD3058" w:rsidRPr="00BD3058" w14:paraId="102E1310" w14:textId="77777777" w:rsidTr="002408E6">
        <w:tc>
          <w:tcPr>
            <w:tcW w:w="13750" w:type="dxa"/>
            <w:gridSpan w:val="2"/>
            <w:tcBorders>
              <w:top w:val="single" w:sz="2" w:space="0" w:color="auto"/>
              <w:bottom w:val="dotted" w:sz="4" w:space="0" w:color="auto"/>
            </w:tcBorders>
            <w:vAlign w:val="center"/>
          </w:tcPr>
          <w:p w14:paraId="286A46E2"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lastRenderedPageBreak/>
              <w:t>Geometria dachu ustalona odpowiednio do geometrii dachów występujących na obszarze analizowanym</w:t>
            </w:r>
          </w:p>
        </w:tc>
      </w:tr>
      <w:tr w:rsidR="00BD3058" w:rsidRPr="00BD3058" w14:paraId="073C4E37" w14:textId="77777777" w:rsidTr="002408E6">
        <w:tc>
          <w:tcPr>
            <w:tcW w:w="3544" w:type="dxa"/>
            <w:tcBorders>
              <w:top w:val="dotted" w:sz="4" w:space="0" w:color="auto"/>
              <w:bottom w:val="dotted" w:sz="4" w:space="0" w:color="auto"/>
              <w:right w:val="dotted" w:sz="4" w:space="0" w:color="auto"/>
            </w:tcBorders>
            <w:vAlign w:val="center"/>
          </w:tcPr>
          <w:p w14:paraId="529E00D0"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kąt nachylenia</w:t>
            </w:r>
          </w:p>
        </w:tc>
        <w:tc>
          <w:tcPr>
            <w:tcW w:w="10206" w:type="dxa"/>
            <w:tcBorders>
              <w:top w:val="dotted" w:sz="4" w:space="0" w:color="auto"/>
              <w:left w:val="dotted" w:sz="4" w:space="0" w:color="auto"/>
              <w:bottom w:val="dotted" w:sz="4" w:space="0" w:color="auto"/>
            </w:tcBorders>
            <w:vAlign w:val="center"/>
          </w:tcPr>
          <w:p w14:paraId="129207A7"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od 30° do 40°  – w obszarze analizowanym występują dachy jedno- i dwuspadowe o kącie nachylenia od 20° do 40° oraz tzw. płaskie o kącie nachylenia do 12°</w:t>
            </w:r>
          </w:p>
        </w:tc>
      </w:tr>
      <w:tr w:rsidR="00BD3058" w:rsidRPr="00BD3058" w14:paraId="58F065DB" w14:textId="77777777" w:rsidTr="002408E6">
        <w:tc>
          <w:tcPr>
            <w:tcW w:w="3544" w:type="dxa"/>
            <w:tcBorders>
              <w:top w:val="dotted" w:sz="4" w:space="0" w:color="auto"/>
              <w:bottom w:val="dotted" w:sz="4" w:space="0" w:color="auto"/>
              <w:right w:val="dotted" w:sz="4" w:space="0" w:color="auto"/>
            </w:tcBorders>
            <w:vAlign w:val="center"/>
          </w:tcPr>
          <w:p w14:paraId="2F913E77"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wysokość budynku</w:t>
            </w:r>
          </w:p>
        </w:tc>
        <w:tc>
          <w:tcPr>
            <w:tcW w:w="10206" w:type="dxa"/>
            <w:tcBorders>
              <w:top w:val="dotted" w:sz="4" w:space="0" w:color="auto"/>
              <w:left w:val="dotted" w:sz="4" w:space="0" w:color="auto"/>
              <w:bottom w:val="dotted" w:sz="4" w:space="0" w:color="auto"/>
            </w:tcBorders>
            <w:vAlign w:val="center"/>
          </w:tcPr>
          <w:p w14:paraId="721634B1"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 xml:space="preserve">od 7,0 m do 8,0 m – wysokości głównej kalenicy budynków w obszarze analizowanym oscylują od 4,0 m do 8,0 m, a wysokości całkowite budynków od 1,0 m do 7,5 m </w:t>
            </w:r>
          </w:p>
        </w:tc>
      </w:tr>
      <w:tr w:rsidR="00BD3058" w:rsidRPr="00BD3058" w14:paraId="5C321570" w14:textId="77777777" w:rsidTr="002408E6">
        <w:tc>
          <w:tcPr>
            <w:tcW w:w="3544" w:type="dxa"/>
            <w:tcBorders>
              <w:top w:val="dotted" w:sz="4" w:space="0" w:color="auto"/>
              <w:bottom w:val="dotted" w:sz="4" w:space="0" w:color="auto"/>
              <w:right w:val="dotted" w:sz="4" w:space="0" w:color="auto"/>
            </w:tcBorders>
            <w:vAlign w:val="center"/>
          </w:tcPr>
          <w:p w14:paraId="198070A2"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6F6DA3CE"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 xml:space="preserve">dwuspadowy </w:t>
            </w:r>
          </w:p>
        </w:tc>
      </w:tr>
      <w:tr w:rsidR="00BD3058" w:rsidRPr="00BD3058" w14:paraId="3A816211" w14:textId="77777777" w:rsidTr="002408E6">
        <w:tc>
          <w:tcPr>
            <w:tcW w:w="3544" w:type="dxa"/>
            <w:tcBorders>
              <w:top w:val="dotted" w:sz="4" w:space="0" w:color="auto"/>
              <w:right w:val="dotted" w:sz="4" w:space="0" w:color="auto"/>
            </w:tcBorders>
            <w:vAlign w:val="center"/>
          </w:tcPr>
          <w:p w14:paraId="086D506B"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kierunek głównej kalenicy dachu w stosunku do frontu działki</w:t>
            </w:r>
          </w:p>
        </w:tc>
        <w:tc>
          <w:tcPr>
            <w:tcW w:w="10206" w:type="dxa"/>
            <w:tcBorders>
              <w:top w:val="dotted" w:sz="4" w:space="0" w:color="auto"/>
              <w:left w:val="dotted" w:sz="4" w:space="0" w:color="auto"/>
            </w:tcBorders>
            <w:vAlign w:val="center"/>
          </w:tcPr>
          <w:p w14:paraId="64B2CD78" w14:textId="77777777" w:rsidR="00BD3058" w:rsidRPr="00BD3058" w:rsidRDefault="00BD3058" w:rsidP="00BD3058">
            <w:pPr>
              <w:spacing w:after="120"/>
              <w:jc w:val="both"/>
              <w:rPr>
                <w:rFonts w:ascii="Calibri" w:hAnsi="Calibri" w:cs="Calibri"/>
                <w:sz w:val="24"/>
                <w:szCs w:val="24"/>
              </w:rPr>
            </w:pPr>
            <w:r w:rsidRPr="00BD3058">
              <w:rPr>
                <w:rFonts w:ascii="Calibri" w:hAnsi="Calibri" w:cs="Calibri"/>
                <w:sz w:val="24"/>
                <w:szCs w:val="24"/>
              </w:rPr>
              <w:t xml:space="preserve">kalenicowy lub szczytowy – w obszarze analizowanym występują dachy o kalenicowym (równoległym lub zbliżonym do równoległego) do frontu działki </w:t>
            </w:r>
            <w:bookmarkStart w:id="6" w:name="_Hlk149818554"/>
            <w:r w:rsidRPr="00BD3058">
              <w:rPr>
                <w:rFonts w:ascii="Calibri" w:hAnsi="Calibri" w:cs="Calibri"/>
                <w:sz w:val="24"/>
                <w:szCs w:val="24"/>
              </w:rPr>
              <w:t xml:space="preserve">i szczytowym (prostopadłym lub zbliżonym do prostopadłego) </w:t>
            </w:r>
            <w:bookmarkEnd w:id="6"/>
            <w:r w:rsidRPr="00BD3058">
              <w:rPr>
                <w:rFonts w:ascii="Calibri" w:hAnsi="Calibri" w:cs="Calibri"/>
                <w:sz w:val="24"/>
                <w:szCs w:val="24"/>
              </w:rPr>
              <w:t>kierunku kalenicy w  stosunku do frontu działki, przy czym w przypadku budynków mieszkalnych znacznie przeważają usytuowane kalenicowo do frontu działki</w:t>
            </w:r>
          </w:p>
        </w:tc>
      </w:tr>
    </w:tbl>
    <w:p w14:paraId="109BE81E" w14:textId="77777777" w:rsidR="00BD3058" w:rsidRPr="00BD3058" w:rsidRDefault="00BD3058" w:rsidP="00BD3058">
      <w:pPr>
        <w:spacing w:after="120" w:line="240" w:lineRule="auto"/>
        <w:jc w:val="both"/>
        <w:rPr>
          <w:rFonts w:ascii="Calibri" w:hAnsi="Calibri" w:cs="Calibri"/>
          <w:sz w:val="2"/>
          <w:szCs w:val="2"/>
        </w:rPr>
      </w:pPr>
    </w:p>
    <w:p w14:paraId="629E0DE1" w14:textId="77777777" w:rsidR="00BD3058" w:rsidRDefault="00BD3058" w:rsidP="00C41720">
      <w:pPr>
        <w:jc w:val="center"/>
        <w:rPr>
          <w:rFonts w:ascii="Calibri" w:hAnsi="Calibri" w:cs="Calibri"/>
          <w:sz w:val="28"/>
          <w:szCs w:val="28"/>
        </w:rPr>
      </w:pPr>
    </w:p>
    <w:p w14:paraId="2146EA13" w14:textId="388E90A0" w:rsidR="006838B1" w:rsidRDefault="006838B1">
      <w:pPr>
        <w:rPr>
          <w:rFonts w:ascii="Calibri" w:hAnsi="Calibri" w:cs="Calibri"/>
          <w:sz w:val="28"/>
          <w:szCs w:val="28"/>
        </w:rPr>
      </w:pPr>
      <w:r>
        <w:rPr>
          <w:rFonts w:ascii="Calibri" w:hAnsi="Calibri" w:cs="Calibri"/>
          <w:sz w:val="28"/>
          <w:szCs w:val="28"/>
        </w:rPr>
        <w:br w:type="page"/>
      </w:r>
    </w:p>
    <w:p w14:paraId="087F5CC2" w14:textId="77777777" w:rsidR="006838B1" w:rsidRDefault="006838B1" w:rsidP="00C41720">
      <w:pPr>
        <w:jc w:val="center"/>
        <w:rPr>
          <w:rFonts w:ascii="Calibri" w:hAnsi="Calibri" w:cs="Calibri"/>
          <w:sz w:val="28"/>
          <w:szCs w:val="28"/>
        </w:rPr>
        <w:sectPr w:rsidR="006838B1" w:rsidSect="009D3446">
          <w:pgSz w:w="16838" w:h="11906" w:orient="landscape"/>
          <w:pgMar w:top="1701" w:right="1418" w:bottom="1418" w:left="1701" w:header="709" w:footer="709" w:gutter="0"/>
          <w:cols w:space="708"/>
          <w:docGrid w:linePitch="600" w:charSpace="32768"/>
        </w:sectPr>
      </w:pPr>
    </w:p>
    <w:p w14:paraId="504F2D08" w14:textId="40E3E3B6" w:rsidR="006838B1" w:rsidRPr="00BD3058" w:rsidRDefault="006838B1" w:rsidP="00C41720">
      <w:pPr>
        <w:jc w:val="center"/>
        <w:rPr>
          <w:rFonts w:ascii="Calibri" w:hAnsi="Calibri" w:cs="Calibri"/>
          <w:sz w:val="28"/>
          <w:szCs w:val="28"/>
        </w:rPr>
      </w:pPr>
      <w:r>
        <w:rPr>
          <w:rFonts w:ascii="Calibri" w:hAnsi="Calibri" w:cs="Calibri"/>
          <w:noProof/>
          <w:sz w:val="28"/>
          <w:szCs w:val="28"/>
        </w:rPr>
        <w:lastRenderedPageBreak/>
        <w:drawing>
          <wp:inline distT="0" distB="0" distL="0" distR="0" wp14:anchorId="01A395E9" wp14:editId="084E8938">
            <wp:extent cx="12436715" cy="8959215"/>
            <wp:effectExtent l="0" t="0" r="3175" b="0"/>
            <wp:docPr id="248912523" name="Obraz 2"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12523" name="Obraz 2" descr="Obraz zawierający tekst, mapa, diagram, Plan&#10;&#10;Opis wygenerowany automatycznie"/>
                    <pic:cNvPicPr/>
                  </pic:nvPicPr>
                  <pic:blipFill>
                    <a:blip r:embed="rId21">
                      <a:extLst>
                        <a:ext uri="{28A0092B-C50C-407E-A947-70E740481C1C}">
                          <a14:useLocalDpi xmlns:a14="http://schemas.microsoft.com/office/drawing/2010/main" val="0"/>
                        </a:ext>
                      </a:extLst>
                    </a:blip>
                    <a:stretch>
                      <a:fillRect/>
                    </a:stretch>
                  </pic:blipFill>
                  <pic:spPr>
                    <a:xfrm>
                      <a:off x="0" y="0"/>
                      <a:ext cx="12437739" cy="8959953"/>
                    </a:xfrm>
                    <a:prstGeom prst="rect">
                      <a:avLst/>
                    </a:prstGeom>
                  </pic:spPr>
                </pic:pic>
              </a:graphicData>
            </a:graphic>
          </wp:inline>
        </w:drawing>
      </w:r>
    </w:p>
    <w:sectPr w:rsidR="006838B1" w:rsidRPr="00BD3058" w:rsidSect="009D3446">
      <w:headerReference w:type="default" r:id="rId22"/>
      <w:pgSz w:w="23811" w:h="16838" w:orient="landscape" w:code="8"/>
      <w:pgMar w:top="720" w:right="720" w:bottom="720" w:left="720"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521F4" w14:textId="77777777" w:rsidR="009D3446" w:rsidRDefault="009D3446" w:rsidP="00053E5A">
      <w:pPr>
        <w:spacing w:after="0" w:line="240" w:lineRule="auto"/>
      </w:pPr>
      <w:r>
        <w:separator/>
      </w:r>
    </w:p>
  </w:endnote>
  <w:endnote w:type="continuationSeparator" w:id="0">
    <w:p w14:paraId="4C61C77A" w14:textId="77777777" w:rsidR="009D3446" w:rsidRDefault="009D344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82C5D" w14:textId="77777777" w:rsidR="00DA2AFC" w:rsidRDefault="00DA2A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259075"/>
      <w:docPartObj>
        <w:docPartGallery w:val="Page Numbers (Bottom of Page)"/>
        <w:docPartUnique/>
      </w:docPartObj>
    </w:sdtPr>
    <w:sdtContent>
      <w:sdt>
        <w:sdtPr>
          <w:id w:val="1728636285"/>
          <w:docPartObj>
            <w:docPartGallery w:val="Page Numbers (Top of Page)"/>
            <w:docPartUnique/>
          </w:docPartObj>
        </w:sdtPr>
        <w:sdtContent>
          <w:p w14:paraId="1145CA04" w14:textId="1BDBD5F0" w:rsidR="00403FA2" w:rsidRPr="00BD3058" w:rsidRDefault="00C41720" w:rsidP="00BD3058">
            <w:pPr>
              <w:pStyle w:val="Stopka"/>
              <w:jc w:val="center"/>
              <w:rPr>
                <w:sz w:val="28"/>
                <w:szCs w:val="28"/>
              </w:rPr>
            </w:pPr>
            <w:r w:rsidRPr="00C41720">
              <w:rPr>
                <w:sz w:val="28"/>
                <w:szCs w:val="28"/>
              </w:rPr>
              <w:t xml:space="preserve">Strona </w:t>
            </w:r>
            <w:r w:rsidRPr="00C41720">
              <w:rPr>
                <w:sz w:val="28"/>
                <w:szCs w:val="28"/>
              </w:rPr>
              <w:fldChar w:fldCharType="begin"/>
            </w:r>
            <w:r w:rsidRPr="00C41720">
              <w:rPr>
                <w:sz w:val="28"/>
                <w:szCs w:val="28"/>
              </w:rPr>
              <w:instrText>PAGE</w:instrText>
            </w:r>
            <w:r w:rsidRPr="00C41720">
              <w:rPr>
                <w:sz w:val="28"/>
                <w:szCs w:val="28"/>
              </w:rPr>
              <w:fldChar w:fldCharType="separate"/>
            </w:r>
            <w:r w:rsidRPr="00C41720">
              <w:rPr>
                <w:sz w:val="28"/>
                <w:szCs w:val="28"/>
              </w:rPr>
              <w:t>2</w:t>
            </w:r>
            <w:r w:rsidRPr="00C41720">
              <w:rPr>
                <w:sz w:val="28"/>
                <w:szCs w:val="28"/>
              </w:rPr>
              <w:fldChar w:fldCharType="end"/>
            </w:r>
            <w:r w:rsidRPr="00C41720">
              <w:rPr>
                <w:sz w:val="28"/>
                <w:szCs w:val="28"/>
              </w:rPr>
              <w:t xml:space="preserve"> z </w:t>
            </w:r>
            <w:r w:rsidR="00BD3058">
              <w:rPr>
                <w:sz w:val="28"/>
                <w:szCs w:val="28"/>
              </w:rPr>
              <w:t>19</w:t>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8DC1" w14:textId="6492BB76" w:rsidR="008C0D69" w:rsidRPr="00D70CF5" w:rsidRDefault="008C0D69" w:rsidP="0091164C">
    <w:pPr>
      <w:pStyle w:val="Stopka"/>
      <w:jc w:val="center"/>
      <w:rPr>
        <w:rFonts w:cstheme="minorHAnsi"/>
        <w:szCs w:val="2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47461" w14:textId="39AFE1F7" w:rsidR="00BD3058" w:rsidRPr="00BD3058" w:rsidRDefault="00BD3058" w:rsidP="00BD305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66571" w14:textId="77777777" w:rsidR="009D3446" w:rsidRDefault="009D3446" w:rsidP="00053E5A">
      <w:pPr>
        <w:spacing w:after="0" w:line="240" w:lineRule="auto"/>
      </w:pPr>
      <w:r>
        <w:separator/>
      </w:r>
    </w:p>
  </w:footnote>
  <w:footnote w:type="continuationSeparator" w:id="0">
    <w:p w14:paraId="58DF2B70" w14:textId="77777777" w:rsidR="009D3446" w:rsidRDefault="009D3446" w:rsidP="00053E5A">
      <w:pPr>
        <w:spacing w:after="0" w:line="240" w:lineRule="auto"/>
      </w:pPr>
      <w:r>
        <w:continuationSeparator/>
      </w:r>
    </w:p>
  </w:footnote>
  <w:footnote w:id="1">
    <w:p w14:paraId="25A64DF2" w14:textId="77777777" w:rsidR="00BD3058" w:rsidRPr="00EE5F25" w:rsidRDefault="00BD3058" w:rsidP="00BD3058">
      <w:pPr>
        <w:pStyle w:val="Tekstprzypisudolnego"/>
        <w:ind w:left="0"/>
        <w:rPr>
          <w:sz w:val="28"/>
          <w:szCs w:val="28"/>
        </w:rPr>
      </w:pPr>
      <w:r w:rsidRPr="00EE5F25">
        <w:rPr>
          <w:rStyle w:val="Odwoanieprzypisudolnego"/>
          <w:sz w:val="28"/>
          <w:szCs w:val="28"/>
        </w:rPr>
        <w:footnoteRef/>
      </w:r>
      <w:r w:rsidRPr="00EE5F25">
        <w:rPr>
          <w:sz w:val="28"/>
          <w:szCs w:val="28"/>
        </w:rPr>
        <w:t xml:space="preserve"> Stosownie do art. 61 ust. 5a </w:t>
      </w:r>
      <w:r>
        <w:rPr>
          <w:sz w:val="28"/>
          <w:szCs w:val="28"/>
        </w:rPr>
        <w:t>zdanie drugie u.p.z.p.</w:t>
      </w:r>
      <w:r w:rsidRPr="00EE5F25">
        <w:rPr>
          <w:sz w:val="28"/>
          <w:szCs w:val="28"/>
        </w:rPr>
        <w:t xml:space="preserve"> </w:t>
      </w:r>
      <w:r>
        <w:rPr>
          <w:sz w:val="28"/>
          <w:szCs w:val="28"/>
        </w:rPr>
        <w:t>p</w:t>
      </w:r>
      <w:r w:rsidRPr="004F199C">
        <w:rPr>
          <w:sz w:val="28"/>
          <w:szCs w:val="28"/>
        </w:rPr>
        <w:t>rzez front terenu należy rozumieć tę część granicy działki budowlanej, która przylega do drogi publicznej lub wewnętrznej, z której odbywa się główny wjazd na działkę</w:t>
      </w:r>
      <w:r w:rsidRPr="00EE5F25">
        <w:rPr>
          <w:sz w:val="28"/>
          <w:szCs w:val="28"/>
        </w:rPr>
        <w:t xml:space="preserve">. Front </w:t>
      </w:r>
      <w:r>
        <w:rPr>
          <w:sz w:val="28"/>
          <w:szCs w:val="28"/>
        </w:rPr>
        <w:t>terenu</w:t>
      </w:r>
      <w:r w:rsidRPr="00EE5F25">
        <w:rPr>
          <w:sz w:val="28"/>
          <w:szCs w:val="28"/>
        </w:rPr>
        <w:t xml:space="preserve">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FB4C" w14:textId="77777777" w:rsidR="00DA2AFC" w:rsidRDefault="00DA2A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D5A1" w14:textId="508792A9" w:rsidR="00403FA2" w:rsidRPr="006838B1" w:rsidRDefault="00403FA2" w:rsidP="006838B1">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D681D" w14:textId="77777777" w:rsidR="006838B1" w:rsidRPr="0040389E" w:rsidRDefault="006838B1" w:rsidP="0040389E">
    <w:pPr>
      <w:pStyle w:val="Nagwek"/>
      <w:jc w:val="right"/>
      <w:rPr>
        <w:rFonts w:cstheme="minorHAnsi"/>
        <w:color w:val="808080" w:themeColor="background1" w:themeShade="80"/>
      </w:rPr>
    </w:pPr>
    <w:r>
      <w:rPr>
        <w:rFonts w:cstheme="minorHAnsi"/>
        <w:color w:val="808080" w:themeColor="background1" w:themeShade="80"/>
      </w:rPr>
      <w:t>Załącznik nr 1 do decyzji nr 21/2024 z 12 marca 2024 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C612E" w14:textId="0BFD5F14" w:rsidR="006838B1" w:rsidRPr="0040389E" w:rsidRDefault="006838B1" w:rsidP="0040389E">
    <w:pPr>
      <w:pStyle w:val="Nagwek"/>
      <w:jc w:val="right"/>
      <w:rPr>
        <w:rFonts w:cstheme="minorHAnsi"/>
        <w:color w:val="808080" w:themeColor="background1" w:themeShade="80"/>
      </w:rPr>
    </w:pPr>
    <w:r>
      <w:rPr>
        <w:rFonts w:cstheme="minorHAnsi"/>
        <w:color w:val="808080" w:themeColor="background1" w:themeShade="80"/>
      </w:rPr>
      <w:t>Załącznik nr 2 do decyzji nr 21/2024 z 12 marca 2024 r.</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7435C" w14:textId="774C751D" w:rsidR="00FC78DF" w:rsidRPr="00FC78DF" w:rsidRDefault="00FC78DF" w:rsidP="00FC78DF">
    <w:pPr>
      <w:pStyle w:val="Nagwek"/>
      <w:jc w:val="right"/>
      <w:rPr>
        <w:color w:val="808080" w:themeColor="background1" w:themeShade="80"/>
      </w:rPr>
    </w:pPr>
    <w:r w:rsidRPr="00FC78DF">
      <w:rPr>
        <w:color w:val="808080" w:themeColor="background1" w:themeShade="80"/>
      </w:rPr>
      <w:t xml:space="preserve">Załącznik nr </w:t>
    </w:r>
    <w:r w:rsidRPr="00DA2AFC">
      <w:rPr>
        <w:color w:val="808080" w:themeColor="background1" w:themeShade="80"/>
      </w:rPr>
      <w:t>3</w:t>
    </w:r>
    <w:r w:rsidRPr="00FC78DF">
      <w:rPr>
        <w:color w:val="808080" w:themeColor="background1" w:themeShade="80"/>
      </w:rPr>
      <w:t xml:space="preserve"> do decyzji nr 21/2024 z 12 marca 2024 r.</w:t>
    </w:r>
  </w:p>
  <w:p w14:paraId="23F0684E" w14:textId="58DE3D45" w:rsidR="006838B1" w:rsidRPr="006838B1" w:rsidRDefault="006838B1" w:rsidP="006838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sz w:val="28"/>
      </w:rPr>
    </w:lvl>
  </w:abstractNum>
  <w:abstractNum w:abstractNumId="1"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C5145A"/>
    <w:multiLevelType w:val="hybridMultilevel"/>
    <w:tmpl w:val="6110FA96"/>
    <w:lvl w:ilvl="0" w:tplc="43380A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A8307B"/>
    <w:multiLevelType w:val="hybridMultilevel"/>
    <w:tmpl w:val="49DA9930"/>
    <w:lvl w:ilvl="0" w:tplc="68DC4C1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926282B"/>
    <w:multiLevelType w:val="hybridMultilevel"/>
    <w:tmpl w:val="645EC488"/>
    <w:lvl w:ilvl="0" w:tplc="68DC4C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7053C7"/>
    <w:multiLevelType w:val="hybridMultilevel"/>
    <w:tmpl w:val="72D83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8"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49135878">
    <w:abstractNumId w:val="3"/>
  </w:num>
  <w:num w:numId="2" w16cid:durableId="2007778848">
    <w:abstractNumId w:val="17"/>
  </w:num>
  <w:num w:numId="3" w16cid:durableId="551621929">
    <w:abstractNumId w:val="18"/>
  </w:num>
  <w:num w:numId="4" w16cid:durableId="1206673688">
    <w:abstractNumId w:val="2"/>
  </w:num>
  <w:num w:numId="5" w16cid:durableId="1912228969">
    <w:abstractNumId w:val="19"/>
  </w:num>
  <w:num w:numId="6" w16cid:durableId="113990776">
    <w:abstractNumId w:val="11"/>
  </w:num>
  <w:num w:numId="7" w16cid:durableId="831064291">
    <w:abstractNumId w:val="5"/>
  </w:num>
  <w:num w:numId="8" w16cid:durableId="185992604">
    <w:abstractNumId w:val="4"/>
  </w:num>
  <w:num w:numId="9" w16cid:durableId="1638073007">
    <w:abstractNumId w:val="8"/>
  </w:num>
  <w:num w:numId="10" w16cid:durableId="251548690">
    <w:abstractNumId w:val="15"/>
  </w:num>
  <w:num w:numId="11" w16cid:durableId="1382440243">
    <w:abstractNumId w:val="12"/>
  </w:num>
  <w:num w:numId="12" w16cid:durableId="665287664">
    <w:abstractNumId w:val="16"/>
  </w:num>
  <w:num w:numId="13" w16cid:durableId="593779432">
    <w:abstractNumId w:val="6"/>
  </w:num>
  <w:num w:numId="14" w16cid:durableId="480656714">
    <w:abstractNumId w:val="1"/>
  </w:num>
  <w:num w:numId="15" w16cid:durableId="1834373377">
    <w:abstractNumId w:val="14"/>
  </w:num>
  <w:num w:numId="16" w16cid:durableId="644508064">
    <w:abstractNumId w:val="10"/>
  </w:num>
  <w:num w:numId="17" w16cid:durableId="1852181403">
    <w:abstractNumId w:val="0"/>
  </w:num>
  <w:num w:numId="18" w16cid:durableId="117337033">
    <w:abstractNumId w:val="13"/>
  </w:num>
  <w:num w:numId="19" w16cid:durableId="2071809101">
    <w:abstractNumId w:val="7"/>
  </w:num>
  <w:num w:numId="20" w16cid:durableId="1166822189">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093B"/>
    <w:rsid w:val="00042CCA"/>
    <w:rsid w:val="00053E5A"/>
    <w:rsid w:val="00056D77"/>
    <w:rsid w:val="00096CEA"/>
    <w:rsid w:val="000A38FE"/>
    <w:rsid w:val="000B3982"/>
    <w:rsid w:val="000F04E9"/>
    <w:rsid w:val="000F7981"/>
    <w:rsid w:val="00117823"/>
    <w:rsid w:val="00181A6F"/>
    <w:rsid w:val="00190708"/>
    <w:rsid w:val="001B7431"/>
    <w:rsid w:val="001B7825"/>
    <w:rsid w:val="001C396E"/>
    <w:rsid w:val="001E33D8"/>
    <w:rsid w:val="001F05D2"/>
    <w:rsid w:val="002001A6"/>
    <w:rsid w:val="002076BE"/>
    <w:rsid w:val="00245A15"/>
    <w:rsid w:val="00250690"/>
    <w:rsid w:val="00291A88"/>
    <w:rsid w:val="002B3949"/>
    <w:rsid w:val="002C3AE8"/>
    <w:rsid w:val="002E62F5"/>
    <w:rsid w:val="002F4746"/>
    <w:rsid w:val="002F6CD2"/>
    <w:rsid w:val="00317DB6"/>
    <w:rsid w:val="00321C17"/>
    <w:rsid w:val="00322A2A"/>
    <w:rsid w:val="00340D4C"/>
    <w:rsid w:val="00351A5D"/>
    <w:rsid w:val="00361824"/>
    <w:rsid w:val="0037130C"/>
    <w:rsid w:val="00381C5E"/>
    <w:rsid w:val="003B39DE"/>
    <w:rsid w:val="00403140"/>
    <w:rsid w:val="00403FA2"/>
    <w:rsid w:val="004056C9"/>
    <w:rsid w:val="0040639D"/>
    <w:rsid w:val="00413992"/>
    <w:rsid w:val="004235C9"/>
    <w:rsid w:val="004519AC"/>
    <w:rsid w:val="0048459B"/>
    <w:rsid w:val="004C512A"/>
    <w:rsid w:val="004D2F43"/>
    <w:rsid w:val="004D6B2B"/>
    <w:rsid w:val="004E4A5D"/>
    <w:rsid w:val="00512B24"/>
    <w:rsid w:val="00525346"/>
    <w:rsid w:val="00534F27"/>
    <w:rsid w:val="005673DE"/>
    <w:rsid w:val="005811F1"/>
    <w:rsid w:val="005A799A"/>
    <w:rsid w:val="005D4B74"/>
    <w:rsid w:val="005E5887"/>
    <w:rsid w:val="005F048F"/>
    <w:rsid w:val="005F23DE"/>
    <w:rsid w:val="00613E9B"/>
    <w:rsid w:val="0063302E"/>
    <w:rsid w:val="006449D3"/>
    <w:rsid w:val="006838B1"/>
    <w:rsid w:val="00694F9E"/>
    <w:rsid w:val="006A2EB4"/>
    <w:rsid w:val="006A6F3E"/>
    <w:rsid w:val="006E23B5"/>
    <w:rsid w:val="007362FC"/>
    <w:rsid w:val="0073633D"/>
    <w:rsid w:val="00744DF3"/>
    <w:rsid w:val="0077369E"/>
    <w:rsid w:val="007A7766"/>
    <w:rsid w:val="007B1A9A"/>
    <w:rsid w:val="007B622A"/>
    <w:rsid w:val="007C4380"/>
    <w:rsid w:val="007C6800"/>
    <w:rsid w:val="007D540A"/>
    <w:rsid w:val="007D722D"/>
    <w:rsid w:val="007D7B59"/>
    <w:rsid w:val="00811348"/>
    <w:rsid w:val="0081559F"/>
    <w:rsid w:val="00816EEC"/>
    <w:rsid w:val="008753F0"/>
    <w:rsid w:val="00886E45"/>
    <w:rsid w:val="00893827"/>
    <w:rsid w:val="008B0BDB"/>
    <w:rsid w:val="008C0D69"/>
    <w:rsid w:val="008F0E0D"/>
    <w:rsid w:val="008F2D00"/>
    <w:rsid w:val="00905286"/>
    <w:rsid w:val="00917C21"/>
    <w:rsid w:val="00923B5B"/>
    <w:rsid w:val="00937BD6"/>
    <w:rsid w:val="00945706"/>
    <w:rsid w:val="00960B4A"/>
    <w:rsid w:val="009614DC"/>
    <w:rsid w:val="00986970"/>
    <w:rsid w:val="009C2FDF"/>
    <w:rsid w:val="009D3446"/>
    <w:rsid w:val="009F096A"/>
    <w:rsid w:val="00A00B46"/>
    <w:rsid w:val="00A50CA6"/>
    <w:rsid w:val="00A5187D"/>
    <w:rsid w:val="00A76857"/>
    <w:rsid w:val="00A77B0B"/>
    <w:rsid w:val="00A84928"/>
    <w:rsid w:val="00A866E6"/>
    <w:rsid w:val="00A930EB"/>
    <w:rsid w:val="00AA276D"/>
    <w:rsid w:val="00AB464D"/>
    <w:rsid w:val="00AB53FD"/>
    <w:rsid w:val="00AF76C1"/>
    <w:rsid w:val="00B15B2E"/>
    <w:rsid w:val="00B16EAA"/>
    <w:rsid w:val="00B40857"/>
    <w:rsid w:val="00B82124"/>
    <w:rsid w:val="00B91287"/>
    <w:rsid w:val="00B95B1E"/>
    <w:rsid w:val="00BA3A6F"/>
    <w:rsid w:val="00BB096E"/>
    <w:rsid w:val="00BC11C2"/>
    <w:rsid w:val="00BD2D28"/>
    <w:rsid w:val="00BD3058"/>
    <w:rsid w:val="00C0542A"/>
    <w:rsid w:val="00C17872"/>
    <w:rsid w:val="00C245E0"/>
    <w:rsid w:val="00C269CA"/>
    <w:rsid w:val="00C41720"/>
    <w:rsid w:val="00CA384D"/>
    <w:rsid w:val="00CD1CFF"/>
    <w:rsid w:val="00CD327F"/>
    <w:rsid w:val="00CD5134"/>
    <w:rsid w:val="00D21AAD"/>
    <w:rsid w:val="00D27297"/>
    <w:rsid w:val="00D7017D"/>
    <w:rsid w:val="00D80F41"/>
    <w:rsid w:val="00D83AEA"/>
    <w:rsid w:val="00D8404E"/>
    <w:rsid w:val="00DA25FB"/>
    <w:rsid w:val="00DA2AFC"/>
    <w:rsid w:val="00DB7013"/>
    <w:rsid w:val="00DB78C9"/>
    <w:rsid w:val="00DE72C2"/>
    <w:rsid w:val="00DF18B2"/>
    <w:rsid w:val="00DF4357"/>
    <w:rsid w:val="00E12D70"/>
    <w:rsid w:val="00E14829"/>
    <w:rsid w:val="00E34C2B"/>
    <w:rsid w:val="00E47324"/>
    <w:rsid w:val="00E47556"/>
    <w:rsid w:val="00E72589"/>
    <w:rsid w:val="00E73F34"/>
    <w:rsid w:val="00E75F3A"/>
    <w:rsid w:val="00E772C5"/>
    <w:rsid w:val="00E9384C"/>
    <w:rsid w:val="00E9585E"/>
    <w:rsid w:val="00EA2C60"/>
    <w:rsid w:val="00EC6D4F"/>
    <w:rsid w:val="00ED19D2"/>
    <w:rsid w:val="00EE1943"/>
    <w:rsid w:val="00F021E2"/>
    <w:rsid w:val="00F022DA"/>
    <w:rsid w:val="00F1021E"/>
    <w:rsid w:val="00F450B2"/>
    <w:rsid w:val="00F45161"/>
    <w:rsid w:val="00F56DCB"/>
    <w:rsid w:val="00F927BA"/>
    <w:rsid w:val="00FA1A51"/>
    <w:rsid w:val="00FC78DF"/>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numbering" w:customStyle="1" w:styleId="Bezlisty1">
    <w:name w:val="Bez listy1"/>
    <w:next w:val="Bezlisty"/>
    <w:uiPriority w:val="99"/>
    <w:semiHidden/>
    <w:unhideWhenUsed/>
    <w:rsid w:val="00BD3058"/>
  </w:style>
  <w:style w:type="character" w:styleId="Odwoaniedokomentarza">
    <w:name w:val="annotation reference"/>
    <w:basedOn w:val="Domylnaczcionkaakapitu"/>
    <w:uiPriority w:val="99"/>
    <w:semiHidden/>
    <w:unhideWhenUsed/>
    <w:rsid w:val="00BD3058"/>
    <w:rPr>
      <w:sz w:val="16"/>
      <w:szCs w:val="16"/>
    </w:rPr>
  </w:style>
  <w:style w:type="paragraph" w:styleId="Tekstkomentarza">
    <w:name w:val="annotation text"/>
    <w:basedOn w:val="Normalny"/>
    <w:link w:val="TekstkomentarzaZnak"/>
    <w:uiPriority w:val="99"/>
    <w:unhideWhenUsed/>
    <w:rsid w:val="00BD3058"/>
    <w:pPr>
      <w:spacing w:after="120" w:line="240" w:lineRule="auto"/>
      <w:ind w:left="567"/>
      <w:jc w:val="both"/>
    </w:pPr>
    <w:rPr>
      <w:sz w:val="20"/>
      <w:szCs w:val="20"/>
    </w:rPr>
  </w:style>
  <w:style w:type="character" w:customStyle="1" w:styleId="TekstkomentarzaZnak">
    <w:name w:val="Tekst komentarza Znak"/>
    <w:basedOn w:val="Domylnaczcionkaakapitu"/>
    <w:link w:val="Tekstkomentarza"/>
    <w:uiPriority w:val="99"/>
    <w:rsid w:val="00BD3058"/>
    <w:rPr>
      <w:sz w:val="20"/>
      <w:szCs w:val="20"/>
    </w:rPr>
  </w:style>
  <w:style w:type="paragraph" w:styleId="Tematkomentarza">
    <w:name w:val="annotation subject"/>
    <w:basedOn w:val="Tekstkomentarza"/>
    <w:next w:val="Tekstkomentarza"/>
    <w:link w:val="TematkomentarzaZnak"/>
    <w:uiPriority w:val="99"/>
    <w:semiHidden/>
    <w:unhideWhenUsed/>
    <w:rsid w:val="00BD3058"/>
    <w:rPr>
      <w:b/>
      <w:bCs/>
    </w:rPr>
  </w:style>
  <w:style w:type="character" w:customStyle="1" w:styleId="TematkomentarzaZnak">
    <w:name w:val="Temat komentarza Znak"/>
    <w:basedOn w:val="TekstkomentarzaZnak"/>
    <w:link w:val="Tematkomentarza"/>
    <w:uiPriority w:val="99"/>
    <w:semiHidden/>
    <w:rsid w:val="00BD3058"/>
    <w:rPr>
      <w:b/>
      <w:bCs/>
      <w:sz w:val="20"/>
      <w:szCs w:val="20"/>
    </w:rPr>
  </w:style>
  <w:style w:type="paragraph" w:styleId="Tekstprzypisudolnego">
    <w:name w:val="footnote text"/>
    <w:basedOn w:val="Normalny"/>
    <w:link w:val="TekstprzypisudolnegoZnak"/>
    <w:uiPriority w:val="99"/>
    <w:semiHidden/>
    <w:unhideWhenUsed/>
    <w:rsid w:val="00BD3058"/>
    <w:pPr>
      <w:spacing w:after="120" w:line="240" w:lineRule="auto"/>
      <w:ind w:left="567"/>
      <w:jc w:val="both"/>
    </w:pPr>
    <w:rPr>
      <w:sz w:val="20"/>
      <w:szCs w:val="20"/>
    </w:rPr>
  </w:style>
  <w:style w:type="character" w:customStyle="1" w:styleId="TekstprzypisudolnegoZnak">
    <w:name w:val="Tekst przypisu dolnego Znak"/>
    <w:basedOn w:val="Domylnaczcionkaakapitu"/>
    <w:link w:val="Tekstprzypisudolnego"/>
    <w:uiPriority w:val="99"/>
    <w:semiHidden/>
    <w:rsid w:val="00BD3058"/>
    <w:rPr>
      <w:sz w:val="20"/>
      <w:szCs w:val="20"/>
    </w:rPr>
  </w:style>
  <w:style w:type="character" w:styleId="Odwoanieprzypisudolnego">
    <w:name w:val="footnote reference"/>
    <w:basedOn w:val="Domylnaczcionkaakapitu"/>
    <w:uiPriority w:val="99"/>
    <w:semiHidden/>
    <w:unhideWhenUsed/>
    <w:rsid w:val="00BD3058"/>
    <w:rPr>
      <w:vertAlign w:val="superscript"/>
    </w:rPr>
  </w:style>
  <w:style w:type="paragraph" w:customStyle="1" w:styleId="Default">
    <w:name w:val="Default"/>
    <w:rsid w:val="00BD3058"/>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BD3058"/>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title"/>
    <w:basedOn w:val="Domylnaczcionkaakapitu"/>
    <w:rsid w:val="00BD3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6873</Words>
  <Characters>41242</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Monika Grzegorek</cp:lastModifiedBy>
  <cp:revision>2</cp:revision>
  <cp:lastPrinted>2024-03-13T10:10:00Z</cp:lastPrinted>
  <dcterms:created xsi:type="dcterms:W3CDTF">2024-03-13T10:10:00Z</dcterms:created>
  <dcterms:modified xsi:type="dcterms:W3CDTF">2024-03-13T10:10:00Z</dcterms:modified>
</cp:coreProperties>
</file>