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C3A37" w14:textId="77777777" w:rsidR="001E33D8" w:rsidRDefault="001E33D8" w:rsidP="001E33D8">
      <w:pPr>
        <w:spacing w:after="0" w:line="240" w:lineRule="auto"/>
        <w:ind w:right="5668"/>
        <w:jc w:val="center"/>
        <w:rPr>
          <w:rFonts w:cstheme="minorHAnsi"/>
          <w:bCs/>
          <w:sz w:val="28"/>
          <w:szCs w:val="28"/>
        </w:rPr>
      </w:pPr>
    </w:p>
    <w:p w14:paraId="3921E045" w14:textId="1F22365C"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Burmistrz Śremu</w:t>
      </w:r>
    </w:p>
    <w:p w14:paraId="63A58344"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ul. Plac 20 Października 1</w:t>
      </w:r>
    </w:p>
    <w:p w14:paraId="5FA9BD7D" w14:textId="7EE7B3B2"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63</w:t>
      </w:r>
      <w:r w:rsidR="00F0671F">
        <w:rPr>
          <w:rFonts w:cstheme="minorHAnsi"/>
          <w:bCs/>
          <w:sz w:val="28"/>
          <w:szCs w:val="28"/>
        </w:rPr>
        <w:t>-</w:t>
      </w:r>
      <w:r w:rsidRPr="005673DE">
        <w:rPr>
          <w:rFonts w:cstheme="minorHAnsi"/>
          <w:bCs/>
          <w:sz w:val="28"/>
          <w:szCs w:val="28"/>
        </w:rPr>
        <w:t>100 Śrem</w:t>
      </w:r>
    </w:p>
    <w:p w14:paraId="0DD752EF" w14:textId="227858CB" w:rsidR="001E33D8" w:rsidRPr="005673DE" w:rsidRDefault="001E33D8" w:rsidP="001E33D8">
      <w:pPr>
        <w:spacing w:after="120" w:line="240" w:lineRule="auto"/>
        <w:jc w:val="right"/>
        <w:rPr>
          <w:rFonts w:cstheme="minorHAnsi"/>
          <w:sz w:val="28"/>
          <w:szCs w:val="28"/>
        </w:rPr>
      </w:pPr>
      <w:r w:rsidRPr="005673DE">
        <w:rPr>
          <w:rFonts w:cstheme="minorHAnsi"/>
          <w:sz w:val="28"/>
          <w:szCs w:val="28"/>
        </w:rPr>
        <w:t>Śrem,</w:t>
      </w:r>
      <w:r w:rsidR="009E610E">
        <w:rPr>
          <w:rFonts w:cstheme="minorHAnsi"/>
          <w:sz w:val="28"/>
          <w:szCs w:val="28"/>
        </w:rPr>
        <w:t xml:space="preserve"> 19 </w:t>
      </w:r>
      <w:r w:rsidR="00CD327F">
        <w:rPr>
          <w:rFonts w:cstheme="minorHAnsi"/>
          <w:sz w:val="28"/>
          <w:szCs w:val="28"/>
        </w:rPr>
        <w:t>marca</w:t>
      </w:r>
      <w:r w:rsidR="00A50CA6" w:rsidRPr="005673DE">
        <w:rPr>
          <w:rFonts w:cstheme="minorHAnsi"/>
          <w:sz w:val="28"/>
          <w:szCs w:val="28"/>
        </w:rPr>
        <w:t xml:space="preserve"> 202</w:t>
      </w:r>
      <w:r w:rsidR="00893827">
        <w:rPr>
          <w:rFonts w:cstheme="minorHAnsi"/>
          <w:sz w:val="28"/>
          <w:szCs w:val="28"/>
        </w:rPr>
        <w:t>4</w:t>
      </w:r>
      <w:r w:rsidRPr="005673DE">
        <w:rPr>
          <w:rFonts w:cstheme="minorHAnsi"/>
          <w:sz w:val="28"/>
          <w:szCs w:val="28"/>
        </w:rPr>
        <w:t xml:space="preserve"> r.</w:t>
      </w:r>
    </w:p>
    <w:p w14:paraId="18954B3B" w14:textId="62CC0DB6" w:rsidR="001E33D8" w:rsidRPr="005673DE" w:rsidRDefault="001E33D8" w:rsidP="001E33D8">
      <w:pPr>
        <w:spacing w:after="120" w:line="240" w:lineRule="auto"/>
        <w:rPr>
          <w:rFonts w:cstheme="minorHAnsi"/>
          <w:sz w:val="28"/>
          <w:szCs w:val="28"/>
        </w:rPr>
      </w:pPr>
      <w:r w:rsidRPr="005673DE">
        <w:rPr>
          <w:rFonts w:cstheme="minorHAnsi"/>
          <w:sz w:val="28"/>
          <w:szCs w:val="28"/>
        </w:rPr>
        <w:t>PPSPP.673</w:t>
      </w:r>
      <w:r w:rsidR="008F403E">
        <w:rPr>
          <w:rFonts w:cstheme="minorHAnsi"/>
          <w:sz w:val="28"/>
          <w:szCs w:val="28"/>
        </w:rPr>
        <w:t>0.</w:t>
      </w:r>
      <w:r w:rsidR="00C979A2">
        <w:rPr>
          <w:rFonts w:cstheme="minorHAnsi"/>
          <w:sz w:val="28"/>
          <w:szCs w:val="28"/>
        </w:rPr>
        <w:t>8</w:t>
      </w:r>
      <w:r w:rsidR="00CD327F">
        <w:rPr>
          <w:rFonts w:cstheme="minorHAnsi"/>
          <w:sz w:val="28"/>
          <w:szCs w:val="28"/>
        </w:rPr>
        <w:t>.202</w:t>
      </w:r>
      <w:r w:rsidR="00C979A2">
        <w:rPr>
          <w:rFonts w:cstheme="minorHAnsi"/>
          <w:sz w:val="28"/>
          <w:szCs w:val="28"/>
        </w:rPr>
        <w:t>4</w:t>
      </w:r>
      <w:r w:rsidR="00CD327F">
        <w:rPr>
          <w:rFonts w:cstheme="minorHAnsi"/>
          <w:sz w:val="28"/>
          <w:szCs w:val="28"/>
        </w:rPr>
        <w:t>.</w:t>
      </w:r>
      <w:r w:rsidR="008F403E">
        <w:rPr>
          <w:rFonts w:cstheme="minorHAnsi"/>
          <w:sz w:val="28"/>
          <w:szCs w:val="28"/>
        </w:rPr>
        <w:t>KSA</w:t>
      </w:r>
      <w:r w:rsidR="00CD327F">
        <w:rPr>
          <w:rFonts w:cstheme="minorHAnsi"/>
          <w:sz w:val="28"/>
          <w:szCs w:val="28"/>
        </w:rPr>
        <w:t>N</w:t>
      </w:r>
    </w:p>
    <w:p w14:paraId="3273D6F3" w14:textId="3CAD714F" w:rsidR="001E33D8" w:rsidRPr="005673DE" w:rsidRDefault="001E33D8" w:rsidP="001E33D8">
      <w:pPr>
        <w:keepNext/>
        <w:keepLines/>
        <w:spacing w:after="120" w:line="240" w:lineRule="auto"/>
        <w:jc w:val="center"/>
        <w:outlineLvl w:val="0"/>
        <w:rPr>
          <w:rFonts w:eastAsia="Times New Roman" w:cstheme="minorHAnsi"/>
          <w:sz w:val="28"/>
          <w:szCs w:val="28"/>
        </w:rPr>
      </w:pPr>
      <w:r w:rsidRPr="005673DE">
        <w:rPr>
          <w:rFonts w:eastAsia="Times New Roman" w:cstheme="minorHAnsi"/>
          <w:sz w:val="28"/>
          <w:szCs w:val="28"/>
        </w:rPr>
        <w:t>Obwieszczenie</w:t>
      </w:r>
      <w:r w:rsidRPr="005673DE">
        <w:rPr>
          <w:rFonts w:eastAsia="Times New Roman" w:cstheme="minorHAnsi"/>
          <w:sz w:val="28"/>
          <w:szCs w:val="28"/>
        </w:rPr>
        <w:br/>
        <w:t xml:space="preserve">o wydaniu decyzji o </w:t>
      </w:r>
      <w:r w:rsidR="008F403E">
        <w:rPr>
          <w:rFonts w:eastAsia="Times New Roman" w:cstheme="minorHAnsi"/>
          <w:sz w:val="28"/>
          <w:szCs w:val="28"/>
        </w:rPr>
        <w:t xml:space="preserve">warunkach zabudowy </w:t>
      </w:r>
    </w:p>
    <w:p w14:paraId="67D0B912" w14:textId="77777777" w:rsidR="00FD4A8F" w:rsidRDefault="00FD4A8F" w:rsidP="001E33D8">
      <w:pPr>
        <w:spacing w:after="120" w:line="240" w:lineRule="auto"/>
        <w:ind w:firstLine="567"/>
        <w:jc w:val="both"/>
        <w:rPr>
          <w:rFonts w:eastAsia="Times New Roman" w:cstheme="minorHAnsi"/>
          <w:sz w:val="28"/>
          <w:szCs w:val="28"/>
          <w:lang w:eastAsia="pl-PL"/>
        </w:rPr>
      </w:pPr>
    </w:p>
    <w:p w14:paraId="61D24430" w14:textId="30C451BD" w:rsidR="00A00B46" w:rsidRPr="001E4641" w:rsidRDefault="00A00B46" w:rsidP="00694F9E">
      <w:pPr>
        <w:spacing w:after="120" w:line="240" w:lineRule="auto"/>
        <w:ind w:firstLine="709"/>
        <w:jc w:val="both"/>
        <w:rPr>
          <w:rFonts w:cstheme="minorHAnsi"/>
          <w:sz w:val="28"/>
          <w:szCs w:val="28"/>
        </w:rPr>
      </w:pPr>
      <w:r>
        <w:rPr>
          <w:rFonts w:cstheme="minorHAnsi"/>
          <w:sz w:val="28"/>
          <w:szCs w:val="28"/>
        </w:rPr>
        <w:t>Z</w:t>
      </w:r>
      <w:r w:rsidRPr="00BF5DED">
        <w:rPr>
          <w:rFonts w:cstheme="minorHAnsi"/>
          <w:sz w:val="28"/>
          <w:szCs w:val="28"/>
        </w:rPr>
        <w:t>awiadamiam</w:t>
      </w:r>
      <w:r w:rsidRPr="008B59DF">
        <w:rPr>
          <w:rFonts w:cstheme="minorHAnsi"/>
          <w:sz w:val="28"/>
          <w:szCs w:val="28"/>
          <w:vertAlign w:val="superscript"/>
        </w:rPr>
        <w:t>1</w:t>
      </w:r>
      <w:r>
        <w:rPr>
          <w:rFonts w:cstheme="minorHAnsi"/>
          <w:sz w:val="28"/>
          <w:szCs w:val="28"/>
        </w:rPr>
        <w:t xml:space="preserve">, </w:t>
      </w:r>
      <w:r w:rsidRPr="000A38FE">
        <w:rPr>
          <w:rFonts w:cstheme="minorHAnsi"/>
          <w:sz w:val="28"/>
          <w:szCs w:val="28"/>
        </w:rPr>
        <w:t>przez podanie do publicznej wiadomości</w:t>
      </w:r>
      <w:r>
        <w:rPr>
          <w:rFonts w:cstheme="minorHAnsi"/>
          <w:sz w:val="28"/>
          <w:szCs w:val="28"/>
        </w:rPr>
        <w:t xml:space="preserve"> </w:t>
      </w:r>
      <w:r w:rsidRPr="000A38FE">
        <w:rPr>
          <w:rFonts w:cstheme="minorHAnsi"/>
          <w:sz w:val="28"/>
          <w:szCs w:val="28"/>
        </w:rPr>
        <w:t xml:space="preserve">w Biuletynie Informacji Publicznej Urzędu </w:t>
      </w:r>
      <w:r>
        <w:rPr>
          <w:rFonts w:cstheme="minorHAnsi"/>
          <w:sz w:val="28"/>
          <w:szCs w:val="28"/>
        </w:rPr>
        <w:t>Miejskiego w Śremie</w:t>
      </w:r>
      <w:r w:rsidRPr="000A38FE">
        <w:rPr>
          <w:rFonts w:cstheme="minorHAnsi"/>
          <w:sz w:val="28"/>
          <w:szCs w:val="28"/>
        </w:rPr>
        <w:t>,</w:t>
      </w:r>
      <w:r>
        <w:rPr>
          <w:rFonts w:cstheme="minorHAnsi"/>
          <w:sz w:val="28"/>
          <w:szCs w:val="28"/>
        </w:rPr>
        <w:t xml:space="preserve"> </w:t>
      </w:r>
      <w:r w:rsidRPr="000A38FE">
        <w:rPr>
          <w:rFonts w:cstheme="minorHAnsi"/>
          <w:sz w:val="28"/>
          <w:szCs w:val="28"/>
        </w:rPr>
        <w:t>na elektronicznej tablicy ogłoszeń w siedzibie tut. organu</w:t>
      </w:r>
      <w:r>
        <w:rPr>
          <w:rFonts w:cstheme="minorHAnsi"/>
          <w:sz w:val="28"/>
          <w:szCs w:val="28"/>
        </w:rPr>
        <w:t xml:space="preserve">, </w:t>
      </w:r>
      <w:r w:rsidRPr="00BF5DED">
        <w:rPr>
          <w:rFonts w:cstheme="minorHAnsi"/>
          <w:sz w:val="28"/>
          <w:szCs w:val="28"/>
        </w:rPr>
        <w:t>o</w:t>
      </w:r>
      <w:r>
        <w:rPr>
          <w:rFonts w:cstheme="minorHAnsi"/>
          <w:sz w:val="28"/>
          <w:szCs w:val="28"/>
        </w:rPr>
        <w:t xml:space="preserve"> wydaniu </w:t>
      </w:r>
      <w:r w:rsidR="008F403E">
        <w:rPr>
          <w:rFonts w:cstheme="minorHAnsi"/>
          <w:sz w:val="28"/>
          <w:szCs w:val="28"/>
        </w:rPr>
        <w:t>1</w:t>
      </w:r>
      <w:r w:rsidR="00C979A2">
        <w:rPr>
          <w:rFonts w:cstheme="minorHAnsi"/>
          <w:sz w:val="28"/>
          <w:szCs w:val="28"/>
        </w:rPr>
        <w:t>9</w:t>
      </w:r>
      <w:r w:rsidR="00CD327F">
        <w:rPr>
          <w:rFonts w:cstheme="minorHAnsi"/>
          <w:sz w:val="28"/>
          <w:szCs w:val="28"/>
        </w:rPr>
        <w:t>.03</w:t>
      </w:r>
      <w:r>
        <w:rPr>
          <w:rFonts w:cstheme="minorHAnsi"/>
          <w:sz w:val="28"/>
          <w:szCs w:val="28"/>
        </w:rPr>
        <w:t xml:space="preserve">.2024 r. przez Burmistrza </w:t>
      </w:r>
      <w:r w:rsidRPr="00CD327F">
        <w:rPr>
          <w:rFonts w:cstheme="minorHAnsi"/>
          <w:sz w:val="28"/>
          <w:szCs w:val="28"/>
        </w:rPr>
        <w:t xml:space="preserve">Śremu decyzji nr </w:t>
      </w:r>
      <w:r w:rsidR="008F403E">
        <w:rPr>
          <w:rFonts w:cstheme="minorHAnsi"/>
          <w:sz w:val="28"/>
          <w:szCs w:val="28"/>
        </w:rPr>
        <w:t>2</w:t>
      </w:r>
      <w:r w:rsidR="00C979A2">
        <w:rPr>
          <w:rFonts w:cstheme="minorHAnsi"/>
          <w:sz w:val="28"/>
          <w:szCs w:val="28"/>
        </w:rPr>
        <w:t>3</w:t>
      </w:r>
      <w:r w:rsidRPr="00CD327F">
        <w:rPr>
          <w:rFonts w:cstheme="minorHAnsi"/>
          <w:sz w:val="28"/>
          <w:szCs w:val="28"/>
        </w:rPr>
        <w:t>/2024 o </w:t>
      </w:r>
      <w:r w:rsidR="008F403E">
        <w:rPr>
          <w:rFonts w:cstheme="minorHAnsi"/>
          <w:sz w:val="28"/>
          <w:szCs w:val="28"/>
        </w:rPr>
        <w:t xml:space="preserve">warunkach zabudowy </w:t>
      </w:r>
      <w:r w:rsidR="003D7718">
        <w:rPr>
          <w:rFonts w:cstheme="minorHAnsi"/>
          <w:sz w:val="28"/>
          <w:szCs w:val="28"/>
        </w:rPr>
        <w:t>dla przedsięwzięcia:</w:t>
      </w:r>
      <w:r w:rsidR="008F403E">
        <w:rPr>
          <w:rFonts w:cstheme="minorHAnsi"/>
          <w:sz w:val="28"/>
          <w:szCs w:val="28"/>
        </w:rPr>
        <w:t xml:space="preserve"> </w:t>
      </w:r>
      <w:r w:rsidR="00C979A2">
        <w:rPr>
          <w:rFonts w:cstheme="minorHAnsi"/>
          <w:sz w:val="28"/>
          <w:szCs w:val="28"/>
        </w:rPr>
        <w:t>budow</w:t>
      </w:r>
      <w:r w:rsidR="003D7718">
        <w:rPr>
          <w:rFonts w:cstheme="minorHAnsi"/>
          <w:sz w:val="28"/>
          <w:szCs w:val="28"/>
        </w:rPr>
        <w:t>a</w:t>
      </w:r>
      <w:r w:rsidR="00C979A2">
        <w:rPr>
          <w:rFonts w:cstheme="minorHAnsi"/>
          <w:sz w:val="28"/>
          <w:szCs w:val="28"/>
        </w:rPr>
        <w:t xml:space="preserve"> garażu</w:t>
      </w:r>
      <w:r w:rsidR="008F403E">
        <w:rPr>
          <w:rFonts w:cstheme="minorHAnsi"/>
          <w:sz w:val="28"/>
          <w:szCs w:val="28"/>
        </w:rPr>
        <w:t xml:space="preserve"> </w:t>
      </w:r>
      <w:r w:rsidR="003D7718">
        <w:rPr>
          <w:rFonts w:cstheme="minorHAnsi"/>
          <w:sz w:val="28"/>
          <w:szCs w:val="28"/>
        </w:rPr>
        <w:t xml:space="preserve">wolnostojącego </w:t>
      </w:r>
      <w:r w:rsidR="008F403E">
        <w:rPr>
          <w:rFonts w:cstheme="minorHAnsi"/>
          <w:sz w:val="28"/>
          <w:szCs w:val="28"/>
        </w:rPr>
        <w:t xml:space="preserve">na terenie działki o nr ewid. </w:t>
      </w:r>
      <w:r w:rsidR="00C979A2">
        <w:rPr>
          <w:rFonts w:cstheme="minorHAnsi"/>
          <w:sz w:val="28"/>
          <w:szCs w:val="28"/>
        </w:rPr>
        <w:t>1843</w:t>
      </w:r>
      <w:r w:rsidR="008F403E">
        <w:rPr>
          <w:rFonts w:cstheme="minorHAnsi"/>
          <w:sz w:val="28"/>
          <w:szCs w:val="28"/>
        </w:rPr>
        <w:t>, obręb Śrem (ul.</w:t>
      </w:r>
      <w:r w:rsidR="00013972">
        <w:rPr>
          <w:rFonts w:cstheme="minorHAnsi"/>
          <w:sz w:val="28"/>
          <w:szCs w:val="28"/>
        </w:rPr>
        <w:t> </w:t>
      </w:r>
      <w:r w:rsidR="00C979A2">
        <w:rPr>
          <w:rFonts w:cstheme="minorHAnsi"/>
          <w:sz w:val="28"/>
          <w:szCs w:val="28"/>
        </w:rPr>
        <w:t>Przemysłowa</w:t>
      </w:r>
      <w:r w:rsidR="008F403E">
        <w:rPr>
          <w:rFonts w:cstheme="minorHAnsi"/>
          <w:sz w:val="28"/>
          <w:szCs w:val="28"/>
        </w:rPr>
        <w:t xml:space="preserve">), na rzecz osoby fizycznej. </w:t>
      </w:r>
      <w:r w:rsidR="00D83F6F">
        <w:rPr>
          <w:rFonts w:cstheme="minorHAnsi"/>
          <w:sz w:val="28"/>
          <w:szCs w:val="28"/>
        </w:rPr>
        <w:t xml:space="preserve"> </w:t>
      </w:r>
    </w:p>
    <w:p w14:paraId="5A8EC067" w14:textId="67F2E49C" w:rsidR="00A00B46" w:rsidRPr="00001FCD" w:rsidRDefault="00A00B46" w:rsidP="00A00B46">
      <w:pPr>
        <w:spacing w:after="120" w:line="240" w:lineRule="auto"/>
        <w:ind w:firstLine="708"/>
        <w:jc w:val="both"/>
        <w:rPr>
          <w:rFonts w:cstheme="minorHAnsi"/>
          <w:sz w:val="28"/>
          <w:szCs w:val="28"/>
        </w:rPr>
      </w:pPr>
      <w:r w:rsidRPr="00E47556">
        <w:rPr>
          <w:rFonts w:cstheme="minorHAnsi"/>
          <w:sz w:val="28"/>
          <w:szCs w:val="28"/>
        </w:rPr>
        <w:t xml:space="preserve">W związku z powyższym informuję, że strony niniejszego postępowania lub ich przedstawiciele i pełnomocnicy mogą zapoznać się z </w:t>
      </w:r>
      <w:r>
        <w:rPr>
          <w:rFonts w:cstheme="minorHAnsi"/>
          <w:sz w:val="28"/>
          <w:szCs w:val="28"/>
        </w:rPr>
        <w:t xml:space="preserve">wydaną decyzją oraz </w:t>
      </w:r>
      <w:r w:rsidRPr="00E47556">
        <w:rPr>
          <w:rFonts w:cstheme="minorHAnsi"/>
          <w:sz w:val="28"/>
          <w:szCs w:val="28"/>
        </w:rPr>
        <w:t>aktami sprawy (</w:t>
      </w:r>
      <w:r>
        <w:rPr>
          <w:rFonts w:cstheme="minorHAnsi"/>
          <w:sz w:val="28"/>
          <w:szCs w:val="28"/>
        </w:rPr>
        <w:t>PPSPP.673</w:t>
      </w:r>
      <w:r w:rsidR="008F403E">
        <w:rPr>
          <w:rFonts w:cstheme="minorHAnsi"/>
          <w:sz w:val="28"/>
          <w:szCs w:val="28"/>
        </w:rPr>
        <w:t>0</w:t>
      </w:r>
      <w:r>
        <w:rPr>
          <w:rFonts w:cstheme="minorHAnsi"/>
          <w:sz w:val="28"/>
          <w:szCs w:val="28"/>
        </w:rPr>
        <w:t>.</w:t>
      </w:r>
      <w:r w:rsidR="008F403E">
        <w:rPr>
          <w:rFonts w:cstheme="minorHAnsi"/>
          <w:sz w:val="28"/>
          <w:szCs w:val="28"/>
        </w:rPr>
        <w:t>8</w:t>
      </w:r>
      <w:r w:rsidR="00CD327F">
        <w:rPr>
          <w:rFonts w:cstheme="minorHAnsi"/>
          <w:sz w:val="28"/>
          <w:szCs w:val="28"/>
        </w:rPr>
        <w:t>.202</w:t>
      </w:r>
      <w:r w:rsidR="00C979A2">
        <w:rPr>
          <w:rFonts w:cstheme="minorHAnsi"/>
          <w:sz w:val="28"/>
          <w:szCs w:val="28"/>
        </w:rPr>
        <w:t>4</w:t>
      </w:r>
      <w:r w:rsidR="00CD327F">
        <w:rPr>
          <w:rFonts w:cstheme="minorHAnsi"/>
          <w:sz w:val="28"/>
          <w:szCs w:val="28"/>
        </w:rPr>
        <w:t>.</w:t>
      </w:r>
      <w:r w:rsidR="008F403E">
        <w:rPr>
          <w:rFonts w:cstheme="minorHAnsi"/>
          <w:sz w:val="28"/>
          <w:szCs w:val="28"/>
        </w:rPr>
        <w:t>KSA</w:t>
      </w:r>
      <w:r w:rsidR="00CD327F">
        <w:rPr>
          <w:rFonts w:cstheme="minorHAnsi"/>
          <w:sz w:val="28"/>
          <w:szCs w:val="28"/>
        </w:rPr>
        <w:t>N</w:t>
      </w:r>
      <w:r w:rsidRPr="00E47556">
        <w:rPr>
          <w:rFonts w:cstheme="minorHAnsi"/>
          <w:sz w:val="28"/>
          <w:szCs w:val="28"/>
        </w:rPr>
        <w:t xml:space="preserve">) </w:t>
      </w:r>
      <w:r>
        <w:rPr>
          <w:rFonts w:cstheme="minorHAnsi"/>
          <w:sz w:val="28"/>
          <w:szCs w:val="28"/>
        </w:rPr>
        <w:t xml:space="preserve">w </w:t>
      </w:r>
      <w:r w:rsidRPr="00001FCD">
        <w:rPr>
          <w:rFonts w:cstheme="minorHAnsi"/>
          <w:sz w:val="28"/>
          <w:szCs w:val="28"/>
        </w:rPr>
        <w:t xml:space="preserve">Zespole </w:t>
      </w:r>
      <w:r>
        <w:rPr>
          <w:rFonts w:cstheme="minorHAnsi"/>
          <w:sz w:val="28"/>
          <w:szCs w:val="28"/>
        </w:rPr>
        <w:t>Planowania Przestrzennego</w:t>
      </w:r>
      <w:r w:rsidRPr="00001FCD">
        <w:rPr>
          <w:rFonts w:cstheme="minorHAnsi"/>
          <w:sz w:val="28"/>
          <w:szCs w:val="28"/>
        </w:rPr>
        <w:t xml:space="preserve"> (biuro nr </w:t>
      </w:r>
      <w:r>
        <w:rPr>
          <w:rFonts w:cstheme="minorHAnsi"/>
          <w:sz w:val="28"/>
          <w:szCs w:val="28"/>
        </w:rPr>
        <w:t>34)</w:t>
      </w:r>
      <w:r w:rsidRPr="00001FCD">
        <w:rPr>
          <w:rFonts w:cstheme="minorHAnsi"/>
          <w:sz w:val="28"/>
          <w:szCs w:val="28"/>
        </w:rPr>
        <w:t xml:space="preserve"> Urzędu Miejskiego w Śremie, ul. Plac 20</w:t>
      </w:r>
      <w:r>
        <w:rPr>
          <w:rFonts w:cstheme="minorHAnsi"/>
          <w:sz w:val="28"/>
          <w:szCs w:val="28"/>
        </w:rPr>
        <w:t> </w:t>
      </w:r>
      <w:r w:rsidRPr="00001FCD">
        <w:rPr>
          <w:rFonts w:cstheme="minorHAnsi"/>
          <w:sz w:val="28"/>
          <w:szCs w:val="28"/>
        </w:rPr>
        <w:t>Października 1, 63</w:t>
      </w:r>
      <w:r>
        <w:rPr>
          <w:rFonts w:cstheme="minorHAnsi"/>
          <w:sz w:val="28"/>
          <w:szCs w:val="28"/>
        </w:rPr>
        <w:t>-</w:t>
      </w:r>
      <w:r w:rsidRPr="00001FCD">
        <w:rPr>
          <w:rFonts w:cstheme="minorHAnsi"/>
          <w:sz w:val="28"/>
          <w:szCs w:val="28"/>
        </w:rPr>
        <w:t xml:space="preserve">100 Śrem, w godzinach od 7:00 do 15:00. </w:t>
      </w:r>
    </w:p>
    <w:p w14:paraId="31780D87" w14:textId="77777777" w:rsidR="00A00B46" w:rsidRPr="005A07CF" w:rsidRDefault="00A00B46" w:rsidP="00A00B46">
      <w:pPr>
        <w:spacing w:after="120" w:line="240" w:lineRule="auto"/>
        <w:ind w:firstLine="709"/>
        <w:jc w:val="both"/>
        <w:rPr>
          <w:rFonts w:cstheme="minorHAnsi"/>
          <w:sz w:val="28"/>
          <w:szCs w:val="28"/>
        </w:rPr>
      </w:pPr>
      <w:r w:rsidRPr="00001FCD">
        <w:rPr>
          <w:rFonts w:cstheme="minorHAnsi"/>
          <w:sz w:val="28"/>
          <w:szCs w:val="28"/>
        </w:rPr>
        <w:t xml:space="preserve">Zawiadomienie przez obwieszczenie uważa się za dokonane po upływie 14 dni od dnia publicznego ogłoszenia stosownie do </w:t>
      </w:r>
      <w:r>
        <w:rPr>
          <w:rFonts w:cstheme="minorHAnsi"/>
          <w:sz w:val="28"/>
          <w:szCs w:val="28"/>
        </w:rPr>
        <w:t>art</w:t>
      </w:r>
      <w:r w:rsidRPr="00001FCD">
        <w:rPr>
          <w:rFonts w:cstheme="minorHAnsi"/>
          <w:sz w:val="28"/>
          <w:szCs w:val="28"/>
        </w:rPr>
        <w:t>. 49 ustawy z dnia 14 czerwca 1960 r. – Kodeks postępowania administracyjnego</w:t>
      </w:r>
      <w:r>
        <w:rPr>
          <w:rFonts w:cstheme="minorHAnsi"/>
          <w:sz w:val="28"/>
          <w:szCs w:val="28"/>
        </w:rPr>
        <w:t xml:space="preserve"> (Dz. U. z 2023 r. poz. 775 i 803). </w:t>
      </w:r>
    </w:p>
    <w:p w14:paraId="65ABD346" w14:textId="77777777" w:rsidR="00A00B46" w:rsidRDefault="00A00B46" w:rsidP="00A00B46">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Adam Lewandowski</w:t>
      </w:r>
    </w:p>
    <w:p w14:paraId="0BD51F77" w14:textId="77777777" w:rsidR="00A00B46" w:rsidRPr="00BB5D03" w:rsidRDefault="00A00B46" w:rsidP="00A00B46">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0A24D573" w14:textId="2BA75375" w:rsidR="00A00B46" w:rsidRPr="005A07CF" w:rsidRDefault="00A00B46" w:rsidP="00A00B46">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CD327F">
        <w:rPr>
          <w:rFonts w:eastAsia="Times New Roman" w:cstheme="minorHAnsi"/>
          <w:sz w:val="28"/>
          <w:szCs w:val="28"/>
          <w:lang w:eastAsia="pl-PL"/>
        </w:rPr>
        <w:t>…</w:t>
      </w:r>
      <w:r w:rsidR="00431C3E">
        <w:rPr>
          <w:rFonts w:eastAsia="Times New Roman" w:cstheme="minorHAnsi"/>
          <w:sz w:val="28"/>
          <w:szCs w:val="28"/>
          <w:lang w:eastAsia="pl-PL"/>
        </w:rPr>
        <w:t>..</w:t>
      </w:r>
      <w:r w:rsidR="00CD327F">
        <w:rPr>
          <w:rFonts w:eastAsia="Times New Roman" w:cstheme="minorHAnsi"/>
          <w:sz w:val="28"/>
          <w:szCs w:val="28"/>
          <w:lang w:eastAsia="pl-PL"/>
        </w:rPr>
        <w:t>.03</w:t>
      </w:r>
      <w:r>
        <w:rPr>
          <w:rFonts w:eastAsia="Times New Roman" w:cstheme="minorHAnsi"/>
          <w:sz w:val="28"/>
          <w:szCs w:val="28"/>
          <w:lang w:eastAsia="pl-PL"/>
        </w:rPr>
        <w:t>.202</w:t>
      </w:r>
      <w:r w:rsidR="00381C5E">
        <w:rPr>
          <w:rFonts w:eastAsia="Times New Roman" w:cstheme="minorHAnsi"/>
          <w:sz w:val="28"/>
          <w:szCs w:val="28"/>
          <w:lang w:eastAsia="pl-PL"/>
        </w:rPr>
        <w:t>4</w:t>
      </w:r>
      <w:r>
        <w:rPr>
          <w:rFonts w:eastAsia="Times New Roman" w:cstheme="minorHAnsi"/>
          <w:sz w:val="28"/>
          <w:szCs w:val="28"/>
          <w:lang w:eastAsia="pl-PL"/>
        </w:rPr>
        <w:t xml:space="preserve"> r.</w:t>
      </w:r>
    </w:p>
    <w:p w14:paraId="421D5F9D" w14:textId="77777777" w:rsidR="00A00B46" w:rsidRDefault="00A00B46" w:rsidP="00A00B46">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7FDF6BF0" w14:textId="77777777" w:rsidR="007C4380" w:rsidRPr="006A2EB4" w:rsidRDefault="007C4380" w:rsidP="00A00B46">
      <w:pPr>
        <w:spacing w:after="120" w:line="240" w:lineRule="auto"/>
        <w:jc w:val="both"/>
        <w:rPr>
          <w:rFonts w:eastAsia="Calibri" w:cstheme="minorHAnsi"/>
          <w:sz w:val="28"/>
          <w:szCs w:val="28"/>
        </w:rPr>
      </w:pPr>
    </w:p>
    <w:p w14:paraId="6CB23E2B" w14:textId="544BBDBE" w:rsidR="001E33D8" w:rsidRDefault="00A00B46" w:rsidP="007C4380">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008F403E">
        <w:rPr>
          <w:rFonts w:cstheme="minorHAnsi"/>
          <w:sz w:val="28"/>
          <w:szCs w:val="28"/>
        </w:rPr>
        <w:t xml:space="preserve"> art. 49a w związku z art. 104 ustawy z dnia 14 czerwca 1960 r. – Kodeks postępowania administracyjnego (Dz. U. z 2023 r. poz. 775 i 803), w związku z </w:t>
      </w:r>
      <w:r w:rsidRPr="00001FCD">
        <w:rPr>
          <w:rFonts w:cstheme="minorHAnsi"/>
          <w:sz w:val="28"/>
          <w:szCs w:val="28"/>
        </w:rPr>
        <w:t>art. 53 ust. 1</w:t>
      </w:r>
      <w:r w:rsidR="008F403E">
        <w:rPr>
          <w:rFonts w:cstheme="minorHAnsi"/>
          <w:sz w:val="28"/>
          <w:szCs w:val="28"/>
        </w:rPr>
        <w:t>c</w:t>
      </w:r>
      <w:r w:rsidRPr="00001FCD">
        <w:rPr>
          <w:rFonts w:cstheme="minorHAnsi"/>
          <w:sz w:val="28"/>
          <w:szCs w:val="28"/>
        </w:rPr>
        <w:t xml:space="preserve"> ustawy z dnia 27 marca 2003 r. o planowaniu </w:t>
      </w:r>
      <w:r w:rsidRPr="000A38FE">
        <w:rPr>
          <w:rFonts w:cstheme="minorHAnsi"/>
          <w:sz w:val="28"/>
          <w:szCs w:val="28"/>
        </w:rPr>
        <w:t>i zagospodarowaniu przestrzennym (</w:t>
      </w:r>
      <w:r w:rsidRPr="000A38FE">
        <w:rPr>
          <w:sz w:val="28"/>
          <w:szCs w:val="28"/>
        </w:rPr>
        <w:t>Dz. U. z 2023 r. poz. 977, 1506, 1597, 1688, 1890</w:t>
      </w:r>
      <w:r>
        <w:rPr>
          <w:sz w:val="28"/>
          <w:szCs w:val="28"/>
        </w:rPr>
        <w:t xml:space="preserve">, </w:t>
      </w:r>
      <w:r w:rsidRPr="000A38FE">
        <w:rPr>
          <w:sz w:val="28"/>
          <w:szCs w:val="28"/>
        </w:rPr>
        <w:t>2029</w:t>
      </w:r>
      <w:r>
        <w:rPr>
          <w:sz w:val="28"/>
          <w:szCs w:val="28"/>
        </w:rPr>
        <w:t xml:space="preserve"> i 2739</w:t>
      </w:r>
      <w:r w:rsidRPr="000A38FE">
        <w:rPr>
          <w:rFonts w:cstheme="minorHAnsi"/>
          <w:sz w:val="28"/>
          <w:szCs w:val="28"/>
        </w:rPr>
        <w:t>).</w:t>
      </w:r>
    </w:p>
    <w:p w14:paraId="74560A41" w14:textId="77777777" w:rsidR="00E9384C" w:rsidRDefault="00E9384C" w:rsidP="001E33D8">
      <w:pPr>
        <w:rPr>
          <w:rFonts w:ascii="Calibri" w:eastAsia="Times New Roman" w:hAnsi="Calibri" w:cs="Calibri"/>
          <w:color w:val="FF0000"/>
          <w:sz w:val="28"/>
          <w:szCs w:val="28"/>
          <w:highlight w:val="yellow"/>
          <w:lang w:eastAsia="pl-PL"/>
        </w:rPr>
        <w:sectPr w:rsidR="00E9384C" w:rsidSect="00423408">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2F8C16AF"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lastRenderedPageBreak/>
        <w:t>Burmistrz Śremu</w:t>
      </w:r>
    </w:p>
    <w:p w14:paraId="2C4EF697"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ul. Plac 20 Października 1</w:t>
      </w:r>
    </w:p>
    <w:p w14:paraId="377A93C3" w14:textId="11E70918" w:rsidR="00F022DA" w:rsidRPr="004D2F43" w:rsidRDefault="00DF4357" w:rsidP="004D2F43">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63 – 100 Śrem</w:t>
      </w:r>
    </w:p>
    <w:p w14:paraId="0F42469C" w14:textId="77777777" w:rsidR="00C979A2" w:rsidRPr="00C979A2" w:rsidRDefault="00C979A2" w:rsidP="00C979A2">
      <w:pPr>
        <w:spacing w:after="120" w:line="240" w:lineRule="auto"/>
        <w:jc w:val="right"/>
        <w:rPr>
          <w:rFonts w:cstheme="minorHAnsi"/>
          <w:sz w:val="28"/>
          <w:szCs w:val="28"/>
        </w:rPr>
      </w:pPr>
      <w:r w:rsidRPr="00C979A2">
        <w:rPr>
          <w:rFonts w:cstheme="minorHAnsi"/>
          <w:sz w:val="28"/>
          <w:szCs w:val="28"/>
        </w:rPr>
        <w:t>Śrem, 19 marca 2024 roku</w:t>
      </w:r>
    </w:p>
    <w:p w14:paraId="7C9B7C26" w14:textId="77777777" w:rsidR="00C979A2" w:rsidRPr="00C979A2" w:rsidRDefault="00C979A2" w:rsidP="00C979A2">
      <w:pPr>
        <w:spacing w:after="120" w:line="240" w:lineRule="auto"/>
        <w:jc w:val="both"/>
        <w:rPr>
          <w:rFonts w:cstheme="minorHAnsi"/>
          <w:bCs/>
          <w:sz w:val="28"/>
          <w:szCs w:val="28"/>
        </w:rPr>
      </w:pPr>
      <w:r w:rsidRPr="00C979A2">
        <w:rPr>
          <w:rFonts w:cstheme="minorHAnsi"/>
          <w:sz w:val="28"/>
          <w:szCs w:val="28"/>
        </w:rPr>
        <w:t>PPSPP.6730.8.2024.KSAN</w:t>
      </w:r>
    </w:p>
    <w:p w14:paraId="73F6C7D2" w14:textId="77777777" w:rsidR="00C979A2" w:rsidRPr="00C979A2" w:rsidRDefault="00C979A2" w:rsidP="00C979A2">
      <w:pPr>
        <w:spacing w:after="120" w:line="240" w:lineRule="auto"/>
        <w:jc w:val="center"/>
        <w:rPr>
          <w:rFonts w:cstheme="minorHAnsi"/>
          <w:bCs/>
          <w:sz w:val="28"/>
          <w:szCs w:val="28"/>
        </w:rPr>
      </w:pPr>
      <w:r w:rsidRPr="00C979A2">
        <w:rPr>
          <w:rFonts w:cstheme="minorHAnsi"/>
          <w:bCs/>
          <w:sz w:val="28"/>
          <w:szCs w:val="28"/>
        </w:rPr>
        <w:t>Decyzja nr 23/2024</w:t>
      </w:r>
      <w:r w:rsidRPr="00C979A2">
        <w:rPr>
          <w:rFonts w:cstheme="minorHAnsi"/>
          <w:bCs/>
          <w:sz w:val="28"/>
          <w:szCs w:val="28"/>
        </w:rPr>
        <w:br/>
        <w:t xml:space="preserve"> o warunkach zabudowy</w:t>
      </w:r>
    </w:p>
    <w:p w14:paraId="5D5CB39B" w14:textId="77777777" w:rsidR="00C979A2" w:rsidRPr="00C979A2" w:rsidRDefault="00C979A2" w:rsidP="00C979A2">
      <w:pPr>
        <w:spacing w:after="120" w:line="240" w:lineRule="auto"/>
        <w:jc w:val="both"/>
        <w:rPr>
          <w:rFonts w:cstheme="minorHAnsi"/>
          <w:sz w:val="28"/>
          <w:szCs w:val="28"/>
        </w:rPr>
      </w:pPr>
    </w:p>
    <w:p w14:paraId="486325F0"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Na podstawie art. 4 ust. 2 pkt 2 w związku z art. 59 ust. 1 i art. 60 ust. 1 ustawy z dnia 27 marca 2003 r. o planowaniu i zagospodarowaniu przestrzennym (Dz. U. z 2023 r. poz. 977, 1506, 1597, 1688, 1890, 2029 i 2739), zwanej dalej u.p.z.p., oraz art. 104 ustawy z dnia 14 czerwca 1960 r. – Kodeks postępowania administracyjnego (Dz. U. z 2023 r. poz. 755 i 803), po rozpatrzeniu wniosku złożonego 19.01.2024 r., przez:</w:t>
      </w:r>
    </w:p>
    <w:p w14:paraId="1EB33FDB" w14:textId="035A57D7" w:rsidR="00C979A2" w:rsidRPr="00C979A2" w:rsidRDefault="00D60F4F" w:rsidP="00C979A2">
      <w:pPr>
        <w:spacing w:after="120" w:line="240" w:lineRule="auto"/>
        <w:jc w:val="center"/>
        <w:rPr>
          <w:rFonts w:cstheme="minorHAnsi"/>
          <w:sz w:val="28"/>
          <w:szCs w:val="28"/>
        </w:rPr>
      </w:pPr>
      <w:r>
        <w:rPr>
          <w:rFonts w:cstheme="minorHAnsi"/>
          <w:sz w:val="28"/>
          <w:szCs w:val="28"/>
        </w:rPr>
        <w:t>Osobę fizyczną</w:t>
      </w:r>
    </w:p>
    <w:p w14:paraId="5DA57BF7" w14:textId="77777777" w:rsidR="00C979A2" w:rsidRPr="00C979A2" w:rsidRDefault="00C979A2" w:rsidP="00C979A2">
      <w:pPr>
        <w:spacing w:after="120" w:line="240" w:lineRule="auto"/>
        <w:jc w:val="both"/>
        <w:rPr>
          <w:rFonts w:cstheme="minorHAnsi"/>
          <w:i/>
          <w:color w:val="0070C0"/>
          <w:sz w:val="28"/>
          <w:szCs w:val="28"/>
        </w:rPr>
      </w:pPr>
      <w:r w:rsidRPr="00C979A2">
        <w:rPr>
          <w:rFonts w:cstheme="minorHAnsi"/>
          <w:sz w:val="28"/>
          <w:szCs w:val="28"/>
        </w:rPr>
        <w:t>w sprawie ustalenia warunków zabudowy dla przedsięwzięcia: budowa garażu na terenie działki o nr ewid. 1843, obręb Śrem</w:t>
      </w:r>
    </w:p>
    <w:p w14:paraId="3091908B" w14:textId="77777777" w:rsidR="00C979A2" w:rsidRPr="00C979A2" w:rsidRDefault="00C979A2" w:rsidP="00C979A2">
      <w:pPr>
        <w:spacing w:after="120" w:line="240" w:lineRule="auto"/>
        <w:jc w:val="center"/>
        <w:rPr>
          <w:rFonts w:cstheme="minorHAnsi"/>
          <w:sz w:val="28"/>
          <w:szCs w:val="28"/>
        </w:rPr>
      </w:pPr>
      <w:r w:rsidRPr="00C979A2">
        <w:rPr>
          <w:rFonts w:cstheme="minorHAnsi"/>
          <w:sz w:val="28"/>
          <w:szCs w:val="28"/>
        </w:rPr>
        <w:t>ustalam</w:t>
      </w:r>
      <w:r w:rsidRPr="00C979A2">
        <w:rPr>
          <w:rFonts w:cstheme="minorHAnsi"/>
          <w:sz w:val="28"/>
          <w:szCs w:val="28"/>
        </w:rPr>
        <w:br/>
        <w:t xml:space="preserve"> na rzecz Wnioskodawcy</w:t>
      </w:r>
      <w:r w:rsidRPr="00C979A2">
        <w:rPr>
          <w:rFonts w:cstheme="minorHAnsi"/>
          <w:sz w:val="28"/>
          <w:szCs w:val="28"/>
        </w:rPr>
        <w:br/>
        <w:t xml:space="preserve"> następujące warunki zabudowy i zagospodarowania terenu:</w:t>
      </w:r>
    </w:p>
    <w:p w14:paraId="5B62E7DB" w14:textId="77777777" w:rsidR="00C979A2" w:rsidRPr="00C979A2" w:rsidRDefault="00C979A2" w:rsidP="00C979A2">
      <w:pPr>
        <w:tabs>
          <w:tab w:val="left" w:pos="426"/>
        </w:tabs>
        <w:spacing w:after="120" w:line="240" w:lineRule="auto"/>
        <w:jc w:val="both"/>
        <w:rPr>
          <w:rFonts w:cstheme="minorHAnsi"/>
          <w:sz w:val="28"/>
          <w:szCs w:val="28"/>
        </w:rPr>
      </w:pPr>
      <w:r w:rsidRPr="00C979A2">
        <w:rPr>
          <w:rFonts w:cstheme="minorHAnsi"/>
          <w:sz w:val="28"/>
          <w:szCs w:val="28"/>
        </w:rPr>
        <w:t>1.</w:t>
      </w:r>
      <w:r w:rsidRPr="00C979A2">
        <w:rPr>
          <w:rFonts w:cstheme="minorHAnsi"/>
          <w:sz w:val="28"/>
          <w:szCs w:val="28"/>
        </w:rPr>
        <w:tab/>
        <w:t>Opis inwestycji:</w:t>
      </w:r>
    </w:p>
    <w:p w14:paraId="7C65A1B5" w14:textId="77777777" w:rsidR="00C979A2" w:rsidRPr="00C979A2" w:rsidRDefault="00C979A2" w:rsidP="00C979A2">
      <w:pPr>
        <w:numPr>
          <w:ilvl w:val="0"/>
          <w:numId w:val="5"/>
        </w:numPr>
        <w:tabs>
          <w:tab w:val="left" w:pos="567"/>
        </w:tabs>
        <w:spacing w:after="120" w:line="240" w:lineRule="auto"/>
        <w:ind w:left="567"/>
        <w:contextualSpacing/>
        <w:jc w:val="both"/>
        <w:rPr>
          <w:rFonts w:cstheme="minorHAnsi"/>
          <w:sz w:val="28"/>
          <w:szCs w:val="28"/>
        </w:rPr>
      </w:pPr>
      <w:r w:rsidRPr="00C979A2">
        <w:rPr>
          <w:rFonts w:cstheme="minorHAnsi"/>
          <w:sz w:val="28"/>
          <w:szCs w:val="28"/>
        </w:rPr>
        <w:t>rodzaj: garaż wolnostojący;</w:t>
      </w:r>
    </w:p>
    <w:p w14:paraId="61F9A532" w14:textId="77777777" w:rsidR="00C979A2" w:rsidRPr="00C979A2" w:rsidRDefault="00C979A2" w:rsidP="00C979A2">
      <w:pPr>
        <w:numPr>
          <w:ilvl w:val="0"/>
          <w:numId w:val="5"/>
        </w:numPr>
        <w:tabs>
          <w:tab w:val="left" w:pos="567"/>
        </w:tabs>
        <w:spacing w:after="120" w:line="240" w:lineRule="auto"/>
        <w:ind w:left="567"/>
        <w:contextualSpacing/>
        <w:jc w:val="both"/>
        <w:rPr>
          <w:rFonts w:cstheme="minorHAnsi"/>
          <w:sz w:val="28"/>
          <w:szCs w:val="28"/>
        </w:rPr>
      </w:pPr>
      <w:r w:rsidRPr="00C979A2">
        <w:rPr>
          <w:rFonts w:cstheme="minorHAnsi"/>
          <w:sz w:val="28"/>
          <w:szCs w:val="28"/>
        </w:rPr>
        <w:t>lokalizacja: działka o nr ewid. 1843, obręb Śrem, zgodnie z liniami rozgraniczającymi teren inwestycji wyznaczonymi na mapie, stanowiącej załącznik nr 1 do decyzji;</w:t>
      </w:r>
    </w:p>
    <w:p w14:paraId="41436686" w14:textId="77777777" w:rsidR="00C979A2" w:rsidRPr="00C979A2" w:rsidRDefault="00C979A2" w:rsidP="00C979A2">
      <w:pPr>
        <w:numPr>
          <w:ilvl w:val="0"/>
          <w:numId w:val="5"/>
        </w:numPr>
        <w:tabs>
          <w:tab w:val="left" w:pos="567"/>
        </w:tabs>
        <w:spacing w:after="120" w:line="240" w:lineRule="auto"/>
        <w:ind w:left="567"/>
        <w:contextualSpacing/>
        <w:jc w:val="both"/>
        <w:rPr>
          <w:rFonts w:cstheme="minorHAnsi"/>
          <w:sz w:val="28"/>
          <w:szCs w:val="28"/>
        </w:rPr>
      </w:pPr>
      <w:r w:rsidRPr="00C979A2">
        <w:rPr>
          <w:rFonts w:cstheme="minorHAnsi"/>
          <w:sz w:val="28"/>
          <w:szCs w:val="28"/>
        </w:rPr>
        <w:t>funkcja zabudowy i zagospodarowania terenu: mieszkaniowa.</w:t>
      </w:r>
    </w:p>
    <w:p w14:paraId="51C10A14" w14:textId="77777777" w:rsidR="00C979A2" w:rsidRPr="00C979A2" w:rsidRDefault="00C979A2" w:rsidP="00C979A2">
      <w:pPr>
        <w:tabs>
          <w:tab w:val="left" w:pos="426"/>
        </w:tabs>
        <w:spacing w:after="120" w:line="240" w:lineRule="auto"/>
        <w:jc w:val="both"/>
        <w:rPr>
          <w:rFonts w:cstheme="minorHAnsi"/>
          <w:sz w:val="28"/>
          <w:szCs w:val="28"/>
        </w:rPr>
      </w:pPr>
      <w:r w:rsidRPr="00C979A2">
        <w:rPr>
          <w:rFonts w:cstheme="minorHAnsi"/>
          <w:sz w:val="28"/>
          <w:szCs w:val="28"/>
        </w:rPr>
        <w:t>2.</w:t>
      </w:r>
      <w:r w:rsidRPr="00C979A2">
        <w:rPr>
          <w:rFonts w:cstheme="minorHAnsi"/>
          <w:sz w:val="28"/>
          <w:szCs w:val="28"/>
        </w:rPr>
        <w:tab/>
        <w:t>Warunki i szczegółowe zasady zagospodarowania terenu oraz jego zabudowy wynikające z przepisów odrębnych w zakresie:</w:t>
      </w:r>
    </w:p>
    <w:p w14:paraId="75AC9494" w14:textId="77777777" w:rsidR="00C979A2" w:rsidRPr="00C979A2" w:rsidRDefault="00C979A2" w:rsidP="00C979A2">
      <w:pPr>
        <w:numPr>
          <w:ilvl w:val="0"/>
          <w:numId w:val="6"/>
        </w:numPr>
        <w:tabs>
          <w:tab w:val="left" w:pos="567"/>
        </w:tabs>
        <w:spacing w:after="120" w:line="240" w:lineRule="auto"/>
        <w:ind w:left="567"/>
        <w:contextualSpacing/>
        <w:jc w:val="both"/>
        <w:rPr>
          <w:rFonts w:cstheme="minorHAnsi"/>
          <w:sz w:val="28"/>
          <w:szCs w:val="28"/>
        </w:rPr>
      </w:pPr>
      <w:r w:rsidRPr="00C979A2">
        <w:rPr>
          <w:rFonts w:cstheme="minorHAnsi"/>
          <w:sz w:val="28"/>
          <w:szCs w:val="28"/>
        </w:rPr>
        <w:t>warunków i wymagań ochrony i kształtowania ładu przestrzennego:</w:t>
      </w:r>
    </w:p>
    <w:p w14:paraId="78CCE082" w14:textId="77777777" w:rsidR="00C979A2" w:rsidRPr="00C979A2" w:rsidRDefault="00C979A2" w:rsidP="00C979A2">
      <w:pPr>
        <w:numPr>
          <w:ilvl w:val="0"/>
          <w:numId w:val="18"/>
        </w:numPr>
        <w:spacing w:after="120" w:line="240" w:lineRule="auto"/>
        <w:contextualSpacing/>
        <w:jc w:val="both"/>
        <w:rPr>
          <w:rFonts w:cstheme="minorHAnsi"/>
          <w:sz w:val="28"/>
          <w:szCs w:val="28"/>
        </w:rPr>
      </w:pPr>
      <w:r w:rsidRPr="00C979A2">
        <w:rPr>
          <w:rFonts w:cstheme="minorHAnsi"/>
          <w:sz w:val="28"/>
          <w:szCs w:val="28"/>
        </w:rPr>
        <w:t xml:space="preserve">linia zabudowy: wyznaczona jako nieprzekraczalna, ustalona wzdłuż budynku mieszkalnego zlokalizowanego na działce objętej wnioskiem, zgodnie z przepisami odrębnymi i oznaczająca linię wyznaczającą najmniejszą odległość, w której mogą być zlokalizowane zewnętrzne krawędzie ścian zewnętrznych budynku od drogi publicznej, przy czym okapy i gzymsy, mogą wykraczać przed nieprzekraczalne linie zabudowy o nie więcej niż 0,8 m, </w:t>
      </w:r>
    </w:p>
    <w:p w14:paraId="66CDC70C" w14:textId="77777777" w:rsidR="00C979A2" w:rsidRPr="00C979A2" w:rsidRDefault="00C979A2" w:rsidP="00C979A2">
      <w:pPr>
        <w:numPr>
          <w:ilvl w:val="0"/>
          <w:numId w:val="18"/>
        </w:numPr>
        <w:spacing w:after="120" w:line="240" w:lineRule="auto"/>
        <w:contextualSpacing/>
        <w:jc w:val="both"/>
        <w:rPr>
          <w:rFonts w:cstheme="minorHAnsi"/>
          <w:sz w:val="28"/>
          <w:szCs w:val="28"/>
        </w:rPr>
      </w:pPr>
      <w:r w:rsidRPr="00C979A2">
        <w:rPr>
          <w:rFonts w:cstheme="minorHAnsi"/>
          <w:sz w:val="28"/>
          <w:szCs w:val="28"/>
        </w:rPr>
        <w:lastRenderedPageBreak/>
        <w:t>wskaźnik powierzchni zabudowy (istniejącej i projektowanej): od 20,9 % do 28,2 % powierzchni terenu,</w:t>
      </w:r>
    </w:p>
    <w:p w14:paraId="7F59FFE1" w14:textId="77777777" w:rsidR="00C979A2" w:rsidRPr="00C979A2" w:rsidRDefault="00C979A2" w:rsidP="00C979A2">
      <w:pPr>
        <w:numPr>
          <w:ilvl w:val="0"/>
          <w:numId w:val="18"/>
        </w:numPr>
        <w:spacing w:after="120" w:line="240" w:lineRule="auto"/>
        <w:contextualSpacing/>
        <w:jc w:val="both"/>
        <w:rPr>
          <w:rFonts w:cstheme="minorHAnsi"/>
          <w:sz w:val="28"/>
          <w:szCs w:val="28"/>
        </w:rPr>
      </w:pPr>
      <w:r w:rsidRPr="00C979A2">
        <w:rPr>
          <w:rFonts w:cstheme="minorHAnsi"/>
          <w:sz w:val="28"/>
          <w:szCs w:val="28"/>
        </w:rPr>
        <w:t>powierzchnia biologicznie czynna: nie mniej niż 45 % powierzchni terenu,</w:t>
      </w:r>
    </w:p>
    <w:p w14:paraId="3ABA69DA" w14:textId="77777777" w:rsidR="00C979A2" w:rsidRPr="00C979A2" w:rsidRDefault="00C979A2" w:rsidP="00C979A2">
      <w:pPr>
        <w:numPr>
          <w:ilvl w:val="0"/>
          <w:numId w:val="18"/>
        </w:numPr>
        <w:spacing w:after="120" w:line="240" w:lineRule="auto"/>
        <w:contextualSpacing/>
        <w:jc w:val="both"/>
        <w:rPr>
          <w:rFonts w:cstheme="minorHAnsi"/>
          <w:sz w:val="28"/>
          <w:szCs w:val="28"/>
        </w:rPr>
      </w:pPr>
      <w:r w:rsidRPr="00C979A2">
        <w:rPr>
          <w:rFonts w:cstheme="minorHAnsi"/>
          <w:sz w:val="28"/>
          <w:szCs w:val="28"/>
        </w:rPr>
        <w:t>szerokość elewacji frontowej</w:t>
      </w:r>
      <w:r w:rsidRPr="00C979A2">
        <w:rPr>
          <w:rFonts w:cstheme="minorHAnsi"/>
          <w:sz w:val="28"/>
          <w:szCs w:val="28"/>
          <w:vertAlign w:val="superscript"/>
        </w:rPr>
        <w:footnoteReference w:id="1"/>
      </w:r>
      <w:r w:rsidRPr="00C979A2">
        <w:rPr>
          <w:rFonts w:cstheme="minorHAnsi"/>
          <w:sz w:val="28"/>
          <w:szCs w:val="28"/>
        </w:rPr>
        <w:t xml:space="preserve"> budynku: od 5,0 m do 5,7 m,</w:t>
      </w:r>
    </w:p>
    <w:p w14:paraId="1C7BA7A4" w14:textId="77777777" w:rsidR="00C979A2" w:rsidRPr="00C979A2" w:rsidRDefault="00C979A2" w:rsidP="00C979A2">
      <w:pPr>
        <w:numPr>
          <w:ilvl w:val="0"/>
          <w:numId w:val="18"/>
        </w:numPr>
        <w:spacing w:after="120" w:line="240" w:lineRule="auto"/>
        <w:contextualSpacing/>
        <w:jc w:val="both"/>
        <w:rPr>
          <w:rFonts w:cstheme="minorHAnsi"/>
          <w:sz w:val="28"/>
          <w:szCs w:val="28"/>
        </w:rPr>
      </w:pPr>
      <w:r w:rsidRPr="00C979A2">
        <w:rPr>
          <w:rFonts w:cstheme="minorHAnsi"/>
          <w:sz w:val="28"/>
          <w:szCs w:val="28"/>
        </w:rPr>
        <w:t>wysokość górnej krawędzi elewacji frontowej budynku, jej gzymsu lub attyki: od 3,0 m do 3,5 m,</w:t>
      </w:r>
    </w:p>
    <w:p w14:paraId="4EDAF114" w14:textId="77777777" w:rsidR="00C979A2" w:rsidRPr="00C979A2" w:rsidRDefault="00C979A2" w:rsidP="00C979A2">
      <w:pPr>
        <w:numPr>
          <w:ilvl w:val="0"/>
          <w:numId w:val="18"/>
        </w:numPr>
        <w:spacing w:after="120" w:line="240" w:lineRule="auto"/>
        <w:contextualSpacing/>
        <w:jc w:val="both"/>
        <w:rPr>
          <w:rFonts w:cstheme="minorHAnsi"/>
          <w:sz w:val="28"/>
          <w:szCs w:val="28"/>
        </w:rPr>
      </w:pPr>
      <w:r w:rsidRPr="00C979A2">
        <w:rPr>
          <w:rFonts w:cstheme="minorHAnsi"/>
          <w:sz w:val="28"/>
          <w:szCs w:val="28"/>
        </w:rPr>
        <w:t>liczba kondygnacji nadziemnych: 1,</w:t>
      </w:r>
    </w:p>
    <w:p w14:paraId="405F7670" w14:textId="77777777" w:rsidR="00C979A2" w:rsidRPr="00C979A2" w:rsidRDefault="00C979A2" w:rsidP="00C979A2">
      <w:pPr>
        <w:numPr>
          <w:ilvl w:val="0"/>
          <w:numId w:val="18"/>
        </w:numPr>
        <w:spacing w:after="120" w:line="240" w:lineRule="auto"/>
        <w:contextualSpacing/>
        <w:jc w:val="both"/>
        <w:rPr>
          <w:rFonts w:cstheme="minorHAnsi"/>
          <w:sz w:val="28"/>
          <w:szCs w:val="28"/>
        </w:rPr>
      </w:pPr>
      <w:r w:rsidRPr="00C979A2">
        <w:rPr>
          <w:rFonts w:cstheme="minorHAnsi"/>
          <w:sz w:val="28"/>
          <w:szCs w:val="28"/>
        </w:rPr>
        <w:t>geometria dachu:</w:t>
      </w:r>
    </w:p>
    <w:p w14:paraId="294F8F4A" w14:textId="77777777" w:rsidR="00C979A2" w:rsidRPr="00C979A2" w:rsidRDefault="00C979A2" w:rsidP="00C979A2">
      <w:pPr>
        <w:numPr>
          <w:ilvl w:val="0"/>
          <w:numId w:val="19"/>
        </w:numPr>
        <w:spacing w:after="0" w:line="240" w:lineRule="auto"/>
        <w:ind w:left="993"/>
        <w:contextualSpacing/>
        <w:jc w:val="both"/>
        <w:rPr>
          <w:rFonts w:cstheme="minorHAnsi"/>
          <w:sz w:val="28"/>
          <w:szCs w:val="28"/>
        </w:rPr>
      </w:pPr>
      <w:r w:rsidRPr="00C979A2">
        <w:rPr>
          <w:rFonts w:cstheme="minorHAnsi"/>
          <w:sz w:val="28"/>
          <w:szCs w:val="28"/>
        </w:rPr>
        <w:t xml:space="preserve">kąt nachylenia głównych połaci dachu: nie większy niż 20˚, </w:t>
      </w:r>
    </w:p>
    <w:p w14:paraId="6C38D33C" w14:textId="77777777" w:rsidR="00C979A2" w:rsidRPr="00C979A2" w:rsidRDefault="00C979A2" w:rsidP="00C979A2">
      <w:pPr>
        <w:numPr>
          <w:ilvl w:val="0"/>
          <w:numId w:val="19"/>
        </w:numPr>
        <w:spacing w:after="120" w:line="240" w:lineRule="auto"/>
        <w:ind w:left="993"/>
        <w:contextualSpacing/>
        <w:jc w:val="both"/>
        <w:rPr>
          <w:rFonts w:cstheme="minorHAnsi"/>
          <w:sz w:val="28"/>
          <w:szCs w:val="28"/>
        </w:rPr>
      </w:pPr>
      <w:r w:rsidRPr="00C979A2">
        <w:rPr>
          <w:rFonts w:cstheme="minorHAnsi"/>
          <w:sz w:val="28"/>
          <w:szCs w:val="28"/>
        </w:rPr>
        <w:t>wysokość głównej kalenicy budynku: od 3,0 m do 3,5 m,</w:t>
      </w:r>
    </w:p>
    <w:p w14:paraId="5B0C9E54" w14:textId="77777777" w:rsidR="00C979A2" w:rsidRPr="00C979A2" w:rsidRDefault="00C979A2" w:rsidP="00C979A2">
      <w:pPr>
        <w:numPr>
          <w:ilvl w:val="0"/>
          <w:numId w:val="19"/>
        </w:numPr>
        <w:spacing w:after="120" w:line="240" w:lineRule="auto"/>
        <w:ind w:left="993"/>
        <w:contextualSpacing/>
        <w:jc w:val="both"/>
        <w:rPr>
          <w:rFonts w:cstheme="minorHAnsi"/>
          <w:sz w:val="28"/>
          <w:szCs w:val="28"/>
        </w:rPr>
      </w:pPr>
      <w:r w:rsidRPr="00C979A2">
        <w:rPr>
          <w:rFonts w:cstheme="minorHAnsi"/>
          <w:sz w:val="28"/>
          <w:szCs w:val="28"/>
        </w:rPr>
        <w:t>układ głównych połaci dachowych: jednospadowy;</w:t>
      </w:r>
    </w:p>
    <w:p w14:paraId="0E22EE56" w14:textId="77777777" w:rsidR="00C979A2" w:rsidRPr="00C979A2" w:rsidRDefault="00C979A2" w:rsidP="00C979A2">
      <w:pPr>
        <w:numPr>
          <w:ilvl w:val="0"/>
          <w:numId w:val="6"/>
        </w:numPr>
        <w:spacing w:after="120" w:line="240" w:lineRule="auto"/>
        <w:ind w:left="567"/>
        <w:contextualSpacing/>
        <w:jc w:val="both"/>
        <w:rPr>
          <w:rFonts w:cstheme="minorHAnsi"/>
          <w:sz w:val="28"/>
          <w:szCs w:val="28"/>
        </w:rPr>
      </w:pPr>
      <w:r w:rsidRPr="00C979A2">
        <w:rPr>
          <w:rFonts w:cstheme="minorHAnsi"/>
          <w:sz w:val="28"/>
          <w:szCs w:val="28"/>
        </w:rPr>
        <w:t>obsługi w zakresie infrastruktury technicznej i komunikacji:</w:t>
      </w:r>
    </w:p>
    <w:p w14:paraId="6D1E0958" w14:textId="77777777" w:rsidR="00C979A2" w:rsidRPr="00C979A2" w:rsidRDefault="00C979A2" w:rsidP="00C979A2">
      <w:pPr>
        <w:numPr>
          <w:ilvl w:val="0"/>
          <w:numId w:val="21"/>
        </w:numPr>
        <w:tabs>
          <w:tab w:val="left" w:pos="709"/>
        </w:tabs>
        <w:spacing w:after="120" w:line="240" w:lineRule="auto"/>
        <w:contextualSpacing/>
        <w:jc w:val="both"/>
        <w:rPr>
          <w:rFonts w:cstheme="minorHAnsi"/>
          <w:sz w:val="28"/>
          <w:szCs w:val="28"/>
        </w:rPr>
      </w:pPr>
      <w:r w:rsidRPr="00C979A2">
        <w:rPr>
          <w:rFonts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34596656" w14:textId="77777777" w:rsidR="00C979A2" w:rsidRPr="00C979A2" w:rsidRDefault="00C979A2" w:rsidP="00C979A2">
      <w:pPr>
        <w:numPr>
          <w:ilvl w:val="0"/>
          <w:numId w:val="21"/>
        </w:numPr>
        <w:tabs>
          <w:tab w:val="left" w:pos="709"/>
        </w:tabs>
        <w:spacing w:after="120" w:line="240" w:lineRule="auto"/>
        <w:contextualSpacing/>
        <w:jc w:val="both"/>
        <w:rPr>
          <w:rFonts w:cstheme="minorHAnsi"/>
          <w:sz w:val="28"/>
          <w:szCs w:val="28"/>
        </w:rPr>
      </w:pPr>
      <w:r w:rsidRPr="00C979A2">
        <w:rPr>
          <w:rFonts w:cstheme="minorHAnsi"/>
          <w:sz w:val="28"/>
          <w:szCs w:val="28"/>
        </w:rPr>
        <w:t>gospodarowanie odpadami: zgodnie z przepisami odrębnymi,</w:t>
      </w:r>
    </w:p>
    <w:p w14:paraId="64B7C456" w14:textId="77777777" w:rsidR="00C979A2" w:rsidRPr="00C979A2" w:rsidRDefault="00C979A2" w:rsidP="00C979A2">
      <w:pPr>
        <w:numPr>
          <w:ilvl w:val="0"/>
          <w:numId w:val="21"/>
        </w:numPr>
        <w:tabs>
          <w:tab w:val="left" w:pos="709"/>
        </w:tabs>
        <w:spacing w:after="120" w:line="240" w:lineRule="auto"/>
        <w:contextualSpacing/>
        <w:jc w:val="both"/>
        <w:rPr>
          <w:rFonts w:cstheme="minorHAnsi"/>
          <w:iCs/>
          <w:color w:val="0070C0"/>
          <w:sz w:val="28"/>
          <w:szCs w:val="28"/>
        </w:rPr>
      </w:pPr>
      <w:r w:rsidRPr="00C979A2">
        <w:rPr>
          <w:rFonts w:cstheme="minorHAnsi"/>
          <w:sz w:val="28"/>
          <w:szCs w:val="28"/>
        </w:rPr>
        <w:t>dostęp do drogi publicznej: bezpośredni do drogi publicznej (gminnej) – ul. Przemysłowej, poprzez istniejący zjazd;</w:t>
      </w:r>
    </w:p>
    <w:p w14:paraId="78F401F0" w14:textId="77777777" w:rsidR="00C979A2" w:rsidRPr="00C979A2" w:rsidRDefault="00C979A2" w:rsidP="00C979A2">
      <w:pPr>
        <w:numPr>
          <w:ilvl w:val="0"/>
          <w:numId w:val="6"/>
        </w:numPr>
        <w:spacing w:after="120" w:line="240" w:lineRule="auto"/>
        <w:ind w:left="567" w:hanging="425"/>
        <w:contextualSpacing/>
        <w:jc w:val="both"/>
        <w:rPr>
          <w:rFonts w:cstheme="minorHAnsi"/>
          <w:sz w:val="28"/>
          <w:szCs w:val="28"/>
        </w:rPr>
      </w:pPr>
      <w:r w:rsidRPr="00C979A2">
        <w:rPr>
          <w:rFonts w:cstheme="minorHAnsi"/>
          <w:sz w:val="28"/>
          <w:szCs w:val="28"/>
        </w:rPr>
        <w:t>wymagań dotyczących ochrony interesów osób trzecich:</w:t>
      </w:r>
    </w:p>
    <w:p w14:paraId="43FB4734" w14:textId="77777777" w:rsidR="00C979A2" w:rsidRPr="00C979A2" w:rsidRDefault="00C979A2" w:rsidP="00C979A2">
      <w:pPr>
        <w:numPr>
          <w:ilvl w:val="0"/>
          <w:numId w:val="7"/>
        </w:numPr>
        <w:spacing w:after="120" w:line="240" w:lineRule="auto"/>
        <w:contextualSpacing/>
        <w:jc w:val="both"/>
        <w:rPr>
          <w:rFonts w:cstheme="minorHAnsi"/>
          <w:sz w:val="28"/>
          <w:szCs w:val="28"/>
        </w:rPr>
      </w:pPr>
      <w:r w:rsidRPr="00C979A2">
        <w:rPr>
          <w:rFonts w:cstheme="minorHAnsi"/>
          <w:sz w:val="28"/>
          <w:szCs w:val="28"/>
        </w:rPr>
        <w:t xml:space="preserve">warunki ochrony przed pozbawieniem: </w:t>
      </w:r>
    </w:p>
    <w:p w14:paraId="19E768D7" w14:textId="77777777" w:rsidR="00C979A2" w:rsidRPr="00C979A2" w:rsidRDefault="00C979A2" w:rsidP="00C979A2">
      <w:pPr>
        <w:numPr>
          <w:ilvl w:val="0"/>
          <w:numId w:val="8"/>
        </w:numPr>
        <w:spacing w:after="120" w:line="240" w:lineRule="auto"/>
        <w:ind w:left="993" w:hanging="426"/>
        <w:contextualSpacing/>
        <w:jc w:val="both"/>
        <w:rPr>
          <w:rFonts w:cstheme="minorHAnsi"/>
          <w:sz w:val="28"/>
          <w:szCs w:val="28"/>
        </w:rPr>
      </w:pPr>
      <w:r w:rsidRPr="00C979A2">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5DADB680" w14:textId="77777777" w:rsidR="00C979A2" w:rsidRPr="00C979A2" w:rsidRDefault="00C979A2" w:rsidP="00C979A2">
      <w:pPr>
        <w:numPr>
          <w:ilvl w:val="0"/>
          <w:numId w:val="8"/>
        </w:numPr>
        <w:spacing w:after="120" w:line="240" w:lineRule="auto"/>
        <w:ind w:left="993" w:hanging="426"/>
        <w:contextualSpacing/>
        <w:jc w:val="both"/>
        <w:rPr>
          <w:rFonts w:cstheme="minorHAnsi"/>
          <w:sz w:val="28"/>
          <w:szCs w:val="28"/>
        </w:rPr>
      </w:pPr>
      <w:r w:rsidRPr="00C979A2">
        <w:rPr>
          <w:rFonts w:cstheme="minorHAnsi"/>
          <w:sz w:val="28"/>
          <w:szCs w:val="28"/>
        </w:rPr>
        <w:t>dostępu światła dziennego do pomieszczeń przeznaczonych na pobyt ludzi – inwestycja i sposób zagospodarowania terenu powinny spełniać wymogi zawarte w przepisach techniczno – budowlanych, a jednocześnie na etapie opracowania projektu budowlanego należy uwzględnić wymagania w zakresie ochrony uzasadnionych interesów osób trzecich,</w:t>
      </w:r>
    </w:p>
    <w:p w14:paraId="52B0AF99" w14:textId="77777777" w:rsidR="00C979A2" w:rsidRPr="00C979A2" w:rsidRDefault="00C979A2" w:rsidP="00C979A2">
      <w:pPr>
        <w:spacing w:after="120" w:line="240" w:lineRule="auto"/>
        <w:jc w:val="both"/>
        <w:rPr>
          <w:rFonts w:cstheme="minorHAnsi"/>
          <w:sz w:val="28"/>
          <w:szCs w:val="28"/>
        </w:rPr>
      </w:pPr>
    </w:p>
    <w:p w14:paraId="5F4D5D6B" w14:textId="77777777" w:rsidR="00C979A2" w:rsidRPr="00C979A2" w:rsidRDefault="00C979A2" w:rsidP="00C979A2">
      <w:pPr>
        <w:numPr>
          <w:ilvl w:val="0"/>
          <w:numId w:val="7"/>
        </w:numPr>
        <w:spacing w:after="120" w:line="240" w:lineRule="auto"/>
        <w:contextualSpacing/>
        <w:jc w:val="both"/>
        <w:rPr>
          <w:rFonts w:cstheme="minorHAnsi"/>
          <w:sz w:val="28"/>
          <w:szCs w:val="28"/>
        </w:rPr>
      </w:pPr>
      <w:r w:rsidRPr="00C979A2">
        <w:rPr>
          <w:rFonts w:cstheme="minorHAnsi"/>
          <w:sz w:val="28"/>
          <w:szCs w:val="28"/>
        </w:rPr>
        <w:lastRenderedPageBreak/>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3605ADBC" w14:textId="77777777" w:rsidR="00C979A2" w:rsidRPr="00C979A2" w:rsidRDefault="00C979A2" w:rsidP="00C979A2">
      <w:pPr>
        <w:tabs>
          <w:tab w:val="left" w:pos="426"/>
        </w:tabs>
        <w:spacing w:after="120" w:line="240" w:lineRule="auto"/>
        <w:jc w:val="both"/>
        <w:rPr>
          <w:rFonts w:cstheme="minorHAnsi"/>
          <w:bCs/>
          <w:sz w:val="28"/>
          <w:szCs w:val="28"/>
        </w:rPr>
      </w:pPr>
      <w:r w:rsidRPr="00C979A2">
        <w:rPr>
          <w:rFonts w:cstheme="minorHAnsi"/>
          <w:bCs/>
          <w:sz w:val="28"/>
          <w:szCs w:val="28"/>
        </w:rPr>
        <w:t>3.</w:t>
      </w:r>
      <w:r w:rsidRPr="00C979A2">
        <w:rPr>
          <w:rFonts w:cstheme="minorHAnsi"/>
          <w:bCs/>
          <w:sz w:val="28"/>
          <w:szCs w:val="28"/>
        </w:rPr>
        <w:tab/>
        <w:t>Linie rozgraniczające teren inwestycji wyznaczone na mapie zasadniczej w skali 1:1000.</w:t>
      </w:r>
    </w:p>
    <w:p w14:paraId="12E6D34D" w14:textId="77777777" w:rsidR="00C979A2" w:rsidRPr="00C979A2" w:rsidRDefault="00C979A2" w:rsidP="00C979A2">
      <w:pPr>
        <w:spacing w:after="120" w:line="240" w:lineRule="auto"/>
        <w:jc w:val="center"/>
        <w:rPr>
          <w:rFonts w:cstheme="minorHAnsi"/>
          <w:sz w:val="28"/>
          <w:szCs w:val="28"/>
        </w:rPr>
      </w:pPr>
      <w:r w:rsidRPr="00C979A2">
        <w:rPr>
          <w:rFonts w:cstheme="minorHAnsi"/>
          <w:sz w:val="28"/>
          <w:szCs w:val="28"/>
        </w:rPr>
        <w:t>Uzasadnienie</w:t>
      </w:r>
    </w:p>
    <w:p w14:paraId="3C44E7D2"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Stosownie do art. 59 ust. 2 ustawy z dnia 7 lipca 2023 r. o zmianie u.p.z.p.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3A7E3BA1" w14:textId="77777777" w:rsidR="00C979A2" w:rsidRPr="00C979A2" w:rsidRDefault="00C979A2" w:rsidP="00C979A2">
      <w:pPr>
        <w:numPr>
          <w:ilvl w:val="0"/>
          <w:numId w:val="25"/>
        </w:numPr>
        <w:spacing w:after="120" w:line="240" w:lineRule="auto"/>
        <w:ind w:left="0" w:firstLine="360"/>
        <w:contextualSpacing/>
        <w:jc w:val="both"/>
        <w:rPr>
          <w:rFonts w:cstheme="minorHAnsi"/>
          <w:sz w:val="28"/>
          <w:szCs w:val="28"/>
        </w:rPr>
      </w:pPr>
      <w:r w:rsidRPr="00C979A2">
        <w:rPr>
          <w:rFonts w:cstheme="minorHAnsi"/>
          <w:sz w:val="28"/>
          <w:szCs w:val="28"/>
        </w:rPr>
        <w:t>stosuje się przepisy art. 54 oraz art. 61 ust. 1 pkt 1, ust. 2, 3 i 5a ustawy zmienianej w art. 1 w brzmieniu dotychczasowym;</w:t>
      </w:r>
    </w:p>
    <w:p w14:paraId="17C26F40" w14:textId="77777777" w:rsidR="00C979A2" w:rsidRPr="00C979A2" w:rsidRDefault="00C979A2" w:rsidP="00C979A2">
      <w:pPr>
        <w:numPr>
          <w:ilvl w:val="0"/>
          <w:numId w:val="25"/>
        </w:numPr>
        <w:spacing w:after="120" w:line="240" w:lineRule="auto"/>
        <w:ind w:left="0" w:firstLine="360"/>
        <w:contextualSpacing/>
        <w:jc w:val="both"/>
        <w:rPr>
          <w:rFonts w:cstheme="minorHAnsi"/>
          <w:sz w:val="28"/>
          <w:szCs w:val="28"/>
        </w:rPr>
      </w:pPr>
      <w:r w:rsidRPr="00C979A2">
        <w:rPr>
          <w:rFonts w:cstheme="minorHAnsi"/>
          <w:sz w:val="28"/>
          <w:szCs w:val="28"/>
        </w:rPr>
        <w:t xml:space="preserve">nie stosuje się przepisów art. 61 ust. 1 pkt 1, ust. 2, 3 i 5a ustawy zmienianej w art.1. </w:t>
      </w:r>
    </w:p>
    <w:p w14:paraId="1932A2F9"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46A2F130"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W myśl art. 59 ust. 1 u.p.z.p.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6457CD87" w14:textId="0D3A3E2C" w:rsidR="00C979A2" w:rsidRPr="00C979A2" w:rsidRDefault="00C979A2" w:rsidP="00575D3F">
      <w:pPr>
        <w:tabs>
          <w:tab w:val="left" w:pos="993"/>
        </w:tabs>
        <w:spacing w:after="120" w:line="240" w:lineRule="auto"/>
        <w:ind w:firstLine="567"/>
        <w:jc w:val="both"/>
        <w:rPr>
          <w:rFonts w:cstheme="minorHAnsi"/>
          <w:sz w:val="28"/>
          <w:szCs w:val="28"/>
        </w:rPr>
      </w:pPr>
      <w:r w:rsidRPr="00C979A2">
        <w:rPr>
          <w:rFonts w:cstheme="minorHAnsi"/>
          <w:sz w:val="28"/>
          <w:szCs w:val="28"/>
        </w:rPr>
        <w:t xml:space="preserve">Zgodnie z art. 60 ust. 1 u.p.z.p. </w:t>
      </w:r>
      <w:r w:rsidRPr="00C979A2">
        <w:rPr>
          <w:rFonts w:cstheme="minorHAnsi"/>
          <w:sz w:val="28"/>
        </w:rPr>
        <w:t>decyzję o warunkach zabudowy wydaje, z zastrzeżeniem ust. 3, wójt, burmistrz albo prezydent miasta po uzgodnieniu z organami, o których mowa w art. 53 ust. 4, i uzyskaniu uzgodnień lub decyzji wymaganych przepisami odrębnymi.</w:t>
      </w:r>
    </w:p>
    <w:p w14:paraId="17749D78"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 części albo w inny sposób kończą sprawę w danej instancji.</w:t>
      </w:r>
    </w:p>
    <w:p w14:paraId="6FC9CDDF"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lastRenderedPageBreak/>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zatem był kompletny. </w:t>
      </w:r>
    </w:p>
    <w:p w14:paraId="2BEBD694"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 xml:space="preserve">Planowana inwestycja polega na budowie wolnostojącego garażu na terenie działki o nr ewid. 1843, obręb Śrem. Teren zlokalizowany jest przy ul. Przemysłowej. Na terenie objętym wnioskiem znajduje się budynek mieszkalny jednorodzinny oraz budynek gospodarczy. Wnioskodawca planuje rozbiórkę budynku gospodarczego, co wskazał w załączniku graficznym do decyzji. </w:t>
      </w:r>
    </w:p>
    <w:p w14:paraId="1193BB45"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Charakterystyka planowanego przedsięwzięcia na podstawie wniosku:</w:t>
      </w:r>
    </w:p>
    <w:p w14:paraId="6B83EED3" w14:textId="77777777" w:rsidR="00C979A2" w:rsidRPr="00C979A2" w:rsidRDefault="00C979A2" w:rsidP="00C979A2">
      <w:pPr>
        <w:numPr>
          <w:ilvl w:val="0"/>
          <w:numId w:val="29"/>
        </w:numPr>
        <w:tabs>
          <w:tab w:val="left" w:pos="993"/>
        </w:tabs>
        <w:spacing w:after="120" w:line="240" w:lineRule="auto"/>
        <w:contextualSpacing/>
        <w:jc w:val="both"/>
        <w:rPr>
          <w:rFonts w:cstheme="minorHAnsi"/>
          <w:sz w:val="28"/>
          <w:szCs w:val="28"/>
        </w:rPr>
      </w:pPr>
      <w:r w:rsidRPr="00C979A2">
        <w:rPr>
          <w:rFonts w:cstheme="minorHAnsi"/>
          <w:sz w:val="28"/>
          <w:szCs w:val="28"/>
        </w:rPr>
        <w:t>powierzchnia zabudowy: od 32 m</w:t>
      </w:r>
      <w:r w:rsidRPr="00C979A2">
        <w:rPr>
          <w:rFonts w:cstheme="minorHAnsi"/>
          <w:sz w:val="28"/>
          <w:szCs w:val="28"/>
          <w:vertAlign w:val="superscript"/>
        </w:rPr>
        <w:t>2</w:t>
      </w:r>
      <w:r w:rsidRPr="00C979A2">
        <w:rPr>
          <w:rFonts w:cstheme="minorHAnsi"/>
          <w:sz w:val="28"/>
          <w:szCs w:val="28"/>
        </w:rPr>
        <w:t xml:space="preserve"> do 40 m</w:t>
      </w:r>
      <w:r w:rsidRPr="00C979A2">
        <w:rPr>
          <w:rFonts w:cstheme="minorHAnsi"/>
          <w:sz w:val="28"/>
          <w:szCs w:val="28"/>
          <w:vertAlign w:val="superscript"/>
        </w:rPr>
        <w:t>2</w:t>
      </w:r>
      <w:r w:rsidRPr="00C979A2">
        <w:rPr>
          <w:rFonts w:cstheme="minorHAnsi"/>
          <w:sz w:val="28"/>
          <w:szCs w:val="28"/>
        </w:rPr>
        <w:t>,</w:t>
      </w:r>
    </w:p>
    <w:p w14:paraId="3F6E0DA9" w14:textId="77777777" w:rsidR="00C979A2" w:rsidRPr="00C979A2" w:rsidRDefault="00C979A2" w:rsidP="00C979A2">
      <w:pPr>
        <w:numPr>
          <w:ilvl w:val="0"/>
          <w:numId w:val="29"/>
        </w:numPr>
        <w:tabs>
          <w:tab w:val="left" w:pos="993"/>
        </w:tabs>
        <w:spacing w:after="120" w:line="240" w:lineRule="auto"/>
        <w:contextualSpacing/>
        <w:jc w:val="both"/>
        <w:rPr>
          <w:rFonts w:cstheme="minorHAnsi"/>
          <w:sz w:val="28"/>
          <w:szCs w:val="28"/>
        </w:rPr>
      </w:pPr>
      <w:r w:rsidRPr="00C979A2">
        <w:rPr>
          <w:rFonts w:cstheme="minorHAnsi"/>
          <w:sz w:val="28"/>
          <w:szCs w:val="28"/>
        </w:rPr>
        <w:t>szerokość elewacji frontowej: od 5,0 m do 5,5 m,</w:t>
      </w:r>
    </w:p>
    <w:p w14:paraId="7C0EF3B8" w14:textId="77777777" w:rsidR="00C979A2" w:rsidRPr="00C979A2" w:rsidRDefault="00C979A2" w:rsidP="00C979A2">
      <w:pPr>
        <w:numPr>
          <w:ilvl w:val="0"/>
          <w:numId w:val="29"/>
        </w:numPr>
        <w:tabs>
          <w:tab w:val="left" w:pos="993"/>
        </w:tabs>
        <w:spacing w:after="120" w:line="240" w:lineRule="auto"/>
        <w:contextualSpacing/>
        <w:jc w:val="both"/>
        <w:rPr>
          <w:rFonts w:cstheme="minorHAnsi"/>
          <w:sz w:val="28"/>
          <w:szCs w:val="28"/>
        </w:rPr>
      </w:pPr>
      <w:r w:rsidRPr="00C979A2">
        <w:rPr>
          <w:rFonts w:cstheme="minorHAnsi"/>
          <w:sz w:val="28"/>
          <w:szCs w:val="28"/>
        </w:rPr>
        <w:t>liczba kondygnacji nadziemnych: 1,</w:t>
      </w:r>
    </w:p>
    <w:p w14:paraId="64A8C630" w14:textId="77777777" w:rsidR="00C979A2" w:rsidRPr="00C979A2" w:rsidRDefault="00C979A2" w:rsidP="00C979A2">
      <w:pPr>
        <w:numPr>
          <w:ilvl w:val="0"/>
          <w:numId w:val="29"/>
        </w:numPr>
        <w:tabs>
          <w:tab w:val="left" w:pos="993"/>
        </w:tabs>
        <w:spacing w:after="120" w:line="240" w:lineRule="auto"/>
        <w:contextualSpacing/>
        <w:jc w:val="both"/>
        <w:rPr>
          <w:rFonts w:cstheme="minorHAnsi"/>
          <w:sz w:val="28"/>
          <w:szCs w:val="28"/>
        </w:rPr>
      </w:pPr>
      <w:r w:rsidRPr="00C979A2">
        <w:rPr>
          <w:rFonts w:cstheme="minorHAnsi"/>
          <w:sz w:val="28"/>
          <w:szCs w:val="28"/>
        </w:rPr>
        <w:t>wysokość górnej krawędzi elewacji frontowej: od 3,0 m, do 3,3 m,</w:t>
      </w:r>
    </w:p>
    <w:p w14:paraId="39C81274" w14:textId="77777777" w:rsidR="00C979A2" w:rsidRPr="00C979A2" w:rsidRDefault="00C979A2" w:rsidP="00C979A2">
      <w:pPr>
        <w:numPr>
          <w:ilvl w:val="0"/>
          <w:numId w:val="29"/>
        </w:numPr>
        <w:tabs>
          <w:tab w:val="left" w:pos="993"/>
        </w:tabs>
        <w:spacing w:after="120" w:line="240" w:lineRule="auto"/>
        <w:contextualSpacing/>
        <w:jc w:val="both"/>
        <w:rPr>
          <w:rFonts w:cstheme="minorHAnsi"/>
          <w:sz w:val="28"/>
          <w:szCs w:val="28"/>
        </w:rPr>
      </w:pPr>
      <w:r w:rsidRPr="00C979A2">
        <w:rPr>
          <w:rFonts w:cstheme="minorHAnsi"/>
          <w:sz w:val="28"/>
          <w:szCs w:val="28"/>
        </w:rPr>
        <w:t>wysokość głównej kalenicy: od 3,0 m do 3,3 m,</w:t>
      </w:r>
    </w:p>
    <w:p w14:paraId="4B78BF03" w14:textId="77777777" w:rsidR="00C979A2" w:rsidRPr="00C979A2" w:rsidRDefault="00C979A2" w:rsidP="00C979A2">
      <w:pPr>
        <w:numPr>
          <w:ilvl w:val="0"/>
          <w:numId w:val="29"/>
        </w:numPr>
        <w:tabs>
          <w:tab w:val="left" w:pos="993"/>
        </w:tabs>
        <w:spacing w:after="120" w:line="240" w:lineRule="auto"/>
        <w:contextualSpacing/>
        <w:jc w:val="both"/>
        <w:rPr>
          <w:rFonts w:cstheme="minorHAnsi"/>
          <w:sz w:val="28"/>
          <w:szCs w:val="28"/>
        </w:rPr>
      </w:pPr>
      <w:r w:rsidRPr="00C979A2">
        <w:rPr>
          <w:rFonts w:cstheme="minorHAnsi"/>
          <w:sz w:val="28"/>
          <w:szCs w:val="28"/>
        </w:rPr>
        <w:t>rodzaj dachu: jednospadowy, w układzie kalenicowym,</w:t>
      </w:r>
    </w:p>
    <w:p w14:paraId="7244ABE1" w14:textId="77777777" w:rsidR="00C979A2" w:rsidRPr="00C979A2" w:rsidRDefault="00C979A2" w:rsidP="00C979A2">
      <w:pPr>
        <w:numPr>
          <w:ilvl w:val="0"/>
          <w:numId w:val="29"/>
        </w:numPr>
        <w:tabs>
          <w:tab w:val="left" w:pos="993"/>
        </w:tabs>
        <w:spacing w:after="120" w:line="240" w:lineRule="auto"/>
        <w:contextualSpacing/>
        <w:jc w:val="both"/>
        <w:rPr>
          <w:rFonts w:cstheme="minorHAnsi"/>
          <w:sz w:val="28"/>
          <w:szCs w:val="28"/>
        </w:rPr>
      </w:pPr>
      <w:r w:rsidRPr="00C979A2">
        <w:rPr>
          <w:rFonts w:cstheme="minorHAnsi"/>
          <w:sz w:val="28"/>
          <w:szCs w:val="28"/>
        </w:rPr>
        <w:t>kąt nachylenia: od 12˚ do 18˚.</w:t>
      </w:r>
    </w:p>
    <w:p w14:paraId="4F82D61E"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Przedmiotowy teren o powierzchni 550 m</w:t>
      </w:r>
      <w:r w:rsidRPr="00C979A2">
        <w:rPr>
          <w:rFonts w:cstheme="minorHAnsi"/>
          <w:sz w:val="28"/>
          <w:szCs w:val="28"/>
          <w:vertAlign w:val="superscript"/>
        </w:rPr>
        <w:t>2</w:t>
      </w:r>
      <w:r w:rsidRPr="00C979A2">
        <w:rPr>
          <w:rFonts w:cstheme="minorHAnsi"/>
          <w:sz w:val="28"/>
          <w:szCs w:val="28"/>
        </w:rPr>
        <w:t xml:space="preserve">, zgodnie z prowadzoną przez Starostę Śremskiego ewidencją gruntów i budynków stanowi tereny mieszkaniowe B. Teren planowanej inwestycji od strony planowanej inwestycji od strony wschodniej graniczy z działką drogową, od pozostałych stron graniczy z zabudową mieszkaniową jednorodzinną.    </w:t>
      </w:r>
    </w:p>
    <w:p w14:paraId="3207B04D" w14:textId="0E6FD9EE" w:rsidR="00C979A2" w:rsidRPr="00C979A2" w:rsidRDefault="00C979A2" w:rsidP="00575D3F">
      <w:pPr>
        <w:tabs>
          <w:tab w:val="left" w:pos="993"/>
        </w:tabs>
        <w:spacing w:after="120" w:line="240" w:lineRule="auto"/>
        <w:ind w:firstLine="567"/>
        <w:jc w:val="both"/>
        <w:rPr>
          <w:rFonts w:cstheme="minorHAnsi"/>
          <w:sz w:val="28"/>
          <w:szCs w:val="28"/>
        </w:rPr>
      </w:pPr>
      <w:r w:rsidRPr="00C979A2">
        <w:rPr>
          <w:rFonts w:cstheme="minorHAnsi"/>
          <w:sz w:val="28"/>
          <w:szCs w:val="28"/>
        </w:rPr>
        <w:t>Dla terenu projektowanej inwestycji nie został uchwalony miejscowy plan zagospodarowania przestrzennego, planu ogólnego gminy ani nie została podjęta uchwała w sprawie przystąpienia do sporządzenia miejscowego planu zagospodarowania przestrzennego.</w:t>
      </w:r>
    </w:p>
    <w:p w14:paraId="6C034413"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54577F64"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lastRenderedPageBreak/>
        <w:t xml:space="preserve">Zgodnie z art. 60 ust. 4 u.p.z.p. sporządzenie projektu decyzji o warunków zabudowy powierzono osobie spełniającej warunki określone w art. 5 pkt 4. Projekt decyzji znajduje się w aktach sprawy. </w:t>
      </w:r>
    </w:p>
    <w:p w14:paraId="3BBF0E26" w14:textId="77777777" w:rsidR="00C979A2" w:rsidRPr="00C979A2" w:rsidRDefault="00C979A2" w:rsidP="00C979A2">
      <w:pPr>
        <w:widowControl w:val="0"/>
        <w:autoSpaceDE w:val="0"/>
        <w:spacing w:after="120" w:line="240" w:lineRule="auto"/>
        <w:ind w:firstLine="567"/>
        <w:jc w:val="both"/>
        <w:rPr>
          <w:rFonts w:cstheme="minorHAnsi"/>
          <w:sz w:val="28"/>
          <w:szCs w:val="28"/>
        </w:rPr>
      </w:pPr>
      <w:r w:rsidRPr="00C979A2">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2B8E9415" w14:textId="77777777" w:rsidR="00C979A2" w:rsidRPr="00C979A2" w:rsidRDefault="00C979A2" w:rsidP="00C979A2">
      <w:pPr>
        <w:numPr>
          <w:ilvl w:val="0"/>
          <w:numId w:val="10"/>
        </w:numPr>
        <w:tabs>
          <w:tab w:val="left" w:pos="993"/>
        </w:tabs>
        <w:spacing w:after="120" w:line="240" w:lineRule="auto"/>
        <w:ind w:left="0" w:firstLine="567"/>
        <w:contextualSpacing/>
        <w:jc w:val="both"/>
        <w:rPr>
          <w:rFonts w:cstheme="minorHAnsi"/>
          <w:sz w:val="28"/>
          <w:szCs w:val="28"/>
        </w:rPr>
      </w:pPr>
      <w:r w:rsidRPr="00C979A2">
        <w:rPr>
          <w:rFonts w:cstheme="minorHAnsi"/>
          <w:sz w:val="28"/>
          <w:szCs w:val="28"/>
        </w:rPr>
        <w:t>występowaniem złóż kopalin oraz obecnych i przyszłych potrzeb eksploatacji tych złóż;</w:t>
      </w:r>
    </w:p>
    <w:p w14:paraId="17D3C006" w14:textId="77777777" w:rsidR="00C979A2" w:rsidRPr="00C979A2" w:rsidRDefault="00C979A2" w:rsidP="00C979A2">
      <w:pPr>
        <w:numPr>
          <w:ilvl w:val="0"/>
          <w:numId w:val="10"/>
        </w:numPr>
        <w:tabs>
          <w:tab w:val="left" w:pos="993"/>
        </w:tabs>
        <w:spacing w:after="120" w:line="240" w:lineRule="auto"/>
        <w:ind w:left="0" w:firstLine="567"/>
        <w:contextualSpacing/>
        <w:jc w:val="both"/>
        <w:rPr>
          <w:rFonts w:cstheme="minorHAnsi"/>
          <w:sz w:val="28"/>
          <w:szCs w:val="28"/>
        </w:rPr>
      </w:pPr>
      <w:r w:rsidRPr="00C979A2">
        <w:rPr>
          <w:rFonts w:cstheme="minorHAnsi"/>
          <w:sz w:val="28"/>
          <w:szCs w:val="28"/>
        </w:rPr>
        <w:t>ochroną wód, gleby i ziemi przed zanieczyszczeniem w związku z prowadzeniem gospodarki rolnej;</w:t>
      </w:r>
    </w:p>
    <w:p w14:paraId="317A6A37" w14:textId="77777777" w:rsidR="00C979A2" w:rsidRPr="00C979A2" w:rsidRDefault="00C979A2" w:rsidP="00C979A2">
      <w:pPr>
        <w:numPr>
          <w:ilvl w:val="0"/>
          <w:numId w:val="10"/>
        </w:numPr>
        <w:tabs>
          <w:tab w:val="left" w:pos="993"/>
        </w:tabs>
        <w:spacing w:after="120" w:line="240" w:lineRule="auto"/>
        <w:ind w:left="0" w:firstLine="567"/>
        <w:contextualSpacing/>
        <w:jc w:val="both"/>
        <w:rPr>
          <w:rFonts w:cstheme="minorHAnsi"/>
          <w:sz w:val="28"/>
          <w:szCs w:val="28"/>
        </w:rPr>
      </w:pPr>
      <w:r w:rsidRPr="00C979A2">
        <w:rPr>
          <w:rFonts w:cstheme="minorHAnsi"/>
          <w:sz w:val="28"/>
          <w:szCs w:val="28"/>
        </w:rPr>
        <w:t>potrzebami w zakresie zapobiegania ruchom masowym ziemi i ich skutkom;</w:t>
      </w:r>
    </w:p>
    <w:p w14:paraId="4049971F" w14:textId="77777777" w:rsidR="00C979A2" w:rsidRPr="00C979A2" w:rsidRDefault="00C979A2" w:rsidP="00C979A2">
      <w:pPr>
        <w:numPr>
          <w:ilvl w:val="0"/>
          <w:numId w:val="10"/>
        </w:numPr>
        <w:tabs>
          <w:tab w:val="left" w:pos="993"/>
        </w:tabs>
        <w:spacing w:after="120" w:line="240" w:lineRule="auto"/>
        <w:ind w:left="0" w:firstLine="567"/>
        <w:contextualSpacing/>
        <w:jc w:val="both"/>
        <w:rPr>
          <w:rFonts w:cstheme="minorHAnsi"/>
          <w:sz w:val="28"/>
          <w:szCs w:val="28"/>
        </w:rPr>
      </w:pPr>
      <w:r w:rsidRPr="00C979A2">
        <w:rPr>
          <w:rFonts w:cstheme="minorHAnsi"/>
          <w:sz w:val="28"/>
          <w:szCs w:val="28"/>
        </w:rPr>
        <w:t>innymi potrzebami w zakresie ochrony powietrza, wód, gleby, ziemi, ochrony przed hałasem, wibracjami i polami elektromagnetycznymi;</w:t>
      </w:r>
    </w:p>
    <w:p w14:paraId="6237639D" w14:textId="77777777" w:rsidR="00C979A2" w:rsidRPr="00C979A2" w:rsidRDefault="00C979A2" w:rsidP="00C979A2">
      <w:pPr>
        <w:numPr>
          <w:ilvl w:val="0"/>
          <w:numId w:val="10"/>
        </w:numPr>
        <w:tabs>
          <w:tab w:val="left" w:pos="993"/>
        </w:tabs>
        <w:spacing w:after="120" w:line="240" w:lineRule="auto"/>
        <w:ind w:left="0" w:firstLine="567"/>
        <w:contextualSpacing/>
        <w:jc w:val="both"/>
        <w:rPr>
          <w:rFonts w:cstheme="minorHAnsi"/>
          <w:sz w:val="28"/>
          <w:szCs w:val="28"/>
        </w:rPr>
      </w:pPr>
      <w:r w:rsidRPr="00C979A2">
        <w:rPr>
          <w:rFonts w:cstheme="minorHAnsi"/>
          <w:sz w:val="28"/>
          <w:szCs w:val="28"/>
        </w:rPr>
        <w:t>ograniczeniami wynikającymi z ustanowienia w trybie ustawy z dnia 16 kwietnia 2004 r. o ochronie przyrody (Dz. U. z 2023 r. poz. 1336, 1688, 1890, z 2022 r. poz. 2375) form ochrony przyrody oraz ustaleń obowiązujących planów ochrony;</w:t>
      </w:r>
    </w:p>
    <w:p w14:paraId="01F578B2" w14:textId="77777777" w:rsidR="00C979A2" w:rsidRPr="00C979A2" w:rsidRDefault="00C979A2" w:rsidP="00C979A2">
      <w:pPr>
        <w:numPr>
          <w:ilvl w:val="0"/>
          <w:numId w:val="10"/>
        </w:numPr>
        <w:tabs>
          <w:tab w:val="left" w:pos="993"/>
        </w:tabs>
        <w:spacing w:after="120" w:line="240" w:lineRule="auto"/>
        <w:ind w:left="0" w:firstLine="567"/>
        <w:contextualSpacing/>
        <w:jc w:val="both"/>
        <w:rPr>
          <w:rFonts w:cstheme="minorHAnsi"/>
          <w:sz w:val="28"/>
          <w:szCs w:val="28"/>
        </w:rPr>
      </w:pPr>
      <w:r w:rsidRPr="00C979A2">
        <w:rPr>
          <w:rFonts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41240567" w14:textId="77777777" w:rsidR="00C979A2" w:rsidRPr="00C979A2" w:rsidRDefault="00C979A2" w:rsidP="00C979A2">
      <w:pPr>
        <w:widowControl w:val="0"/>
        <w:numPr>
          <w:ilvl w:val="0"/>
          <w:numId w:val="10"/>
        </w:numPr>
        <w:tabs>
          <w:tab w:val="left" w:pos="993"/>
        </w:tabs>
        <w:autoSpaceDE w:val="0"/>
        <w:spacing w:after="120" w:line="240" w:lineRule="auto"/>
        <w:ind w:left="0" w:firstLine="567"/>
        <w:contextualSpacing/>
        <w:jc w:val="both"/>
        <w:rPr>
          <w:rFonts w:cstheme="minorHAnsi"/>
          <w:sz w:val="28"/>
          <w:szCs w:val="28"/>
        </w:rPr>
      </w:pPr>
      <w:r w:rsidRPr="00C979A2">
        <w:rPr>
          <w:rFonts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1DF017DD" w14:textId="77777777" w:rsidR="00C979A2" w:rsidRPr="00C979A2" w:rsidRDefault="00C979A2" w:rsidP="00C979A2">
      <w:pPr>
        <w:widowControl w:val="0"/>
        <w:tabs>
          <w:tab w:val="left" w:pos="993"/>
        </w:tabs>
        <w:autoSpaceDE w:val="0"/>
        <w:spacing w:after="120" w:line="240" w:lineRule="auto"/>
        <w:ind w:firstLine="567"/>
        <w:jc w:val="both"/>
        <w:rPr>
          <w:rFonts w:cstheme="minorHAnsi"/>
          <w:sz w:val="28"/>
          <w:szCs w:val="28"/>
        </w:rPr>
      </w:pPr>
      <w:bookmarkStart w:id="0" w:name="_Hlk152135935"/>
      <w:r w:rsidRPr="00C979A2">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bookmarkEnd w:id="0"/>
    <w:p w14:paraId="1ED042CB" w14:textId="77777777" w:rsidR="00C979A2" w:rsidRPr="00C979A2" w:rsidRDefault="00C979A2" w:rsidP="00C979A2">
      <w:pPr>
        <w:widowControl w:val="0"/>
        <w:tabs>
          <w:tab w:val="left" w:pos="993"/>
        </w:tabs>
        <w:autoSpaceDE w:val="0"/>
        <w:spacing w:after="120" w:line="240" w:lineRule="auto"/>
        <w:jc w:val="both"/>
        <w:rPr>
          <w:rFonts w:cstheme="minorHAnsi"/>
          <w:sz w:val="28"/>
          <w:szCs w:val="28"/>
        </w:rPr>
      </w:pPr>
      <w:r w:rsidRPr="00C979A2">
        <w:rPr>
          <w:rFonts w:cstheme="minorHAnsi"/>
          <w:sz w:val="28"/>
          <w:szCs w:val="28"/>
        </w:rPr>
        <w:t>ponieważ nie wynikały z nich żadne nakazy, zakazy i ograniczenia w zagospodarowaniu przedmiotowego terenu.</w:t>
      </w:r>
    </w:p>
    <w:p w14:paraId="369F207E"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Wydanie decyzji o warunkach zabudowy jest możliwe jedynie w przypadku łącznego spełnienia warunków, o których mowa w art. 61 ust. 1 u.p.z.p., a mianowicie:</w:t>
      </w:r>
    </w:p>
    <w:p w14:paraId="11AE44D6"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lastRenderedPageBreak/>
        <w:t>1)</w:t>
      </w:r>
      <w:r w:rsidRPr="00C979A2">
        <w:rPr>
          <w:rFonts w:cstheme="minorHAns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65938F05"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2)</w:t>
      </w:r>
      <w:r w:rsidRPr="00C979A2">
        <w:rPr>
          <w:rFonts w:cstheme="minorHAnsi"/>
          <w:sz w:val="28"/>
          <w:szCs w:val="28"/>
        </w:rPr>
        <w:tab/>
        <w:t>teren ma dostęp do drogi publicznej rozumiany jako bezpośredni dostęp do tej drogi albo dostęp do niej przez drogę wewnętrzną lub przez ustanowienie odpowiedniej służebności drogowej;</w:t>
      </w:r>
    </w:p>
    <w:p w14:paraId="68E2A561"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3)</w:t>
      </w:r>
      <w:r w:rsidRPr="00C979A2">
        <w:rPr>
          <w:rFonts w:cstheme="minorHAns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59EF7006"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4)</w:t>
      </w:r>
      <w:r w:rsidRPr="00C979A2">
        <w:rPr>
          <w:rFonts w:cstheme="minorHAns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51A984B3"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5)</w:t>
      </w:r>
      <w:r w:rsidRPr="00C979A2">
        <w:rPr>
          <w:rFonts w:cstheme="minorHAnsi"/>
          <w:sz w:val="28"/>
          <w:szCs w:val="28"/>
        </w:rPr>
        <w:tab/>
        <w:t>decyzja jest zgodna z przepisami odrębnymi;</w:t>
      </w:r>
    </w:p>
    <w:p w14:paraId="6F549DCB"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6)</w:t>
      </w:r>
      <w:r w:rsidRPr="00C979A2">
        <w:rPr>
          <w:rFonts w:cstheme="minorHAnsi"/>
          <w:sz w:val="28"/>
          <w:szCs w:val="28"/>
        </w:rPr>
        <w:tab/>
      </w:r>
      <w:r w:rsidRPr="00C979A2">
        <w:rPr>
          <w:rFonts w:cstheme="minorHAnsi"/>
          <w:sz w:val="28"/>
          <w:szCs w:val="28"/>
          <w:shd w:val="clear" w:color="auto" w:fill="FFFFFF"/>
        </w:rPr>
        <w:t>zamierzenie budowlane nie znajdzie się w obszarze</w:t>
      </w:r>
      <w:r w:rsidRPr="00C979A2">
        <w:rPr>
          <w:rFonts w:cstheme="minorHAnsi"/>
          <w:sz w:val="28"/>
          <w:szCs w:val="28"/>
          <w:lang w:eastAsia="pl-PL"/>
        </w:rPr>
        <w:t xml:space="preserve">: </w:t>
      </w:r>
    </w:p>
    <w:p w14:paraId="1C365BA0" w14:textId="77777777" w:rsidR="00C979A2" w:rsidRPr="00C979A2" w:rsidRDefault="00C979A2" w:rsidP="00C979A2">
      <w:pPr>
        <w:numPr>
          <w:ilvl w:val="0"/>
          <w:numId w:val="22"/>
        </w:numPr>
        <w:tabs>
          <w:tab w:val="left" w:pos="1134"/>
        </w:tabs>
        <w:spacing w:after="120" w:line="240" w:lineRule="auto"/>
        <w:ind w:left="1134"/>
        <w:contextualSpacing/>
        <w:jc w:val="both"/>
        <w:rPr>
          <w:rFonts w:cstheme="minorHAnsi"/>
          <w:sz w:val="28"/>
          <w:szCs w:val="28"/>
        </w:rPr>
      </w:pPr>
      <w:r w:rsidRPr="00C979A2">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 U. z 2023 r. poz. 1680, 1506, 1688 i 2029), ustanowiony został zakaz, o którym mowa w art. 22 ust. 2 pkt 1 tej ustawy,</w:t>
      </w:r>
    </w:p>
    <w:p w14:paraId="6C65CBBC" w14:textId="77777777" w:rsidR="00C979A2" w:rsidRPr="00C979A2" w:rsidRDefault="00C979A2" w:rsidP="00C979A2">
      <w:pPr>
        <w:numPr>
          <w:ilvl w:val="0"/>
          <w:numId w:val="22"/>
        </w:numPr>
        <w:tabs>
          <w:tab w:val="left" w:pos="1134"/>
        </w:tabs>
        <w:spacing w:after="120" w:line="240" w:lineRule="auto"/>
        <w:ind w:left="1134"/>
        <w:contextualSpacing/>
        <w:jc w:val="both"/>
        <w:rPr>
          <w:rFonts w:cstheme="minorHAnsi"/>
          <w:sz w:val="28"/>
          <w:szCs w:val="28"/>
        </w:rPr>
      </w:pPr>
      <w:r w:rsidRPr="00C979A2">
        <w:rPr>
          <w:rFonts w:cstheme="minorHAnsi"/>
          <w:sz w:val="28"/>
          <w:szCs w:val="28"/>
          <w:lang w:eastAsia="pl-PL"/>
        </w:rPr>
        <w:t xml:space="preserve">strefy kontrolowanej wyznaczonej po obu stronach gazociągu, </w:t>
      </w:r>
    </w:p>
    <w:p w14:paraId="196F2EF7" w14:textId="5E391969" w:rsidR="00C979A2" w:rsidRPr="00575D3F" w:rsidRDefault="00C979A2" w:rsidP="00575D3F">
      <w:pPr>
        <w:numPr>
          <w:ilvl w:val="0"/>
          <w:numId w:val="22"/>
        </w:numPr>
        <w:tabs>
          <w:tab w:val="left" w:pos="1134"/>
        </w:tabs>
        <w:spacing w:after="120" w:line="240" w:lineRule="auto"/>
        <w:ind w:left="1134"/>
        <w:contextualSpacing/>
        <w:jc w:val="both"/>
        <w:rPr>
          <w:rFonts w:cstheme="minorHAnsi"/>
          <w:sz w:val="28"/>
          <w:szCs w:val="28"/>
        </w:rPr>
      </w:pPr>
      <w:r w:rsidRPr="00C979A2">
        <w:rPr>
          <w:rFonts w:cstheme="minorHAnsi"/>
          <w:sz w:val="28"/>
          <w:szCs w:val="28"/>
          <w:lang w:eastAsia="pl-PL"/>
        </w:rPr>
        <w:t>strefy bezpieczeństwa wyznaczonej po obu stronach rurociągu.</w:t>
      </w:r>
    </w:p>
    <w:p w14:paraId="596972AD" w14:textId="77777777" w:rsidR="00C979A2" w:rsidRPr="00C979A2" w:rsidRDefault="00C979A2" w:rsidP="00C979A2">
      <w:pPr>
        <w:tabs>
          <w:tab w:val="left" w:pos="993"/>
        </w:tabs>
        <w:spacing w:after="120" w:line="240" w:lineRule="auto"/>
        <w:ind w:firstLine="567"/>
        <w:jc w:val="both"/>
        <w:rPr>
          <w:rFonts w:cstheme="minorHAnsi"/>
          <w:iCs/>
          <w:sz w:val="28"/>
          <w:szCs w:val="28"/>
        </w:rPr>
      </w:pPr>
      <w:r w:rsidRPr="00C979A2">
        <w:rPr>
          <w:rFonts w:cstheme="minorHAnsi"/>
          <w:iCs/>
          <w:sz w:val="28"/>
          <w:szCs w:val="28"/>
        </w:rPr>
        <w:t xml:space="preserve">Stosownie do art. 61 ust. 5a </w:t>
      </w:r>
      <w:r w:rsidRPr="00C979A2">
        <w:rPr>
          <w:rFonts w:cstheme="minorHAnsi"/>
          <w:sz w:val="28"/>
          <w:szCs w:val="28"/>
        </w:rPr>
        <w:t xml:space="preserve">u.p.z.p. </w:t>
      </w:r>
      <w:r w:rsidRPr="00C979A2">
        <w:rPr>
          <w:rFonts w:cstheme="minorHAnsi"/>
          <w:iCs/>
          <w:sz w:val="28"/>
          <w:szCs w:val="28"/>
        </w:rPr>
        <w:t xml:space="preserve">Burmistrz Śremu wyznaczył wokół terenu, którego dotyczy wniosek o ustalenie warunków zabudowy, obszar analizowany i przeprowadził na nim analizę funkcji oraz cech zabudowy i zagospodarowania terenu w zakresie warunków, o których mowa w art. 61 ust. 1 – 5 </w:t>
      </w:r>
      <w:r w:rsidRPr="00C979A2">
        <w:rPr>
          <w:rFonts w:cstheme="minorHAnsi"/>
          <w:sz w:val="28"/>
          <w:szCs w:val="28"/>
        </w:rPr>
        <w:t>u.p.z.p</w:t>
      </w:r>
      <w:r w:rsidRPr="00C979A2">
        <w:rPr>
          <w:rFonts w:cstheme="minorHAnsi"/>
          <w:iCs/>
          <w:sz w:val="28"/>
          <w:szCs w:val="28"/>
        </w:rPr>
        <w:t>.</w:t>
      </w:r>
    </w:p>
    <w:p w14:paraId="3D61327C" w14:textId="77777777" w:rsidR="00C979A2" w:rsidRPr="00C979A2" w:rsidRDefault="00C979A2" w:rsidP="00C979A2">
      <w:pPr>
        <w:tabs>
          <w:tab w:val="left" w:pos="993"/>
        </w:tabs>
        <w:spacing w:after="120" w:line="240" w:lineRule="auto"/>
        <w:ind w:firstLine="567"/>
        <w:jc w:val="both"/>
        <w:rPr>
          <w:rFonts w:cstheme="minorHAnsi"/>
          <w:iCs/>
          <w:sz w:val="28"/>
          <w:szCs w:val="28"/>
        </w:rPr>
      </w:pPr>
      <w:r w:rsidRPr="00C979A2">
        <w:rPr>
          <w:rFonts w:cstheme="minorHAnsi"/>
          <w:iCs/>
          <w:sz w:val="28"/>
          <w:szCs w:val="28"/>
        </w:rPr>
        <w:t>Front terenu przylega do drogi publicznej (gminnej) – ul. Przemysłowej i wynosi ca 12,5 m. Trzykrotna szerokość frontu terenu wynosi 37,5 m, czyli mniej niż 50 m.</w:t>
      </w:r>
    </w:p>
    <w:p w14:paraId="7E831A1E" w14:textId="77777777" w:rsidR="00575D3F" w:rsidRDefault="00575D3F" w:rsidP="00C979A2">
      <w:pPr>
        <w:tabs>
          <w:tab w:val="left" w:pos="993"/>
        </w:tabs>
        <w:spacing w:after="120" w:line="240" w:lineRule="auto"/>
        <w:ind w:firstLine="567"/>
        <w:jc w:val="both"/>
        <w:rPr>
          <w:rFonts w:cstheme="minorHAnsi"/>
          <w:iCs/>
          <w:sz w:val="28"/>
          <w:szCs w:val="28"/>
        </w:rPr>
      </w:pPr>
    </w:p>
    <w:p w14:paraId="54DA9E81" w14:textId="4F90BBD7" w:rsidR="00C979A2" w:rsidRPr="00C979A2" w:rsidRDefault="00C979A2" w:rsidP="00C979A2">
      <w:pPr>
        <w:tabs>
          <w:tab w:val="left" w:pos="993"/>
        </w:tabs>
        <w:spacing w:after="120" w:line="240" w:lineRule="auto"/>
        <w:ind w:firstLine="567"/>
        <w:jc w:val="both"/>
        <w:rPr>
          <w:rFonts w:cstheme="minorHAnsi"/>
          <w:iCs/>
          <w:sz w:val="28"/>
          <w:szCs w:val="28"/>
        </w:rPr>
      </w:pPr>
      <w:r w:rsidRPr="00C979A2">
        <w:rPr>
          <w:rFonts w:cstheme="minorHAnsi"/>
          <w:iCs/>
          <w:sz w:val="28"/>
          <w:szCs w:val="28"/>
        </w:rPr>
        <w:lastRenderedPageBreak/>
        <w:t xml:space="preserve">Granice obszaru analizowanego wyznaczone zostały w następujący sposób: rozszerzone do odległości wynoszącej 50 m wokół terenu, którego dotyczy wniosek, spełniając tym samym wymóg, o którym mowa w art. 61 ust. 5a </w:t>
      </w:r>
      <w:r w:rsidRPr="00C979A2">
        <w:rPr>
          <w:rFonts w:cstheme="minorHAnsi"/>
          <w:sz w:val="28"/>
          <w:szCs w:val="28"/>
        </w:rPr>
        <w:t>u.p.z.p</w:t>
      </w:r>
      <w:r w:rsidRPr="00C979A2">
        <w:rPr>
          <w:rFonts w:cstheme="minorHAnsi"/>
          <w:iCs/>
          <w:sz w:val="28"/>
          <w:szCs w:val="28"/>
        </w:rPr>
        <w:t>. Sposób wyznaczenia granic obszaru analizowanego został przedstawiony w formie graficznej, stanowiącej załącznik nr 1 do analizy i załącznik nr 3 do decyzji.</w:t>
      </w:r>
    </w:p>
    <w:p w14:paraId="61FFA46F" w14:textId="77777777" w:rsidR="00C979A2" w:rsidRPr="00C979A2" w:rsidRDefault="00C979A2" w:rsidP="00C979A2">
      <w:pPr>
        <w:tabs>
          <w:tab w:val="left" w:pos="993"/>
        </w:tabs>
        <w:spacing w:after="120" w:line="240" w:lineRule="auto"/>
        <w:ind w:firstLine="567"/>
        <w:jc w:val="both"/>
        <w:rPr>
          <w:rFonts w:cstheme="minorHAnsi"/>
          <w:iCs/>
          <w:sz w:val="28"/>
          <w:szCs w:val="28"/>
        </w:rPr>
      </w:pPr>
      <w:r w:rsidRPr="00C979A2">
        <w:rPr>
          <w:rFonts w:cstheme="minorHAnsi"/>
          <w:iCs/>
          <w:sz w:val="28"/>
          <w:szCs w:val="28"/>
        </w:rPr>
        <w:t xml:space="preserve">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 </w:t>
      </w:r>
    </w:p>
    <w:p w14:paraId="275433E8" w14:textId="77777777" w:rsidR="00C979A2" w:rsidRPr="00C979A2" w:rsidRDefault="00C979A2" w:rsidP="00C979A2">
      <w:pPr>
        <w:tabs>
          <w:tab w:val="left" w:pos="993"/>
        </w:tabs>
        <w:spacing w:after="120" w:line="240" w:lineRule="auto"/>
        <w:ind w:firstLine="567"/>
        <w:jc w:val="both"/>
        <w:rPr>
          <w:rFonts w:cstheme="minorHAnsi"/>
          <w:iCs/>
          <w:sz w:val="28"/>
          <w:szCs w:val="28"/>
        </w:rPr>
      </w:pPr>
      <w:r w:rsidRPr="00C979A2">
        <w:rPr>
          <w:rFonts w:cstheme="minorHAnsi"/>
          <w:iCs/>
          <w:sz w:val="28"/>
          <w:szCs w:val="28"/>
        </w:rPr>
        <w:t>W przypadku, gdy granica obszaru analizowanego przecina działkę ewidencyjną przyjęto, że działka ta zostaje w całości ujęta w obszarze analizowanym.</w:t>
      </w:r>
    </w:p>
    <w:p w14:paraId="64580F3D" w14:textId="77777777" w:rsidR="00C979A2" w:rsidRPr="00C979A2" w:rsidRDefault="00C979A2" w:rsidP="00C979A2">
      <w:pPr>
        <w:tabs>
          <w:tab w:val="left" w:pos="993"/>
        </w:tabs>
        <w:spacing w:after="120" w:line="240" w:lineRule="auto"/>
        <w:ind w:firstLine="567"/>
        <w:jc w:val="both"/>
        <w:rPr>
          <w:rFonts w:cstheme="minorHAnsi"/>
          <w:i/>
          <w:color w:val="0070C0"/>
          <w:sz w:val="28"/>
          <w:szCs w:val="28"/>
        </w:rPr>
      </w:pPr>
      <w:r w:rsidRPr="00C979A2">
        <w:rPr>
          <w:rFonts w:cstheme="minorHAnsi"/>
          <w:iCs/>
          <w:sz w:val="28"/>
          <w:szCs w:val="28"/>
        </w:rPr>
        <w:t xml:space="preserve">W tak wyznaczonym obszarze analizowanym znajdują się działki zabudowane oraz niezabudowane, przy czym analizie funkcji zabudowy i zagospodarowania terenu w zakresie warunków, o których mowa w art. 61 ust. 1-5 u.p.z.p., zostały poddane tylko działki zabudowane. Działki niezabudowane zostały pominięte, gdyż w związku z charakterem planowanej inwestycji (zabudowa mieszkaniowa) nie mogą stanowić podstawy do ustalania wymagań dla nowej zabudowy i zagospodarowania terenu, jeżeli zabudowa na tych działkach nie powstała. </w:t>
      </w:r>
    </w:p>
    <w:p w14:paraId="214D8DB3"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W tak wyznaczonym obszarze analizowanym znajdują się działki zabudowane, które pozwoliły na ustalenie wymagań dla nowej zabudowy, zgodnie z zasadą określoną w art. 61 ust. 1 pkt 1 u.p.z.p.</w:t>
      </w:r>
    </w:p>
    <w:p w14:paraId="7267B1FF" w14:textId="77777777" w:rsidR="00C979A2" w:rsidRPr="00C979A2" w:rsidRDefault="00C979A2" w:rsidP="00575D3F">
      <w:pPr>
        <w:tabs>
          <w:tab w:val="left" w:pos="993"/>
        </w:tabs>
        <w:spacing w:after="120" w:line="240" w:lineRule="auto"/>
        <w:jc w:val="both"/>
        <w:rPr>
          <w:rFonts w:cstheme="minorHAnsi"/>
          <w:sz w:val="28"/>
          <w:szCs w:val="28"/>
        </w:rPr>
      </w:pPr>
    </w:p>
    <w:p w14:paraId="0F246E43"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Analiza warunków, o których mowa w art. 61 ust. 1 u.p.z.p. dokonana w trakcie prowadzonego postępowania potwierdziła, że zostały one spełnione, bowiem:</w:t>
      </w:r>
    </w:p>
    <w:p w14:paraId="03A6C61A"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1)</w:t>
      </w:r>
      <w:r w:rsidRPr="00C979A2">
        <w:rPr>
          <w:rFonts w:cstheme="minorHAnsi"/>
          <w:sz w:val="28"/>
          <w:szCs w:val="28"/>
        </w:rPr>
        <w:tab/>
        <w:t xml:space="preserve">zabudowa działek sąsiednich, które wraz z terenem planowanej inwestycji tworzą urbanistyczną całość (działki o nr ewid.: 1844; 1845; 1846; 1847; 1848; 1842; 1841; 1840; 1839/2, 1839/1; 1838; 1837; 1836; 1852; 1851; 1850/1; 1898; 1897; 1896/2; 1896/1; 1895/2; 1830/1, 1830/83, 1830/2, 1830/3, 1830/4, 1830/5, 1830/6, 1830/7, 1830/8, 1830/9, 1830/10, 1830/11, 1830/12, 1830/13, 1830/14, 1830/78, 1830/89, 1830/16, 1830/17, 1830/18, 1830/19, 1830/20, 1830/21, 1830/22, 1830/25, 1830/26, 1830/27, 1830/28, 1830/29, 1830/30, 1830/33, 1830/34, 1830/35, 1830/36, 1830/37, 1830/38, 1830/39, 1830/40, 1830/41, 1830/42, 1830/43, 1830/44, 1830/45, 1830/46, </w:t>
      </w:r>
      <w:r w:rsidRPr="00C979A2">
        <w:rPr>
          <w:rFonts w:cstheme="minorHAnsi"/>
          <w:sz w:val="28"/>
          <w:szCs w:val="28"/>
        </w:rPr>
        <w:lastRenderedPageBreak/>
        <w:t>1830/47, 1830/48, 1830/49, 1830/50, 1830/51, 1830/52, 1830/53, 1830/54, 1830/55, 1830/56, 1830/57, 1830/58, 1830/59, 1830/60, 1830/61, 1830/62, 1830/63, 1830/64, 1830/65, 1830/66, 1830/67, 1830/68, 1830/69, 1830/70, 1830/71, 1830/72, 1830/73, 1830/74) pozwala na określenie wymagań dla nowej zabudowy pod względem kontynuacji funkcji oraz parametrów i cech zabudowy;</w:t>
      </w:r>
    </w:p>
    <w:p w14:paraId="300A8B0B"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2)</w:t>
      </w:r>
      <w:r w:rsidRPr="00C979A2">
        <w:rPr>
          <w:rFonts w:cstheme="minorHAnsi"/>
          <w:sz w:val="28"/>
          <w:szCs w:val="28"/>
        </w:rPr>
        <w:tab/>
        <w:t>teren ma zapewniony bezpośredni dostęp do drogi publicznej (gminnej) – ul. Przemysłowej, poprzez istniejący zjazd;</w:t>
      </w:r>
    </w:p>
    <w:p w14:paraId="1F84F64C"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3)</w:t>
      </w:r>
      <w:r w:rsidRPr="00C979A2">
        <w:rPr>
          <w:rFonts w:cstheme="minorHAnsi"/>
          <w:sz w:val="28"/>
          <w:szCs w:val="28"/>
        </w:rPr>
        <w:tab/>
        <w:t>inwestycja ze względu na swój charakter, nie wymaga podłączenia do sieci: elektroenergetycznej, wodociągowej i kanalizacji sanitarnej;</w:t>
      </w:r>
    </w:p>
    <w:p w14:paraId="4AE97828"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4)</w:t>
      </w:r>
      <w:r w:rsidRPr="00C979A2">
        <w:rPr>
          <w:rFonts w:cstheme="minorHAnsi"/>
          <w:sz w:val="28"/>
          <w:szCs w:val="28"/>
        </w:rPr>
        <w:tab/>
        <w:t>teren inwestycji nie wymaga uzyskania zgody na zmianę przeznaczenia gruntów rolnych i leśnych na cele nierolnicze i nieleśne, bowiem inwestycja planowana jest na działce, która zgodnie z ewidencją gruntów i budynków prowadzoną przez Starostę Śremskiego stanowi tereny mieszkaniowe B;</w:t>
      </w:r>
    </w:p>
    <w:p w14:paraId="79B3795C" w14:textId="77777777" w:rsidR="00C979A2" w:rsidRPr="00C979A2" w:rsidRDefault="00C979A2" w:rsidP="00C979A2">
      <w:pPr>
        <w:tabs>
          <w:tab w:val="left" w:pos="993"/>
        </w:tabs>
        <w:spacing w:after="120" w:line="240" w:lineRule="auto"/>
        <w:ind w:firstLine="567"/>
        <w:jc w:val="both"/>
        <w:rPr>
          <w:rFonts w:cstheme="minorHAnsi"/>
          <w:sz w:val="28"/>
          <w:szCs w:val="28"/>
        </w:rPr>
      </w:pPr>
      <w:r w:rsidRPr="00C979A2">
        <w:rPr>
          <w:rFonts w:cstheme="minorHAnsi"/>
          <w:sz w:val="28"/>
          <w:szCs w:val="28"/>
        </w:rPr>
        <w:t>5)</w:t>
      </w:r>
      <w:r w:rsidRPr="00C979A2">
        <w:rPr>
          <w:rFonts w:cstheme="minorHAnsi"/>
          <w:sz w:val="28"/>
          <w:szCs w:val="28"/>
        </w:rPr>
        <w:tab/>
        <w:t>decyzja jest zgodna z przepisami odrębnymi;</w:t>
      </w:r>
    </w:p>
    <w:p w14:paraId="7543AEA9" w14:textId="77777777" w:rsidR="00C979A2" w:rsidRPr="00C979A2" w:rsidRDefault="00C979A2" w:rsidP="00C979A2">
      <w:pPr>
        <w:numPr>
          <w:ilvl w:val="0"/>
          <w:numId w:val="24"/>
        </w:numPr>
        <w:tabs>
          <w:tab w:val="left" w:pos="993"/>
        </w:tabs>
        <w:spacing w:after="120" w:line="240" w:lineRule="auto"/>
        <w:ind w:left="0" w:firstLine="567"/>
        <w:contextualSpacing/>
        <w:jc w:val="both"/>
        <w:rPr>
          <w:rFonts w:cstheme="minorHAnsi"/>
          <w:sz w:val="28"/>
          <w:szCs w:val="28"/>
        </w:rPr>
      </w:pPr>
      <w:r w:rsidRPr="00C979A2">
        <w:rPr>
          <w:rFonts w:cstheme="minorHAnsi"/>
          <w:sz w:val="28"/>
          <w:szCs w:val="28"/>
        </w:rPr>
        <w:t>zamierzenie budowlane nie znajdzie się w obszarze:</w:t>
      </w:r>
    </w:p>
    <w:p w14:paraId="40908D7E" w14:textId="77777777" w:rsidR="00C979A2" w:rsidRPr="00C979A2" w:rsidRDefault="00C979A2" w:rsidP="00C979A2">
      <w:pPr>
        <w:numPr>
          <w:ilvl w:val="0"/>
          <w:numId w:val="23"/>
        </w:numPr>
        <w:tabs>
          <w:tab w:val="left" w:pos="1134"/>
        </w:tabs>
        <w:spacing w:after="120" w:line="240" w:lineRule="auto"/>
        <w:ind w:left="1134"/>
        <w:contextualSpacing/>
        <w:jc w:val="both"/>
        <w:rPr>
          <w:rFonts w:cstheme="minorHAnsi"/>
          <w:sz w:val="28"/>
          <w:szCs w:val="28"/>
        </w:rPr>
      </w:pPr>
      <w:r w:rsidRPr="00C979A2">
        <w:rPr>
          <w:rFonts w:cstheme="minorHAnsi"/>
          <w:sz w:val="28"/>
          <w:szCs w:val="28"/>
          <w:shd w:val="clear" w:color="auto" w:fill="FFFFFF"/>
        </w:rPr>
        <w:t>objętym zakazem wznoszenia i utrzymywania obiektów budowlanych przeznaczonych na pobyt ludzi związanym z lokalizacją sieci przesyłowej,</w:t>
      </w:r>
    </w:p>
    <w:p w14:paraId="0490FD9C" w14:textId="77777777" w:rsidR="00C979A2" w:rsidRPr="00C979A2" w:rsidRDefault="00C979A2" w:rsidP="00C979A2">
      <w:pPr>
        <w:numPr>
          <w:ilvl w:val="0"/>
          <w:numId w:val="23"/>
        </w:numPr>
        <w:tabs>
          <w:tab w:val="left" w:pos="1134"/>
        </w:tabs>
        <w:spacing w:after="120" w:line="240" w:lineRule="auto"/>
        <w:ind w:left="1134"/>
        <w:contextualSpacing/>
        <w:jc w:val="both"/>
        <w:rPr>
          <w:rFonts w:cstheme="minorHAnsi"/>
          <w:sz w:val="28"/>
          <w:szCs w:val="28"/>
        </w:rPr>
      </w:pPr>
      <w:r w:rsidRPr="00C979A2">
        <w:rPr>
          <w:rFonts w:cstheme="minorHAnsi"/>
          <w:sz w:val="28"/>
          <w:szCs w:val="28"/>
          <w:lang w:eastAsia="pl-PL"/>
        </w:rPr>
        <w:t xml:space="preserve">strefy kontrolowanej wyznaczonej po obu stronach gazociągu, </w:t>
      </w:r>
    </w:p>
    <w:p w14:paraId="31494300" w14:textId="2E28CEEC" w:rsidR="00C979A2" w:rsidRPr="00831A2C" w:rsidRDefault="00C979A2" w:rsidP="00831A2C">
      <w:pPr>
        <w:numPr>
          <w:ilvl w:val="0"/>
          <w:numId w:val="23"/>
        </w:numPr>
        <w:tabs>
          <w:tab w:val="left" w:pos="1134"/>
        </w:tabs>
        <w:spacing w:after="120" w:line="240" w:lineRule="auto"/>
        <w:ind w:left="1134"/>
        <w:contextualSpacing/>
        <w:jc w:val="both"/>
        <w:rPr>
          <w:rFonts w:cstheme="minorHAnsi"/>
          <w:sz w:val="28"/>
          <w:szCs w:val="28"/>
        </w:rPr>
      </w:pPr>
      <w:r w:rsidRPr="00C979A2">
        <w:rPr>
          <w:rFonts w:cstheme="minorHAnsi"/>
          <w:sz w:val="28"/>
          <w:szCs w:val="28"/>
          <w:lang w:eastAsia="pl-PL"/>
        </w:rPr>
        <w:t>strefy bezpieczeństwa wyznaczonej po obu stronach rurociągu.</w:t>
      </w:r>
    </w:p>
    <w:p w14:paraId="629C2227"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W związku z tym, że sąsiednie działki dostępne z tej samej drogi gminnej oraz ul. Elizy Orzeszkowej, ul. Marii Konopnickiej i ul. Władysława Reymonta,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1AD71321"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lastRenderedPageBreak/>
        <w:t xml:space="preserve">Planowana inwestycja stanowi kontynuację funkcji terenów sąsiednich. W bezpośrednim sąsiedztwie terenu inwestycji znajdują się budynki mieszkalne jednorodzinne, budynki usługowe, budynki gospodarczo-garażowe. W związku z powyższym planowana inwestycja (budowa garażu) spełnia przesłanki tzw. dobrego sąsiedztwa w zakresie kontynuacji funkcji, bowiem stanowi uzupełnienie funkcji podstawowej (mieszkaniowej) i dzięki temu zagwarantuje zachowanie w obszarze analizowanym wymagań ładu przestrzennego. </w:t>
      </w:r>
    </w:p>
    <w:p w14:paraId="48058E1D"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 xml:space="preserve">Ustalenia zawarte w niniejszej decyzji odpowiadają wymogom rozporządzenia </w:t>
      </w:r>
      <w:r w:rsidRPr="00C979A2">
        <w:rPr>
          <w:rFonts w:cstheme="minorHAnsi"/>
          <w:iCs/>
          <w:sz w:val="28"/>
          <w:szCs w:val="28"/>
        </w:rPr>
        <w:t>Ministra Infrastruktury z dnia 26 sierpnia 2003 r. w sprawie sposobu ustalania wymagań dotyczących nowej zabudowy i zagospodarowania terenu w przypadku braku miejscowego planu zagospodarowania przestrzennego (Dz. U. Nr 164, poz. 1588, z 2021 r. poz. 2399), zwanej dalej rozporządzeniem.</w:t>
      </w:r>
    </w:p>
    <w:p w14:paraId="1829C00F"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C979A2">
        <w:rPr>
          <w:rFonts w:cstheme="minorHAnsi"/>
          <w:sz w:val="28"/>
          <w:szCs w:val="28"/>
        </w:rPr>
        <w:t>Wa</w:t>
      </w:r>
      <w:proofErr w:type="spellEnd"/>
      <w:r w:rsidRPr="00C979A2">
        <w:rPr>
          <w:rFonts w:cstheme="minorHAnsi"/>
          <w:sz w:val="28"/>
          <w:szCs w:val="28"/>
        </w:rPr>
        <w:t xml:space="preserve"> 2123/16).</w:t>
      </w:r>
    </w:p>
    <w:p w14:paraId="14B9CAE8"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36A9D663"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 xml:space="preserve">Dla planowanej inwestycji ustalono nieprzekraczalną linię zabudowy wyznaczoną wzdłuż budynku mieszkalnego zlokalizowanego na działce objętej wnioskiem, oznaczoną jako linię ciągłą, z umieszczonymi stycznie niewypełnionymi trójkątami. Stosownie bowiem do § 3 ust. 3 rozporządzenia Ministra Infrastruktury z dnia 26 sierpnia 2003 r. w sprawie oznaczeń i nazewnictwa stosowanych w decyzji o ustaleniu lokalizacji inwestycji celu publicznego oraz w decyzji o warunkach zabudowy (Dz. U. Nr 64, poz. 1589) „podstawowe jednobarwne oznaczenia graficzne dotyczące granic i linii regulacyjnych, a także elementów zagospodarowania przestrzennego, przeznaczone do stosowania w części graficznej decyzji, o których mowa </w:t>
      </w:r>
      <w:r w:rsidRPr="00C979A2">
        <w:rPr>
          <w:rFonts w:cstheme="minorHAnsi"/>
          <w:sz w:val="28"/>
          <w:szCs w:val="28"/>
        </w:rPr>
        <w:lastRenderedPageBreak/>
        <w:t xml:space="preserve">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2C925EF8"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Wyznaczona w niniejszej decyzji linia zabudowy ma charakter nieprzekraczalnej, co oznacza, że określa ona jedynie maksymalny zasięg położenia planowanej zabudowy względem drogi publicznej (gminnej), nie przesądzając jednak o ostatecznej lokalizacji samego budynku na działce.</w:t>
      </w:r>
    </w:p>
    <w:p w14:paraId="62B6355E" w14:textId="77777777" w:rsidR="00831A2C" w:rsidRDefault="00C979A2" w:rsidP="00831A2C">
      <w:pPr>
        <w:spacing w:after="120" w:line="240" w:lineRule="auto"/>
        <w:ind w:firstLine="567"/>
        <w:jc w:val="both"/>
        <w:rPr>
          <w:rFonts w:cstheme="minorHAnsi"/>
          <w:sz w:val="28"/>
          <w:szCs w:val="28"/>
        </w:rPr>
      </w:pPr>
      <w:r w:rsidRPr="00C979A2">
        <w:rPr>
          <w:rFonts w:cstheme="minorHAnsi"/>
          <w:sz w:val="28"/>
          <w:szCs w:val="28"/>
        </w:rPr>
        <w:t xml:space="preserve">Wskaźnik wielkości powierzchni nowej zabudowy, oznaczający łączną powierzchnię terenu wyznaczoną przez rzuty pionowe nadziemnych zewnętrznych ścian wszystkich budynków w stanie wykończonym na powierzchnię terenu, nie został wyznaczony na podstawie średniego wskaźnika tej wielkości dla obszaru analizowanego. </w:t>
      </w:r>
      <w:r w:rsidRPr="00C979A2">
        <w:rPr>
          <w:rFonts w:cstheme="minorHAnsi"/>
          <w:b/>
          <w:bCs/>
          <w:sz w:val="28"/>
          <w:szCs w:val="28"/>
        </w:rPr>
        <w:t>Średni wskaźnik w obszarze analizowanym wynosi 28,2 %</w:t>
      </w:r>
      <w:r w:rsidRPr="00C979A2">
        <w:rPr>
          <w:rFonts w:cstheme="minorHAnsi"/>
          <w:sz w:val="28"/>
          <w:szCs w:val="28"/>
        </w:rPr>
        <w:t xml:space="preserve">, przy czym w obszarze analizowanym waha się pomiędzy 12,2 %, a 58,9 %. Planowana inwestycja charakteryzuje się wskaźnikiem od 20,9 % do 28,2 %, który jest wskaźnikiem zbliżonym do średniego wskaźnika. </w:t>
      </w:r>
    </w:p>
    <w:p w14:paraId="1A7B253E" w14:textId="4175E3F0" w:rsidR="00C979A2" w:rsidRPr="00C979A2" w:rsidRDefault="00C979A2" w:rsidP="00831A2C">
      <w:pPr>
        <w:spacing w:after="120" w:line="240" w:lineRule="auto"/>
        <w:ind w:firstLine="567"/>
        <w:jc w:val="both"/>
        <w:rPr>
          <w:rFonts w:cstheme="minorHAnsi"/>
          <w:sz w:val="28"/>
          <w:szCs w:val="28"/>
        </w:rPr>
      </w:pPr>
      <w:r w:rsidRPr="00C979A2">
        <w:rPr>
          <w:rFonts w:cstheme="minorHAnsi"/>
          <w:sz w:val="28"/>
          <w:szCs w:val="28"/>
        </w:rPr>
        <w:t xml:space="preserve">Wskaźniki na działkach zabudowanych w obszarze analizowanym o nr ewid.: 1844; 1845; 1846; 1847; 1848; 1842; 1841; 1840; 1839/2, 1839/1; 1838; 1837; 1836; 1852; 1851; 1850/1; 1898; 1897; 1896/2; 1896/1; 1895/2 wynoszą odpowiednio: </w:t>
      </w:r>
      <w:r w:rsidRPr="00C979A2">
        <w:rPr>
          <w:rFonts w:cstheme="minorHAnsi"/>
          <w:b/>
          <w:bCs/>
          <w:sz w:val="28"/>
          <w:szCs w:val="28"/>
        </w:rPr>
        <w:t>25,4 %</w:t>
      </w:r>
      <w:r w:rsidRPr="00C979A2">
        <w:rPr>
          <w:rFonts w:cstheme="minorHAnsi"/>
          <w:sz w:val="28"/>
          <w:szCs w:val="28"/>
        </w:rPr>
        <w:t xml:space="preserve">, </w:t>
      </w:r>
      <w:r w:rsidRPr="00C979A2">
        <w:rPr>
          <w:rFonts w:cstheme="minorHAnsi"/>
          <w:b/>
          <w:bCs/>
          <w:sz w:val="28"/>
          <w:szCs w:val="28"/>
        </w:rPr>
        <w:t>22,7 %</w:t>
      </w:r>
      <w:r w:rsidRPr="00C979A2">
        <w:rPr>
          <w:rFonts w:cstheme="minorHAnsi"/>
          <w:sz w:val="28"/>
          <w:szCs w:val="28"/>
        </w:rPr>
        <w:t xml:space="preserve">, </w:t>
      </w:r>
      <w:r w:rsidRPr="00C979A2">
        <w:rPr>
          <w:rFonts w:cstheme="minorHAnsi"/>
          <w:b/>
          <w:bCs/>
          <w:sz w:val="28"/>
          <w:szCs w:val="28"/>
        </w:rPr>
        <w:t>27,6 %</w:t>
      </w:r>
      <w:r w:rsidRPr="00C979A2">
        <w:rPr>
          <w:rFonts w:cstheme="minorHAnsi"/>
          <w:sz w:val="28"/>
          <w:szCs w:val="28"/>
        </w:rPr>
        <w:t xml:space="preserve">, </w:t>
      </w:r>
      <w:r w:rsidRPr="00C979A2">
        <w:rPr>
          <w:rFonts w:cstheme="minorHAnsi"/>
          <w:b/>
          <w:bCs/>
          <w:sz w:val="28"/>
          <w:szCs w:val="28"/>
        </w:rPr>
        <w:t>28,6 %</w:t>
      </w:r>
      <w:r w:rsidRPr="00C979A2">
        <w:rPr>
          <w:rFonts w:cstheme="minorHAnsi"/>
          <w:sz w:val="28"/>
          <w:szCs w:val="28"/>
        </w:rPr>
        <w:t xml:space="preserve">, 34,2 %, 16,0 %, </w:t>
      </w:r>
      <w:r w:rsidRPr="00C979A2">
        <w:rPr>
          <w:rFonts w:cstheme="minorHAnsi"/>
          <w:b/>
          <w:bCs/>
          <w:sz w:val="28"/>
          <w:szCs w:val="28"/>
        </w:rPr>
        <w:t>24,1 %</w:t>
      </w:r>
      <w:r w:rsidRPr="00C979A2">
        <w:rPr>
          <w:rFonts w:cstheme="minorHAnsi"/>
          <w:sz w:val="28"/>
          <w:szCs w:val="28"/>
        </w:rPr>
        <w:t xml:space="preserve">, 12,2 %, 41,2 %, </w:t>
      </w:r>
      <w:r w:rsidRPr="00C979A2">
        <w:rPr>
          <w:rFonts w:cstheme="minorHAnsi"/>
          <w:b/>
          <w:bCs/>
          <w:sz w:val="28"/>
          <w:szCs w:val="28"/>
        </w:rPr>
        <w:t>24,7 %</w:t>
      </w:r>
      <w:r w:rsidRPr="00C979A2">
        <w:rPr>
          <w:rFonts w:cstheme="minorHAnsi"/>
          <w:sz w:val="28"/>
          <w:szCs w:val="28"/>
        </w:rPr>
        <w:t xml:space="preserve">, 29,5 %, </w:t>
      </w:r>
      <w:r w:rsidRPr="00C979A2">
        <w:rPr>
          <w:rFonts w:cstheme="minorHAnsi"/>
          <w:b/>
          <w:bCs/>
          <w:sz w:val="28"/>
          <w:szCs w:val="28"/>
        </w:rPr>
        <w:t>28,7 %</w:t>
      </w:r>
      <w:r w:rsidRPr="00C979A2">
        <w:rPr>
          <w:rFonts w:cstheme="minorHAnsi"/>
          <w:sz w:val="28"/>
          <w:szCs w:val="28"/>
        </w:rPr>
        <w:t xml:space="preserve">, </w:t>
      </w:r>
      <w:r w:rsidRPr="00C979A2">
        <w:rPr>
          <w:rFonts w:cstheme="minorHAnsi"/>
          <w:b/>
          <w:bCs/>
          <w:sz w:val="28"/>
          <w:szCs w:val="28"/>
        </w:rPr>
        <w:t>20,8 %</w:t>
      </w:r>
      <w:r w:rsidRPr="00C979A2">
        <w:rPr>
          <w:rFonts w:cstheme="minorHAnsi"/>
          <w:sz w:val="28"/>
          <w:szCs w:val="28"/>
        </w:rPr>
        <w:t xml:space="preserve">, </w:t>
      </w:r>
      <w:r w:rsidRPr="00C979A2">
        <w:rPr>
          <w:rFonts w:cstheme="minorHAnsi"/>
          <w:b/>
          <w:bCs/>
          <w:sz w:val="28"/>
          <w:szCs w:val="28"/>
        </w:rPr>
        <w:t>20,7 %</w:t>
      </w:r>
      <w:r w:rsidRPr="00C979A2">
        <w:rPr>
          <w:rFonts w:cstheme="minorHAnsi"/>
          <w:sz w:val="28"/>
          <w:szCs w:val="28"/>
        </w:rPr>
        <w:t xml:space="preserve">, </w:t>
      </w:r>
      <w:r w:rsidRPr="00C979A2">
        <w:rPr>
          <w:rFonts w:cstheme="minorHAnsi"/>
          <w:b/>
          <w:bCs/>
          <w:sz w:val="28"/>
          <w:szCs w:val="28"/>
        </w:rPr>
        <w:t>21,2 %</w:t>
      </w:r>
      <w:r w:rsidRPr="00C979A2">
        <w:rPr>
          <w:rFonts w:cstheme="minorHAnsi"/>
          <w:sz w:val="28"/>
          <w:szCs w:val="28"/>
        </w:rPr>
        <w:t xml:space="preserve">, </w:t>
      </w:r>
      <w:r w:rsidRPr="00C979A2">
        <w:rPr>
          <w:rFonts w:cstheme="minorHAnsi"/>
          <w:b/>
          <w:bCs/>
          <w:sz w:val="28"/>
          <w:szCs w:val="28"/>
        </w:rPr>
        <w:t>23,6 %</w:t>
      </w:r>
      <w:r w:rsidRPr="00C979A2">
        <w:rPr>
          <w:rFonts w:cstheme="minorHAnsi"/>
          <w:sz w:val="28"/>
          <w:szCs w:val="28"/>
        </w:rPr>
        <w:t xml:space="preserve">, </w:t>
      </w:r>
      <w:r w:rsidRPr="00C979A2">
        <w:rPr>
          <w:rFonts w:cstheme="minorHAnsi"/>
          <w:b/>
          <w:bCs/>
          <w:sz w:val="28"/>
          <w:szCs w:val="28"/>
        </w:rPr>
        <w:t>27,5 %</w:t>
      </w:r>
      <w:r w:rsidRPr="00C979A2">
        <w:rPr>
          <w:rFonts w:cstheme="minorHAnsi"/>
          <w:sz w:val="28"/>
          <w:szCs w:val="28"/>
        </w:rPr>
        <w:t xml:space="preserve">, 54,4 %, 58,9 %, 16,0 % oraz zespół garaży, dla których wskaźnik powierzchni zabudowy wynosi 33,2 %. Powierzchnie działek w obszarze analizowanym są zbliżone do siebie. </w:t>
      </w:r>
    </w:p>
    <w:p w14:paraId="07DC4699" w14:textId="77777777" w:rsidR="00831A2C" w:rsidRDefault="00C979A2" w:rsidP="00C979A2">
      <w:pPr>
        <w:spacing w:after="120" w:line="240" w:lineRule="auto"/>
        <w:ind w:firstLine="567"/>
        <w:jc w:val="both"/>
        <w:rPr>
          <w:rFonts w:cstheme="minorHAnsi"/>
          <w:sz w:val="28"/>
          <w:szCs w:val="28"/>
        </w:rPr>
      </w:pPr>
      <w:r w:rsidRPr="00C979A2">
        <w:rPr>
          <w:rFonts w:cstheme="minorHAnsi"/>
          <w:sz w:val="28"/>
          <w:szCs w:val="28"/>
        </w:rPr>
        <w:t xml:space="preserve">Zdaniem Naczelnego Sądu Administracyjnego (wyrok z dnia 11.06.2014 r., sygn. akt II OSK 95/13) możliwe jest w zakresie wskaźnika powierzchni zabudowy, w konkretnym przypadku, rozstrzygnięcie specyficzne muszą przy tym wynikać z analizy urbanistycznej. W omawianym przypadku nie wynikają. Ponadto Naczelny Sąd Administracyjny wyrokiem z 25.02.2011 r. (sygn. akt II OSK 1857/10) orzekł, że „Zgodnie z § 5 ust. 1 rozporządzenia chodzi o to, aby wielkość powierzchni nowej zabudowy, nie odbiegała drastycznie od wielkości powierzchni zabudowy na innych działkach (zabudowanych), znajdujących się w obszarze analizowanym.”. Planowany wskaźnik powierzchni zabudowy jest nieznacznie niższy od średniego, ale mieści się w przedziale wskaźników występujących w obszarze analizowanym. </w:t>
      </w:r>
    </w:p>
    <w:p w14:paraId="015082C9" w14:textId="032A466C" w:rsidR="00C979A2" w:rsidRPr="00C979A2" w:rsidRDefault="00C979A2" w:rsidP="00831A2C">
      <w:pPr>
        <w:spacing w:after="120" w:line="240" w:lineRule="auto"/>
        <w:jc w:val="both"/>
        <w:rPr>
          <w:rFonts w:cstheme="minorHAnsi"/>
          <w:sz w:val="28"/>
          <w:szCs w:val="28"/>
        </w:rPr>
      </w:pPr>
      <w:r w:rsidRPr="00C979A2">
        <w:rPr>
          <w:rFonts w:cstheme="minorHAnsi"/>
          <w:sz w:val="28"/>
          <w:szCs w:val="28"/>
        </w:rPr>
        <w:lastRenderedPageBreak/>
        <w:t>W związku z powyższym wskaźnik powierzchni zabudowy ustalono na poziomie od 20,9 % (istniejący wskaźnik powierzchni zabudowy) do 28,2 % (średni wskaźnik powierzchni zabudowy), bowiem w harmonijny sposób wpisze się w otoczenie.</w:t>
      </w:r>
    </w:p>
    <w:p w14:paraId="08B60289"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Szerokość elewacji frontowej planowanego budynku nie wyznaczono na podstawie średniej szerokości elewacji dla obszaru analizowanego z tolerancją ±20%, przy średniej szerokości elewacji wynoszącej 8,4 m, budynki powinny charakteryzować się szerokością od 6,69 m do 10,03 m. Planowany budynek o szerokości elewacji frontowej od 5,0 m do 5,5 m nie mieści się w ramach standardowo wyznaczanej szerokości elewacji frontowej, ale mieści się w przedziale szerokości występujących w obszarze analizowanym. Na działce o nr ewid. 1846 szerokość budynku wynosi 5,7 m, na działce o nr ewid. 1838 szerokość budynku wynosi 6,0 m, na działce o nr ewid. 1896/1 wynosi 5,0 m. Zatem istnieje możliwość ustalenia szerokości elewacji frontowej na poziomie od 5,0 m do 5,7 m, bowiem nie zaburzy ładu przestrzennego i w harmonijny sposób wpisze się w otoczenie.</w:t>
      </w:r>
    </w:p>
    <w:p w14:paraId="498BE703"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 xml:space="preserve">Wysokość górnej krawędzi elewacji frontowej, jej gzymsu lub attyki wyznacza się dla nowej zabudowy jako przedłużenie tych krawędzi odpowiednio do istniejącej zabudowy na działkach sąsiednich. </w:t>
      </w:r>
    </w:p>
    <w:p w14:paraId="172A27A3" w14:textId="77777777" w:rsidR="00C979A2" w:rsidRPr="00C979A2" w:rsidRDefault="00C979A2" w:rsidP="00C979A2">
      <w:pPr>
        <w:spacing w:after="120" w:line="240" w:lineRule="auto"/>
        <w:jc w:val="both"/>
        <w:rPr>
          <w:rFonts w:cstheme="minorHAnsi"/>
          <w:sz w:val="28"/>
          <w:szCs w:val="28"/>
        </w:rPr>
      </w:pPr>
      <w:r w:rsidRPr="00C979A2">
        <w:rPr>
          <w:rFonts w:cstheme="minorHAnsi"/>
          <w:sz w:val="28"/>
          <w:szCs w:val="28"/>
        </w:rPr>
        <w:t>Dopuszcza się wyznaczanie innej wysokości elewacji frontowej, jeżeli wynika to z analizy. Wysokość górnej krawędzi elewacji frontowej budynków z jednospadowymi wynoszą od 2,5 m do 5,5 m. Planowany budynek charakteryzuje się wysokością od 3,0 m do 3,3 m. Na działkach o nr ewid. 1845; 1846; 1848 wysokość budynków wynosi 3,0 m, na działkach o nr ewid.: 1850/1; 1896/3 wysokość wynosi 3,5 m. Biorąc powyższe pod uwagę, wysokość elewacji frontowej planowanego budynku ustalono na podstawie wysokości występujących w obszarze analizowanym, czyli od 3,0 m do 3,5 m.</w:t>
      </w:r>
    </w:p>
    <w:p w14:paraId="473F4339"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 xml:space="preserve">Geometrię dachu projektowanego budynku ustalono odpowiednio do geometrii dachów występujących na obszarze analizowanym, w którym występują dachy jednospadowe o kącie nachylenia 15˚, 17˚, 20˚, dachy dwuspadowe o kącie nachylenia 20˚, 30˚, 35˚, 40˚, 45˚, 50˚, o wysokości głównej kalenicy od 3,0 m do 8,5 m oraz tzw. płaskie o kącie nachylenia do 12°, o wysokości całkowitej budynków z dachami tzw. płaskimi od 2,5 m do 16,0 m. W obszarze analizowanym występują dachy o kalenicowym (równoległym lub zbliżonym do równoległego) i szczytowym (prostopadłym lub zbliżonym do prostopadłego) kierunku kalenicy w stosunku do frontu działki. Po dokonaniu analizy stwierdzono, że wnioskowana geometria dachu: dach jednospadowy, o kalenicowym kierunku spadku połaci dachowej, o kącie </w:t>
      </w:r>
      <w:r w:rsidRPr="00C979A2">
        <w:rPr>
          <w:rFonts w:cstheme="minorHAnsi"/>
          <w:sz w:val="28"/>
          <w:szCs w:val="28"/>
        </w:rPr>
        <w:lastRenderedPageBreak/>
        <w:t xml:space="preserve">nachylenia nie większym niż 20˚, o wysokości od 3,0 m do 3,5 m, odpowiada parametrom budynków w obszarze analizowanym.  Na działkach o nr ewid. 1845; 1846; 1848 wysokość budynków wynosi 3,0 m, na działkach o nr ewid. 1850/1 i 1896/3 wysokość wynosi 3,5 m. Możliwe zatem jest ustalenie geometrii dachu na poziomie wysokości występujących w obszarze analizowanym od 3,0 m do 3,5 m, bowiem taka geometria dachu harmonijnie wpisze się w sąsiadującą zabudowę.  </w:t>
      </w:r>
    </w:p>
    <w:p w14:paraId="4262EA34" w14:textId="288D1941" w:rsidR="00C979A2" w:rsidRPr="00C979A2" w:rsidRDefault="00C979A2" w:rsidP="00831A2C">
      <w:pPr>
        <w:spacing w:after="120" w:line="240" w:lineRule="auto"/>
        <w:ind w:firstLine="567"/>
        <w:jc w:val="both"/>
        <w:rPr>
          <w:rFonts w:cstheme="minorHAnsi"/>
          <w:sz w:val="28"/>
          <w:szCs w:val="28"/>
        </w:rPr>
      </w:pPr>
      <w:r w:rsidRPr="00C979A2">
        <w:rPr>
          <w:rFonts w:cstheme="minorHAnsi"/>
          <w:sz w:val="28"/>
          <w:szCs w:val="28"/>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67BF9724"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 xml:space="preserve">W niniejszej sprawie, w przypadku decyzji o warunkach zabudowy, Burmistrz Śremu odstępuje od określenia zasad związanych z lokalizacją miejsc parkingowych na terenie inwestycji, bowiem planowana inwestycja nie generuje zapotrzebowania na większą liczbę miejsc parkingowych. </w:t>
      </w:r>
    </w:p>
    <w:p w14:paraId="3C164081" w14:textId="77777777" w:rsidR="00C979A2" w:rsidRPr="00C979A2" w:rsidRDefault="00C979A2" w:rsidP="00C979A2">
      <w:pPr>
        <w:widowControl w:val="0"/>
        <w:autoSpaceDE w:val="0"/>
        <w:spacing w:after="120" w:line="240" w:lineRule="auto"/>
        <w:ind w:firstLine="567"/>
        <w:jc w:val="both"/>
        <w:rPr>
          <w:rFonts w:cstheme="minorHAnsi"/>
          <w:sz w:val="28"/>
          <w:szCs w:val="28"/>
        </w:rPr>
      </w:pPr>
      <w:r w:rsidRPr="00C979A2">
        <w:rPr>
          <w:rFonts w:cstheme="minorHAnsi"/>
          <w:sz w:val="28"/>
          <w:szCs w:val="28"/>
        </w:rPr>
        <w:t xml:space="preserve">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poz. 1724). W związku z tym nie zachodził obowiązek uzyskania decyzji o środowiskowych uwarunkowaniach określającej środowiskowe uwarunkowania realizacji </w:t>
      </w:r>
      <w:r w:rsidRPr="00C979A2">
        <w:rPr>
          <w:rFonts w:cstheme="minorHAnsi"/>
          <w:sz w:val="28"/>
          <w:szCs w:val="28"/>
        </w:rPr>
        <w:lastRenderedPageBreak/>
        <w:t>przedsięwzięcia.</w:t>
      </w:r>
    </w:p>
    <w:p w14:paraId="3CB57B71" w14:textId="77777777" w:rsidR="00C979A2" w:rsidRPr="00C979A2" w:rsidRDefault="00C979A2" w:rsidP="00C979A2">
      <w:pPr>
        <w:widowControl w:val="0"/>
        <w:autoSpaceDE w:val="0"/>
        <w:spacing w:after="120" w:line="240" w:lineRule="auto"/>
        <w:ind w:firstLine="567"/>
        <w:jc w:val="both"/>
        <w:rPr>
          <w:rFonts w:cstheme="minorHAnsi"/>
          <w:sz w:val="28"/>
        </w:rPr>
      </w:pPr>
      <w:r w:rsidRPr="00C979A2">
        <w:rPr>
          <w:rFonts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2023 r. poz. 1094, 1113, 1501, 1506, 1719, 1890, 1688, 1906 i 2029) tutejszy organ rozważył, przed wydaniem niniejszej decyzji, czy analizowane przedsięwzięcie, </w:t>
      </w:r>
      <w:r w:rsidRPr="00C979A2">
        <w:rPr>
          <w:rFonts w:eastAsia="Times New Roman" w:cstheme="minorHAnsi"/>
          <w:sz w:val="28"/>
          <w:szCs w:val="28"/>
          <w:lang w:eastAsia="pl-PL"/>
        </w:rPr>
        <w:t>inne niż przedsięwzięcie mogące znacząco oddziaływać na środowisko</w:t>
      </w:r>
      <w:r w:rsidRPr="00C979A2">
        <w:rPr>
          <w:rFonts w:cstheme="minorHAnsi"/>
          <w:sz w:val="28"/>
        </w:rPr>
        <w:t>, które nie jest bezpośrednio związane z ochroną obszaru Natura 2000 lub nie wynika z tej ochrony, może potencjalnie znacząco oddziaływać na obszar Natura 2000. Otóż planowana inwestycja:</w:t>
      </w:r>
    </w:p>
    <w:p w14:paraId="194D6B14" w14:textId="77777777" w:rsidR="00C979A2" w:rsidRPr="00C979A2" w:rsidRDefault="00C979A2" w:rsidP="00C979A2">
      <w:pPr>
        <w:widowControl w:val="0"/>
        <w:numPr>
          <w:ilvl w:val="0"/>
          <w:numId w:val="14"/>
        </w:numPr>
        <w:tabs>
          <w:tab w:val="left" w:pos="993"/>
        </w:tabs>
        <w:autoSpaceDE w:val="0"/>
        <w:spacing w:after="120" w:line="240" w:lineRule="auto"/>
        <w:ind w:left="0" w:firstLine="567"/>
        <w:contextualSpacing/>
        <w:jc w:val="both"/>
        <w:rPr>
          <w:rFonts w:cstheme="minorHAnsi"/>
          <w:sz w:val="28"/>
        </w:rPr>
      </w:pPr>
      <w:r w:rsidRPr="00C979A2">
        <w:rPr>
          <w:rFonts w:cstheme="minorHAnsi"/>
          <w:sz w:val="28"/>
        </w:rPr>
        <w:t>zostanie zlokalizowana w zurbanizowanej części miasta, na zabudowanej działce;</w:t>
      </w:r>
    </w:p>
    <w:p w14:paraId="4A11AD9D" w14:textId="77777777" w:rsidR="00C979A2" w:rsidRPr="00C979A2" w:rsidRDefault="00C979A2" w:rsidP="00C979A2">
      <w:pPr>
        <w:widowControl w:val="0"/>
        <w:numPr>
          <w:ilvl w:val="0"/>
          <w:numId w:val="14"/>
        </w:numPr>
        <w:tabs>
          <w:tab w:val="left" w:pos="993"/>
        </w:tabs>
        <w:autoSpaceDE w:val="0"/>
        <w:spacing w:after="120" w:line="240" w:lineRule="auto"/>
        <w:ind w:left="0" w:firstLine="567"/>
        <w:contextualSpacing/>
        <w:jc w:val="both"/>
        <w:rPr>
          <w:rFonts w:cstheme="minorHAnsi"/>
          <w:sz w:val="28"/>
        </w:rPr>
      </w:pPr>
      <w:r w:rsidRPr="00C979A2">
        <w:rPr>
          <w:rFonts w:cstheme="minorHAnsi"/>
          <w:sz w:val="28"/>
        </w:rPr>
        <w:t>zajmuje niewielki obszar (550 m</w:t>
      </w:r>
      <w:r w:rsidRPr="00C979A2">
        <w:rPr>
          <w:rFonts w:cstheme="minorHAnsi"/>
          <w:sz w:val="28"/>
          <w:vertAlign w:val="superscript"/>
        </w:rPr>
        <w:t>2</w:t>
      </w:r>
      <w:r w:rsidRPr="00C979A2">
        <w:rPr>
          <w:rFonts w:cstheme="minorHAnsi"/>
          <w:sz w:val="28"/>
        </w:rPr>
        <w:t>);</w:t>
      </w:r>
    </w:p>
    <w:p w14:paraId="54E00FBD" w14:textId="01719409" w:rsidR="00C979A2" w:rsidRPr="00831A2C" w:rsidRDefault="00C979A2" w:rsidP="00831A2C">
      <w:pPr>
        <w:widowControl w:val="0"/>
        <w:numPr>
          <w:ilvl w:val="0"/>
          <w:numId w:val="14"/>
        </w:numPr>
        <w:tabs>
          <w:tab w:val="left" w:pos="993"/>
        </w:tabs>
        <w:autoSpaceDE w:val="0"/>
        <w:spacing w:after="120" w:line="240" w:lineRule="auto"/>
        <w:ind w:left="0" w:firstLine="567"/>
        <w:contextualSpacing/>
        <w:jc w:val="both"/>
        <w:rPr>
          <w:rFonts w:cstheme="minorHAnsi"/>
          <w:sz w:val="28"/>
        </w:rPr>
      </w:pPr>
      <w:r w:rsidRPr="00C979A2">
        <w:rPr>
          <w:rFonts w:cstheme="minorHAnsi"/>
          <w:sz w:val="28"/>
        </w:rPr>
        <w:t>odległa jest od najbliższego obszaru Natura 2000 (pomiar w linii prostej) o ca 2,0 km;</w:t>
      </w:r>
    </w:p>
    <w:p w14:paraId="32C8B215" w14:textId="77777777" w:rsidR="00C979A2" w:rsidRPr="00C979A2" w:rsidRDefault="00C979A2" w:rsidP="00C979A2">
      <w:pPr>
        <w:widowControl w:val="0"/>
        <w:numPr>
          <w:ilvl w:val="0"/>
          <w:numId w:val="14"/>
        </w:numPr>
        <w:tabs>
          <w:tab w:val="left" w:pos="993"/>
        </w:tabs>
        <w:autoSpaceDE w:val="0"/>
        <w:spacing w:after="120" w:line="240" w:lineRule="auto"/>
        <w:ind w:left="0" w:firstLine="567"/>
        <w:contextualSpacing/>
        <w:jc w:val="both"/>
        <w:rPr>
          <w:rFonts w:cstheme="minorHAnsi"/>
          <w:sz w:val="28"/>
        </w:rPr>
      </w:pPr>
      <w:r w:rsidRPr="00C979A2">
        <w:rPr>
          <w:rFonts w:cstheme="minorHAnsi"/>
          <w:sz w:val="28"/>
        </w:rPr>
        <w:t>nie wiąże się z generowaniem jakichkolwiek emisji do środowiska (hałas, pola elektromagnetyczne, substancje), poza krótkotrwałym etapem realizacji inwestycji.</w:t>
      </w:r>
    </w:p>
    <w:p w14:paraId="5864A319" w14:textId="77777777" w:rsidR="00C979A2" w:rsidRPr="00C979A2" w:rsidRDefault="00C979A2" w:rsidP="00C979A2">
      <w:pPr>
        <w:widowControl w:val="0"/>
        <w:autoSpaceDE w:val="0"/>
        <w:spacing w:after="120" w:line="240" w:lineRule="auto"/>
        <w:ind w:firstLine="567"/>
        <w:jc w:val="both"/>
        <w:rPr>
          <w:rFonts w:cstheme="minorHAnsi"/>
          <w:sz w:val="28"/>
        </w:rPr>
      </w:pPr>
      <w:r w:rsidRPr="00C979A2">
        <w:rPr>
          <w:rFonts w:cstheme="minorHAnsi"/>
          <w:sz w:val="28"/>
        </w:rPr>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p>
    <w:p w14:paraId="27D1DD43" w14:textId="77777777" w:rsidR="00C979A2" w:rsidRPr="00C979A2" w:rsidRDefault="00C979A2" w:rsidP="00C979A2">
      <w:pPr>
        <w:widowControl w:val="0"/>
        <w:autoSpaceDE w:val="0"/>
        <w:spacing w:after="120" w:line="240" w:lineRule="auto"/>
        <w:ind w:firstLine="567"/>
        <w:jc w:val="both"/>
        <w:rPr>
          <w:rFonts w:cstheme="minorHAnsi"/>
          <w:sz w:val="28"/>
          <w:szCs w:val="28"/>
        </w:rPr>
      </w:pPr>
      <w:r w:rsidRPr="00C979A2">
        <w:rPr>
          <w:rFonts w:cstheme="minorHAnsi"/>
          <w:sz w:val="28"/>
          <w:szCs w:val="28"/>
        </w:rPr>
        <w:t>Projekt decyzji został uzgodniony z organem, o którym mowa w art. 53 ust. 4 pkt 2a w związku z art. 64 ust. 1 u.p.z.p., a mianowicie z Państwowym Powiatowym Inspektorem Sanitarnym w Śremie.</w:t>
      </w:r>
    </w:p>
    <w:p w14:paraId="39220B63"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Projekt decyzji nie wymagał zaopiniowania przez operatorów, o których mowa art. 5 ust. 5e u.p.z.p.</w:t>
      </w:r>
    </w:p>
    <w:p w14:paraId="6A1BA9B5" w14:textId="77777777" w:rsidR="00C979A2" w:rsidRPr="00C979A2" w:rsidRDefault="00C979A2" w:rsidP="00C979A2">
      <w:pPr>
        <w:spacing w:after="120" w:line="240" w:lineRule="auto"/>
        <w:ind w:firstLine="567"/>
        <w:jc w:val="both"/>
        <w:rPr>
          <w:rFonts w:cstheme="minorHAnsi"/>
          <w:sz w:val="28"/>
          <w:szCs w:val="28"/>
        </w:rPr>
      </w:pPr>
      <w:r w:rsidRPr="00C979A2">
        <w:rPr>
          <w:rFonts w:cstheme="minorHAnsi"/>
          <w:sz w:val="28"/>
          <w:szCs w:val="28"/>
        </w:rPr>
        <w:t>Projekt decyzji</w:t>
      </w:r>
      <w:r w:rsidRPr="00C979A2">
        <w:rPr>
          <w:rFonts w:cstheme="minorHAnsi"/>
          <w:color w:val="1F497D" w:themeColor="text2"/>
          <w:sz w:val="28"/>
          <w:szCs w:val="28"/>
        </w:rPr>
        <w:t xml:space="preserve"> </w:t>
      </w:r>
      <w:r w:rsidRPr="00C979A2">
        <w:rPr>
          <w:rFonts w:cstheme="minorHAnsi"/>
          <w:sz w:val="28"/>
          <w:szCs w:val="28"/>
        </w:rPr>
        <w:t>uzyskał stanowisko zarządcy drogi gminnej (ul. Przemysłowa), którym jest Burmistrz Śremu, w ramach wewnętrznej procedury.</w:t>
      </w:r>
    </w:p>
    <w:p w14:paraId="424A6F4D" w14:textId="77777777" w:rsidR="00C979A2" w:rsidRPr="00C979A2" w:rsidRDefault="00C979A2" w:rsidP="00C979A2">
      <w:pPr>
        <w:widowControl w:val="0"/>
        <w:autoSpaceDE w:val="0"/>
        <w:autoSpaceDN w:val="0"/>
        <w:adjustRightInd w:val="0"/>
        <w:spacing w:after="120" w:line="240" w:lineRule="auto"/>
        <w:ind w:right="-1" w:firstLine="567"/>
        <w:jc w:val="both"/>
        <w:rPr>
          <w:rFonts w:cstheme="minorHAnsi"/>
          <w:sz w:val="28"/>
          <w:szCs w:val="28"/>
        </w:rPr>
      </w:pPr>
      <w:r w:rsidRPr="00C979A2">
        <w:rPr>
          <w:rFonts w:cstheme="minorHAnsi"/>
          <w:sz w:val="28"/>
          <w:szCs w:val="28"/>
        </w:rPr>
        <w:t>Ponadto, decyzja nie wymagała wcześniejszego uzyskania decyzji wymaganych przepisami odrębnymi.</w:t>
      </w:r>
    </w:p>
    <w:p w14:paraId="6CAE0A5E" w14:textId="77777777" w:rsidR="00831A2C" w:rsidRDefault="00831A2C" w:rsidP="00C979A2">
      <w:pPr>
        <w:tabs>
          <w:tab w:val="left" w:pos="851"/>
        </w:tabs>
        <w:spacing w:after="120" w:line="240" w:lineRule="auto"/>
        <w:ind w:firstLine="567"/>
        <w:jc w:val="both"/>
        <w:rPr>
          <w:rFonts w:cstheme="minorHAnsi"/>
          <w:sz w:val="28"/>
          <w:szCs w:val="28"/>
        </w:rPr>
      </w:pPr>
    </w:p>
    <w:p w14:paraId="415FA4E4" w14:textId="77777777" w:rsidR="00831A2C" w:rsidRDefault="00831A2C" w:rsidP="00C979A2">
      <w:pPr>
        <w:tabs>
          <w:tab w:val="left" w:pos="851"/>
        </w:tabs>
        <w:spacing w:after="120" w:line="240" w:lineRule="auto"/>
        <w:ind w:firstLine="567"/>
        <w:jc w:val="both"/>
        <w:rPr>
          <w:rFonts w:cstheme="minorHAnsi"/>
          <w:sz w:val="28"/>
          <w:szCs w:val="28"/>
        </w:rPr>
      </w:pPr>
    </w:p>
    <w:p w14:paraId="0ADD02C7" w14:textId="77777777" w:rsidR="00831A2C" w:rsidRDefault="00C979A2" w:rsidP="00831A2C">
      <w:pPr>
        <w:tabs>
          <w:tab w:val="left" w:pos="851"/>
        </w:tabs>
        <w:spacing w:after="120" w:line="240" w:lineRule="auto"/>
        <w:ind w:firstLine="567"/>
        <w:jc w:val="both"/>
        <w:rPr>
          <w:rFonts w:cstheme="minorHAnsi"/>
          <w:sz w:val="28"/>
          <w:szCs w:val="28"/>
        </w:rPr>
      </w:pPr>
      <w:r w:rsidRPr="00C979A2">
        <w:rPr>
          <w:rFonts w:cstheme="minorHAnsi"/>
          <w:sz w:val="28"/>
          <w:szCs w:val="28"/>
        </w:rPr>
        <w:lastRenderedPageBreak/>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t>
      </w:r>
    </w:p>
    <w:p w14:paraId="50364C14" w14:textId="7A2A30EC" w:rsidR="00C979A2" w:rsidRPr="00C979A2" w:rsidRDefault="00C979A2" w:rsidP="00831A2C">
      <w:pPr>
        <w:tabs>
          <w:tab w:val="left" w:pos="851"/>
        </w:tabs>
        <w:spacing w:after="120" w:line="240" w:lineRule="auto"/>
        <w:ind w:firstLine="567"/>
        <w:jc w:val="both"/>
        <w:rPr>
          <w:rFonts w:cstheme="minorHAnsi"/>
          <w:sz w:val="28"/>
          <w:szCs w:val="28"/>
        </w:rPr>
      </w:pPr>
      <w:r w:rsidRPr="00C979A2">
        <w:rPr>
          <w:rFonts w:cstheme="minorHAnsi"/>
          <w:sz w:val="28"/>
          <w:szCs w:val="28"/>
        </w:rPr>
        <w:t>W myśl wyroku Wojewódzkiego Sądu Administracyjnego w Poznaniu z</w:t>
      </w:r>
      <w:r w:rsidR="00831A2C">
        <w:rPr>
          <w:rFonts w:cstheme="minorHAnsi"/>
          <w:sz w:val="28"/>
          <w:szCs w:val="28"/>
        </w:rPr>
        <w:t> </w:t>
      </w:r>
      <w:r w:rsidRPr="00C979A2">
        <w:rPr>
          <w:rFonts w:cstheme="minorHAnsi"/>
          <w:sz w:val="28"/>
          <w:szCs w:val="28"/>
        </w:rPr>
        <w:t>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4E116FDC" w14:textId="77777777" w:rsidR="00C979A2" w:rsidRPr="00C979A2" w:rsidRDefault="00C979A2" w:rsidP="00C979A2">
      <w:pPr>
        <w:tabs>
          <w:tab w:val="left" w:pos="851"/>
        </w:tabs>
        <w:spacing w:after="120" w:line="240" w:lineRule="auto"/>
        <w:ind w:firstLine="567"/>
        <w:jc w:val="both"/>
        <w:rPr>
          <w:rFonts w:cstheme="minorHAnsi"/>
          <w:sz w:val="28"/>
          <w:szCs w:val="28"/>
        </w:rPr>
      </w:pPr>
      <w:r w:rsidRPr="00C979A2">
        <w:rPr>
          <w:rFonts w:cstheme="minorHAnsi"/>
          <w:sz w:val="28"/>
          <w:szCs w:val="28"/>
        </w:rPr>
        <w:t>Zakresem oddziaływania planowanej inwestycji objęty jest teren: działka objęta wnioskiem oraz działki bezpośrednio sąsiadujące o nr ewid. 1842 i 1844, obręb Śrem.</w:t>
      </w:r>
    </w:p>
    <w:p w14:paraId="0DFD2789" w14:textId="77777777" w:rsidR="00C979A2" w:rsidRPr="00C979A2" w:rsidRDefault="00C979A2" w:rsidP="00C979A2">
      <w:pPr>
        <w:tabs>
          <w:tab w:val="left" w:pos="851"/>
        </w:tabs>
        <w:spacing w:after="120" w:line="240" w:lineRule="auto"/>
        <w:ind w:firstLine="567"/>
        <w:jc w:val="both"/>
        <w:rPr>
          <w:rFonts w:cstheme="minorHAnsi"/>
          <w:i/>
          <w:sz w:val="28"/>
          <w:szCs w:val="28"/>
        </w:rPr>
      </w:pPr>
      <w:r w:rsidRPr="00C979A2">
        <w:rPr>
          <w:rFonts w:cstheme="minorHAnsi"/>
          <w:sz w:val="28"/>
          <w:szCs w:val="28"/>
        </w:rPr>
        <w:t xml:space="preserve">Biorąc powyższe pod uwagę za strony postępowania zostali uznani: Wnioskodawca, będący jednocześnie współwłaścicielem działki objętej wnioskiem, współwłaścicielka działki objętej wnioskiem oraz współwłaściciele działek bezpośrednio sąsiadujących o nr ewid. 1842 i 1844, obręb Śrem. </w:t>
      </w:r>
    </w:p>
    <w:p w14:paraId="43E279BA" w14:textId="77777777" w:rsidR="00C979A2" w:rsidRPr="00C979A2" w:rsidRDefault="00C979A2" w:rsidP="00C979A2">
      <w:pPr>
        <w:tabs>
          <w:tab w:val="left" w:pos="851"/>
        </w:tabs>
        <w:spacing w:after="120" w:line="240" w:lineRule="auto"/>
        <w:ind w:firstLine="567"/>
        <w:jc w:val="both"/>
        <w:rPr>
          <w:rFonts w:cstheme="minorHAnsi"/>
          <w:i/>
          <w:sz w:val="28"/>
          <w:szCs w:val="28"/>
        </w:rPr>
      </w:pPr>
      <w:r w:rsidRPr="00C979A2">
        <w:rPr>
          <w:rFonts w:cstheme="minorHAnsi"/>
          <w:sz w:val="28"/>
          <w:szCs w:val="28"/>
        </w:rPr>
        <w:t xml:space="preserve">Stosowanie do art. 53 ust. 1a, ust. 1b i ust. 1c u.p.z.p. prawa rzeczowe do nieruchomości oraz dane dotyczące osób, którym te prawa przysługują, ustala się na podstawie ksiąg wieczystych, ewidencji gruntów i budynków, zbioru dokumentów albo innych dokumentów urzędowych. Adresy osób, którym przysługują prawa rzeczowe do nieruchomości, ustala się na podstawie wszelkich okoliczności, jeżeli są one znane organowi z urzędu lub zostały wskazane przez stronę, w tym również na podstawie ewidencji gruntów i </w:t>
      </w:r>
      <w:r w:rsidRPr="00C979A2">
        <w:rPr>
          <w:rFonts w:cstheme="minorHAnsi"/>
          <w:sz w:val="28"/>
          <w:szCs w:val="28"/>
        </w:rPr>
        <w:lastRenderedPageBreak/>
        <w:t>budynków. Doręczenie na tak ustalony adres jest skuteczne. W przypadku nieruchomości o nieregulowanym stanie prawnym lub nieuzyskania danych pozwalających na ustalenie adresu właściciela lub użytkownika wieczystego nieruchomości w sposób określony w ust. 1b, zawiadomienia dokonuje się w sposób, o którym mowa w art. 49 Kodeksu postępowania administracyjnego. Przepisu art. 34 § 1 Kodeksu postępowania administracyjnego nie stosuje się.</w:t>
      </w:r>
    </w:p>
    <w:p w14:paraId="6264AEEF" w14:textId="77777777" w:rsidR="00C979A2" w:rsidRPr="00C979A2" w:rsidRDefault="00C979A2" w:rsidP="00C979A2">
      <w:pPr>
        <w:tabs>
          <w:tab w:val="left" w:pos="851"/>
        </w:tabs>
        <w:spacing w:after="120" w:line="240" w:lineRule="auto"/>
        <w:ind w:firstLine="567"/>
        <w:jc w:val="both"/>
        <w:rPr>
          <w:rFonts w:cstheme="minorHAnsi"/>
          <w:sz w:val="28"/>
          <w:szCs w:val="28"/>
        </w:rPr>
      </w:pPr>
      <w:r w:rsidRPr="00C979A2">
        <w:rPr>
          <w:rFonts w:cstheme="minorHAnsi"/>
          <w:sz w:val="28"/>
          <w:szCs w:val="28"/>
        </w:rPr>
        <w:t xml:space="preserve">W myśl art. 2 pkt 24 u.p.z.p. nieruchomością o nieregulowanym stanie prawnym jest nieruchomość, o której mowa w art. 113 ust. 6 i 7 ustawy z dnia 21 sierpnia 1997 r. o gospodarce nieruchomościami. Zgodnie z art. 113 ust. 6 i ust. 7 ustawy z dnia 21 sierpnia 1997 r. o gospodarce nieruchomościami (Dz. U. z 2023 r. poz. 344, 1113, 1463, 1506, 1688, 1762, 1906 i 2029) nieruchomością taką jest nieruchomość w stosunku do której nie można ustalić osób, którym przysługują do niej prawa rzeczowe lub jeżeli właściciel lub użytkownik wieczysty nieruchomości nie żyje i nie prowadzono lub nie zostało zakończone postępowanie spadkowe. </w:t>
      </w:r>
    </w:p>
    <w:p w14:paraId="4B97E2E9" w14:textId="77777777" w:rsidR="00C979A2" w:rsidRPr="00C979A2" w:rsidRDefault="00C979A2" w:rsidP="00C979A2">
      <w:pPr>
        <w:tabs>
          <w:tab w:val="left" w:pos="851"/>
        </w:tabs>
        <w:spacing w:after="120" w:line="240" w:lineRule="auto"/>
        <w:ind w:firstLine="567"/>
        <w:jc w:val="both"/>
        <w:rPr>
          <w:rFonts w:cstheme="minorHAnsi"/>
          <w:sz w:val="28"/>
          <w:szCs w:val="28"/>
        </w:rPr>
      </w:pPr>
      <w:r w:rsidRPr="00C979A2">
        <w:rPr>
          <w:rFonts w:cstheme="minorHAnsi"/>
          <w:sz w:val="28"/>
          <w:szCs w:val="28"/>
        </w:rPr>
        <w:t xml:space="preserve">W postępowaniu ustalono, że jedna ze współwłaścicielek działki o nr ewid. 1843, obręb Śrem, nie żyje. Burmistrz Śremu wystąpił do właściwego sądu o udzielenie informacji czy postępowanie spadkowe zostało prowadzone. Sąd Rejonowy w Śremie I Wydział Cywilny poinformował o trwającym postępowaniu spadkowym. </w:t>
      </w:r>
    </w:p>
    <w:p w14:paraId="1CE8E78D" w14:textId="77777777" w:rsidR="00C979A2" w:rsidRPr="00C979A2" w:rsidRDefault="00C979A2" w:rsidP="00C979A2">
      <w:pPr>
        <w:tabs>
          <w:tab w:val="left" w:pos="851"/>
        </w:tabs>
        <w:spacing w:after="120" w:line="240" w:lineRule="auto"/>
        <w:ind w:firstLine="567"/>
        <w:jc w:val="both"/>
        <w:rPr>
          <w:rFonts w:cstheme="minorHAnsi"/>
          <w:sz w:val="28"/>
          <w:szCs w:val="28"/>
        </w:rPr>
      </w:pPr>
      <w:r w:rsidRPr="00C979A2">
        <w:rPr>
          <w:rFonts w:cstheme="minorHAnsi"/>
          <w:sz w:val="28"/>
          <w:szCs w:val="28"/>
        </w:rPr>
        <w:t>Biorąc powyższe pod uwagę Burmistrz Śremu zawiadamiał strony o podejmowanych czynnościach w formie publicznego obwieszczenia.</w:t>
      </w:r>
    </w:p>
    <w:p w14:paraId="2E07DD12" w14:textId="77777777" w:rsidR="00C979A2" w:rsidRPr="00C979A2" w:rsidRDefault="00C979A2" w:rsidP="00C979A2">
      <w:pPr>
        <w:tabs>
          <w:tab w:val="left" w:pos="851"/>
        </w:tabs>
        <w:spacing w:after="120" w:line="240" w:lineRule="auto"/>
        <w:ind w:firstLine="567"/>
        <w:jc w:val="both"/>
        <w:rPr>
          <w:rFonts w:cstheme="minorHAnsi"/>
          <w:sz w:val="28"/>
          <w:szCs w:val="28"/>
        </w:rPr>
      </w:pPr>
      <w:r w:rsidRPr="00C979A2">
        <w:rPr>
          <w:rFonts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7EB8D500" w14:textId="77777777" w:rsidR="00C979A2" w:rsidRPr="00C979A2" w:rsidRDefault="00C979A2" w:rsidP="00C979A2">
      <w:pPr>
        <w:tabs>
          <w:tab w:val="left" w:pos="851"/>
        </w:tabs>
        <w:spacing w:after="120" w:line="240" w:lineRule="auto"/>
        <w:ind w:firstLine="567"/>
        <w:jc w:val="both"/>
        <w:rPr>
          <w:rFonts w:cstheme="minorHAnsi"/>
          <w:sz w:val="28"/>
          <w:szCs w:val="28"/>
        </w:rPr>
      </w:pPr>
      <w:r w:rsidRPr="00C979A2">
        <w:rPr>
          <w:rFonts w:cstheme="minorHAnsi"/>
          <w:sz w:val="28"/>
          <w:szCs w:val="28"/>
        </w:rPr>
        <w:t xml:space="preserve">Stosownie do art. 56, w związku z art. 64 u.p.z.p. nie można odmówić ustalenia warunków zabudowy, jeżeli zamierzenie inwestycyjne jest zgodne z przepisami odrębnymi. </w:t>
      </w:r>
    </w:p>
    <w:p w14:paraId="13D05C8F" w14:textId="77777777" w:rsidR="00C979A2" w:rsidRPr="00C979A2" w:rsidRDefault="00C979A2" w:rsidP="00C979A2">
      <w:pPr>
        <w:tabs>
          <w:tab w:val="left" w:pos="851"/>
        </w:tabs>
        <w:spacing w:after="120" w:line="240" w:lineRule="auto"/>
        <w:ind w:firstLine="567"/>
        <w:jc w:val="both"/>
        <w:rPr>
          <w:rFonts w:cstheme="minorHAnsi"/>
          <w:sz w:val="28"/>
          <w:szCs w:val="28"/>
        </w:rPr>
      </w:pPr>
      <w:r w:rsidRPr="00C979A2">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3B7BA1A8" w14:textId="77777777" w:rsidR="00C979A2" w:rsidRPr="00C979A2" w:rsidRDefault="00C979A2" w:rsidP="00C979A2">
      <w:pPr>
        <w:spacing w:after="120" w:line="240" w:lineRule="auto"/>
        <w:jc w:val="center"/>
        <w:rPr>
          <w:rFonts w:cstheme="minorHAnsi"/>
          <w:sz w:val="28"/>
          <w:szCs w:val="28"/>
        </w:rPr>
      </w:pPr>
      <w:r w:rsidRPr="00C979A2">
        <w:rPr>
          <w:rFonts w:cstheme="minorHAnsi"/>
          <w:sz w:val="28"/>
          <w:szCs w:val="28"/>
        </w:rPr>
        <w:t>W związku z powyższym orzeczono jak w sentencji.</w:t>
      </w:r>
    </w:p>
    <w:p w14:paraId="10F57D5B" w14:textId="77777777" w:rsidR="00C979A2" w:rsidRPr="00C979A2" w:rsidRDefault="00C979A2" w:rsidP="00C979A2">
      <w:pPr>
        <w:spacing w:after="120" w:line="240" w:lineRule="auto"/>
        <w:jc w:val="center"/>
        <w:rPr>
          <w:rFonts w:cstheme="minorHAnsi"/>
          <w:bCs/>
          <w:sz w:val="28"/>
          <w:szCs w:val="28"/>
        </w:rPr>
      </w:pPr>
      <w:r w:rsidRPr="00C979A2">
        <w:rPr>
          <w:rFonts w:cstheme="minorHAnsi"/>
          <w:bCs/>
          <w:sz w:val="28"/>
          <w:szCs w:val="28"/>
        </w:rPr>
        <w:t>Pouczenie</w:t>
      </w:r>
    </w:p>
    <w:p w14:paraId="34D6BEF0" w14:textId="77777777" w:rsidR="00C979A2" w:rsidRPr="00C979A2" w:rsidRDefault="00C979A2" w:rsidP="00C979A2">
      <w:pPr>
        <w:spacing w:after="120" w:line="240" w:lineRule="auto"/>
        <w:ind w:firstLine="567"/>
        <w:jc w:val="both"/>
        <w:rPr>
          <w:rFonts w:cstheme="minorHAnsi"/>
          <w:bCs/>
          <w:sz w:val="28"/>
          <w:szCs w:val="28"/>
        </w:rPr>
      </w:pPr>
      <w:r w:rsidRPr="00C979A2">
        <w:rPr>
          <w:rFonts w:cstheme="minorHAnsi"/>
          <w:bCs/>
          <w:sz w:val="28"/>
          <w:szCs w:val="28"/>
        </w:rPr>
        <w:lastRenderedPageBreak/>
        <w:t>Stosownie do art. 63 pkt 2 u.p.z.p. decyzja o warunkach zabudowy nie rodzi praw do terenu oraz nie narusza prawa własności i uprawnień osób trzecich.</w:t>
      </w:r>
    </w:p>
    <w:p w14:paraId="2D67BD7A" w14:textId="77777777" w:rsidR="00C979A2" w:rsidRPr="00C979A2" w:rsidRDefault="00C979A2" w:rsidP="00C979A2">
      <w:pPr>
        <w:spacing w:after="120" w:line="240" w:lineRule="auto"/>
        <w:ind w:firstLine="567"/>
        <w:jc w:val="both"/>
        <w:rPr>
          <w:rFonts w:cstheme="minorHAnsi"/>
          <w:bCs/>
          <w:sz w:val="28"/>
          <w:szCs w:val="28"/>
        </w:rPr>
      </w:pPr>
      <w:r w:rsidRPr="00C979A2">
        <w:rPr>
          <w:rFonts w:cstheme="minorHAnsi"/>
          <w:bCs/>
          <w:sz w:val="28"/>
          <w:szCs w:val="28"/>
        </w:rPr>
        <w:t>Od niniejszej decyzji służy stronom prawo wniesienia odwołania do Samorządowego Kolegium Odwoławczego w Poznaniu, za moim pośrednictwem, w terminie 14 dni od dnia doręczenia.</w:t>
      </w:r>
    </w:p>
    <w:p w14:paraId="7FDCC550" w14:textId="77777777" w:rsidR="00C979A2" w:rsidRPr="00C979A2" w:rsidRDefault="00C979A2" w:rsidP="00C979A2">
      <w:pPr>
        <w:spacing w:after="120" w:line="240" w:lineRule="auto"/>
        <w:ind w:firstLine="567"/>
        <w:jc w:val="both"/>
        <w:rPr>
          <w:rFonts w:cstheme="minorHAnsi"/>
          <w:bCs/>
          <w:sz w:val="28"/>
          <w:szCs w:val="28"/>
        </w:rPr>
      </w:pPr>
      <w:r w:rsidRPr="00C979A2">
        <w:rPr>
          <w:rFonts w:cstheme="minorHAnsi"/>
          <w:bCs/>
          <w:sz w:val="28"/>
          <w:szCs w:val="28"/>
        </w:rPr>
        <w:t xml:space="preserve">Przed upływem terminu do wniesienia odwołania strona może, na podstawie art. 127a § 1 k.p.a., zrzec się prawa do wniesienia odwołania wobec organu administracji publicznej, który wydał decyzję. </w:t>
      </w:r>
    </w:p>
    <w:p w14:paraId="03501199" w14:textId="3FA3D7AD" w:rsidR="00C979A2" w:rsidRPr="00C979A2" w:rsidRDefault="00C979A2" w:rsidP="00831A2C">
      <w:pPr>
        <w:spacing w:after="120" w:line="240" w:lineRule="auto"/>
        <w:ind w:firstLine="567"/>
        <w:jc w:val="both"/>
        <w:rPr>
          <w:rFonts w:cstheme="minorHAnsi"/>
          <w:bCs/>
          <w:sz w:val="28"/>
          <w:szCs w:val="28"/>
        </w:rPr>
      </w:pPr>
      <w:r w:rsidRPr="00C979A2">
        <w:rPr>
          <w:rFonts w:cstheme="minorHAnsi"/>
          <w:bCs/>
          <w:sz w:val="28"/>
          <w:szCs w:val="28"/>
        </w:rPr>
        <w:t>Z dniem doręczenia organowi administracji publicznej oświadczenia o zrzeczeniu się prawa do wniesienia odwołania przez ostatnią ze stron postępowania, decyzja staje się ostateczna i prawomocna.</w:t>
      </w:r>
    </w:p>
    <w:p w14:paraId="25F20B65" w14:textId="4A79398A" w:rsidR="00C979A2" w:rsidRPr="00C979A2" w:rsidRDefault="00C979A2" w:rsidP="00C979A2">
      <w:pPr>
        <w:spacing w:after="120" w:line="240" w:lineRule="auto"/>
        <w:ind w:firstLine="567"/>
        <w:jc w:val="both"/>
        <w:rPr>
          <w:rFonts w:cstheme="minorHAnsi"/>
          <w:bCs/>
          <w:sz w:val="28"/>
          <w:szCs w:val="28"/>
        </w:rPr>
      </w:pPr>
      <w:r w:rsidRPr="00C979A2">
        <w:rPr>
          <w:rFonts w:cstheme="minorHAnsi"/>
          <w:bCs/>
          <w:sz w:val="28"/>
          <w:szCs w:val="28"/>
        </w:rPr>
        <w:t>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wnosi się za pośrednictwem Burmistrza Śremu w terminie 14 dni od dnia doręczenia decyzji o warunkach zabudowy. Żądanie wniesione po terminie pozostawia się bez rozpoznania.</w:t>
      </w:r>
    </w:p>
    <w:p w14:paraId="51ABDA43" w14:textId="77777777" w:rsidR="00C979A2" w:rsidRDefault="00C979A2" w:rsidP="00C979A2">
      <w:pPr>
        <w:widowControl w:val="0"/>
        <w:autoSpaceDE w:val="0"/>
        <w:autoSpaceDN w:val="0"/>
        <w:adjustRightInd w:val="0"/>
        <w:spacing w:after="120" w:line="240" w:lineRule="auto"/>
        <w:ind w:right="-1"/>
        <w:jc w:val="both"/>
        <w:rPr>
          <w:rFonts w:cstheme="minorHAnsi"/>
          <w:sz w:val="28"/>
          <w:szCs w:val="28"/>
        </w:rPr>
      </w:pPr>
    </w:p>
    <w:p w14:paraId="68CBCEB7" w14:textId="77777777" w:rsidR="00C979A2" w:rsidRPr="00CF716F"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 z up. BURMISTRZA</w:t>
      </w:r>
    </w:p>
    <w:p w14:paraId="6DC62828" w14:textId="77777777" w:rsidR="00C979A2" w:rsidRPr="00CF716F"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Katarzyna Bednarowicz</w:t>
      </w:r>
    </w:p>
    <w:p w14:paraId="65FF7307" w14:textId="77777777" w:rsidR="00C979A2" w:rsidRPr="00CF716F"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naczelnik Pionu Gospodarowania</w:t>
      </w:r>
    </w:p>
    <w:p w14:paraId="13ECADFC" w14:textId="77777777" w:rsidR="00C979A2" w:rsidRPr="00CF716F"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Przestrzenią i Środowiskiem</w:t>
      </w:r>
    </w:p>
    <w:p w14:paraId="79DB593C" w14:textId="77777777" w:rsidR="00C979A2" w:rsidRPr="00EE5392"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/dokument podpisany elektronicznie/</w:t>
      </w:r>
    </w:p>
    <w:p w14:paraId="1C1D3A14" w14:textId="77777777" w:rsidR="00C979A2" w:rsidRPr="00C979A2" w:rsidRDefault="00C979A2" w:rsidP="00C979A2">
      <w:pPr>
        <w:widowControl w:val="0"/>
        <w:autoSpaceDE w:val="0"/>
        <w:autoSpaceDN w:val="0"/>
        <w:adjustRightInd w:val="0"/>
        <w:spacing w:after="120" w:line="240" w:lineRule="auto"/>
        <w:ind w:right="-1"/>
        <w:jc w:val="both"/>
        <w:rPr>
          <w:rFonts w:cstheme="minorHAnsi"/>
          <w:sz w:val="28"/>
          <w:szCs w:val="28"/>
        </w:rPr>
      </w:pPr>
    </w:p>
    <w:p w14:paraId="48E11B80" w14:textId="77777777" w:rsidR="00C979A2" w:rsidRPr="00C979A2" w:rsidRDefault="00C979A2" w:rsidP="00C979A2">
      <w:pPr>
        <w:widowControl w:val="0"/>
        <w:autoSpaceDE w:val="0"/>
        <w:autoSpaceDN w:val="0"/>
        <w:adjustRightInd w:val="0"/>
        <w:spacing w:after="120" w:line="240" w:lineRule="auto"/>
        <w:ind w:right="-1"/>
        <w:jc w:val="both"/>
        <w:rPr>
          <w:rFonts w:cstheme="minorHAnsi"/>
          <w:sz w:val="28"/>
          <w:szCs w:val="28"/>
        </w:rPr>
      </w:pPr>
      <w:r w:rsidRPr="00C979A2">
        <w:rPr>
          <w:rFonts w:cstheme="minorHAnsi"/>
          <w:sz w:val="28"/>
          <w:szCs w:val="28"/>
        </w:rPr>
        <w:t>Załączniki:</w:t>
      </w:r>
    </w:p>
    <w:p w14:paraId="7EE8CB32" w14:textId="77777777" w:rsidR="00C979A2" w:rsidRPr="00C979A2" w:rsidRDefault="00C979A2" w:rsidP="00C979A2">
      <w:pPr>
        <w:numPr>
          <w:ilvl w:val="0"/>
          <w:numId w:val="9"/>
        </w:numPr>
        <w:spacing w:after="120" w:line="240" w:lineRule="auto"/>
        <w:ind w:right="-1"/>
        <w:jc w:val="both"/>
        <w:rPr>
          <w:rFonts w:cstheme="minorHAnsi"/>
          <w:sz w:val="28"/>
          <w:szCs w:val="28"/>
        </w:rPr>
      </w:pPr>
      <w:r w:rsidRPr="00C979A2">
        <w:rPr>
          <w:rFonts w:cstheme="minorHAnsi"/>
          <w:sz w:val="28"/>
          <w:szCs w:val="28"/>
        </w:rPr>
        <w:t>załącznik nr 1 – część graficzna decyzji,</w:t>
      </w:r>
    </w:p>
    <w:p w14:paraId="43C84B3A" w14:textId="77777777" w:rsidR="00C979A2" w:rsidRPr="00C979A2" w:rsidRDefault="00C979A2" w:rsidP="00C979A2">
      <w:pPr>
        <w:numPr>
          <w:ilvl w:val="0"/>
          <w:numId w:val="9"/>
        </w:numPr>
        <w:spacing w:after="120" w:line="240" w:lineRule="auto"/>
        <w:ind w:right="-1"/>
        <w:jc w:val="both"/>
        <w:rPr>
          <w:rFonts w:cstheme="minorHAnsi"/>
          <w:sz w:val="28"/>
          <w:szCs w:val="28"/>
        </w:rPr>
      </w:pPr>
      <w:r w:rsidRPr="00C979A2">
        <w:rPr>
          <w:rFonts w:cstheme="minorHAnsi"/>
          <w:sz w:val="28"/>
          <w:szCs w:val="28"/>
        </w:rPr>
        <w:t>załącznik nr 2 – część tekstowa wyników analizy funkcji oraz cech zabudowy i zagospodarowania terenu,</w:t>
      </w:r>
    </w:p>
    <w:p w14:paraId="75FAD8E4" w14:textId="77777777" w:rsidR="00C979A2" w:rsidRPr="00C979A2" w:rsidRDefault="00C979A2" w:rsidP="00C979A2">
      <w:pPr>
        <w:numPr>
          <w:ilvl w:val="0"/>
          <w:numId w:val="9"/>
        </w:numPr>
        <w:spacing w:after="120" w:line="240" w:lineRule="auto"/>
        <w:ind w:right="-1"/>
        <w:jc w:val="both"/>
        <w:rPr>
          <w:rFonts w:cstheme="minorHAnsi"/>
          <w:sz w:val="28"/>
          <w:szCs w:val="28"/>
        </w:rPr>
      </w:pPr>
      <w:r w:rsidRPr="00C979A2">
        <w:rPr>
          <w:rFonts w:cstheme="minorHAnsi"/>
          <w:sz w:val="28"/>
          <w:szCs w:val="28"/>
        </w:rPr>
        <w:t>załącznik nr 3 – część graficzna wyników analizy funkcji oraz cech zabudowy i zagospodarowania terenu,</w:t>
      </w:r>
    </w:p>
    <w:p w14:paraId="335FA774" w14:textId="77777777" w:rsidR="00C979A2" w:rsidRPr="00C979A2" w:rsidRDefault="00C979A2" w:rsidP="00C979A2">
      <w:pPr>
        <w:numPr>
          <w:ilvl w:val="0"/>
          <w:numId w:val="9"/>
        </w:numPr>
        <w:spacing w:after="120" w:line="240" w:lineRule="auto"/>
        <w:ind w:right="-1"/>
        <w:jc w:val="both"/>
        <w:rPr>
          <w:rFonts w:cstheme="minorHAnsi"/>
          <w:sz w:val="28"/>
          <w:szCs w:val="28"/>
        </w:rPr>
      </w:pPr>
      <w:r w:rsidRPr="00C979A2">
        <w:rPr>
          <w:rFonts w:cstheme="minorHAnsi"/>
          <w:sz w:val="28"/>
          <w:szCs w:val="28"/>
        </w:rPr>
        <w:t>załącznik nr 4 – dane osobowe stron postępowania (w aktach sprawy).</w:t>
      </w:r>
    </w:p>
    <w:p w14:paraId="77A7D418" w14:textId="77777777" w:rsidR="00C979A2" w:rsidRPr="00C979A2" w:rsidRDefault="00C979A2" w:rsidP="00C979A2">
      <w:pPr>
        <w:spacing w:after="120" w:line="240" w:lineRule="auto"/>
        <w:jc w:val="both"/>
        <w:rPr>
          <w:rFonts w:cstheme="minorHAnsi"/>
          <w:sz w:val="28"/>
          <w:szCs w:val="28"/>
        </w:rPr>
      </w:pPr>
    </w:p>
    <w:p w14:paraId="125013F9" w14:textId="77777777" w:rsidR="00831A2C" w:rsidRDefault="00831A2C" w:rsidP="00C979A2">
      <w:pPr>
        <w:spacing w:after="120" w:line="240" w:lineRule="auto"/>
        <w:contextualSpacing/>
        <w:jc w:val="both"/>
        <w:rPr>
          <w:rFonts w:ascii="Calibri" w:hAnsi="Calibri" w:cs="Calibri"/>
          <w:sz w:val="28"/>
          <w:szCs w:val="28"/>
        </w:rPr>
      </w:pPr>
    </w:p>
    <w:p w14:paraId="7C809D71" w14:textId="0B95F120" w:rsidR="00C979A2" w:rsidRPr="00C979A2" w:rsidRDefault="00C979A2" w:rsidP="00C979A2">
      <w:pPr>
        <w:spacing w:after="120" w:line="240" w:lineRule="auto"/>
        <w:contextualSpacing/>
        <w:jc w:val="both"/>
        <w:rPr>
          <w:rFonts w:ascii="Calibri" w:hAnsi="Calibri" w:cs="Calibri"/>
          <w:sz w:val="28"/>
          <w:szCs w:val="28"/>
        </w:rPr>
      </w:pPr>
      <w:r w:rsidRPr="00C979A2">
        <w:rPr>
          <w:rFonts w:ascii="Calibri" w:hAnsi="Calibri" w:cs="Calibri"/>
          <w:sz w:val="28"/>
          <w:szCs w:val="28"/>
        </w:rPr>
        <w:lastRenderedPageBreak/>
        <w:t>Sprawę prowadzi:</w:t>
      </w:r>
    </w:p>
    <w:p w14:paraId="6D24FAA6" w14:textId="77777777" w:rsidR="00C979A2" w:rsidRPr="00C979A2" w:rsidRDefault="00C979A2" w:rsidP="00C979A2">
      <w:pPr>
        <w:spacing w:after="120" w:line="240" w:lineRule="auto"/>
        <w:contextualSpacing/>
        <w:jc w:val="both"/>
        <w:rPr>
          <w:rFonts w:ascii="Calibri" w:hAnsi="Calibri" w:cs="Calibri"/>
          <w:sz w:val="28"/>
          <w:szCs w:val="28"/>
        </w:rPr>
      </w:pPr>
      <w:r w:rsidRPr="00C979A2">
        <w:rPr>
          <w:rFonts w:ascii="Calibri" w:hAnsi="Calibri" w:cs="Calibri"/>
          <w:sz w:val="28"/>
          <w:szCs w:val="28"/>
        </w:rPr>
        <w:t xml:space="preserve">Sandra Krauze </w:t>
      </w:r>
    </w:p>
    <w:p w14:paraId="3EB0A339" w14:textId="77777777" w:rsidR="00C979A2" w:rsidRPr="00C979A2" w:rsidRDefault="00C979A2" w:rsidP="00C979A2">
      <w:pPr>
        <w:spacing w:after="120" w:line="240" w:lineRule="auto"/>
        <w:contextualSpacing/>
        <w:jc w:val="both"/>
        <w:rPr>
          <w:rFonts w:ascii="Calibri" w:hAnsi="Calibri" w:cs="Calibri"/>
          <w:sz w:val="28"/>
          <w:szCs w:val="28"/>
        </w:rPr>
      </w:pPr>
      <w:r w:rsidRPr="00C979A2">
        <w:rPr>
          <w:rFonts w:ascii="Calibri" w:hAnsi="Calibri" w:cs="Calibri"/>
          <w:sz w:val="28"/>
          <w:szCs w:val="28"/>
        </w:rPr>
        <w:t>podinspektor</w:t>
      </w:r>
    </w:p>
    <w:p w14:paraId="1972915C" w14:textId="77777777" w:rsidR="00C979A2" w:rsidRPr="00C979A2" w:rsidRDefault="00C979A2" w:rsidP="00C979A2">
      <w:pPr>
        <w:spacing w:after="120" w:line="240" w:lineRule="auto"/>
        <w:contextualSpacing/>
        <w:jc w:val="both"/>
        <w:rPr>
          <w:rFonts w:ascii="Calibri" w:hAnsi="Calibri" w:cs="Calibri"/>
          <w:sz w:val="28"/>
          <w:szCs w:val="28"/>
        </w:rPr>
      </w:pPr>
      <w:r w:rsidRPr="00C979A2">
        <w:rPr>
          <w:rFonts w:ascii="Calibri" w:hAnsi="Calibri" w:cs="Calibri"/>
          <w:sz w:val="28"/>
          <w:szCs w:val="28"/>
        </w:rPr>
        <w:t>tel. 61 28 47 190</w:t>
      </w:r>
    </w:p>
    <w:p w14:paraId="5B3F2D1E" w14:textId="77777777" w:rsidR="00C979A2" w:rsidRPr="00C979A2" w:rsidRDefault="00C979A2" w:rsidP="00C979A2">
      <w:pPr>
        <w:spacing w:after="120" w:line="240" w:lineRule="auto"/>
        <w:jc w:val="both"/>
        <w:rPr>
          <w:rFonts w:cstheme="minorHAnsi"/>
          <w:sz w:val="28"/>
          <w:szCs w:val="28"/>
        </w:rPr>
      </w:pPr>
    </w:p>
    <w:p w14:paraId="21B2C8AB" w14:textId="77777777" w:rsidR="00C979A2" w:rsidRPr="00C979A2" w:rsidRDefault="00C979A2" w:rsidP="00C979A2">
      <w:pPr>
        <w:spacing w:after="120" w:line="240" w:lineRule="auto"/>
        <w:jc w:val="both"/>
        <w:rPr>
          <w:rFonts w:cstheme="minorHAnsi"/>
          <w:sz w:val="28"/>
          <w:szCs w:val="28"/>
        </w:rPr>
      </w:pPr>
      <w:r w:rsidRPr="00C979A2">
        <w:rPr>
          <w:rFonts w:cstheme="minorHAnsi"/>
          <w:sz w:val="28"/>
          <w:szCs w:val="28"/>
        </w:rPr>
        <w:t>Otrzymują:</w:t>
      </w:r>
    </w:p>
    <w:p w14:paraId="62C909C2" w14:textId="77777777" w:rsidR="00C979A2" w:rsidRPr="00C979A2" w:rsidRDefault="00C979A2" w:rsidP="00C979A2">
      <w:pPr>
        <w:tabs>
          <w:tab w:val="left" w:pos="567"/>
        </w:tabs>
        <w:spacing w:after="120" w:line="240" w:lineRule="auto"/>
        <w:ind w:firstLine="284"/>
        <w:jc w:val="both"/>
        <w:rPr>
          <w:rFonts w:cstheme="minorHAnsi"/>
          <w:sz w:val="28"/>
          <w:szCs w:val="28"/>
        </w:rPr>
      </w:pPr>
      <w:r w:rsidRPr="00C979A2">
        <w:rPr>
          <w:rFonts w:cstheme="minorHAnsi"/>
          <w:sz w:val="28"/>
          <w:szCs w:val="28"/>
        </w:rPr>
        <w:t>1.</w:t>
      </w:r>
      <w:r w:rsidRPr="00C979A2">
        <w:rPr>
          <w:rFonts w:cstheme="minorHAnsi"/>
          <w:sz w:val="28"/>
          <w:szCs w:val="28"/>
        </w:rPr>
        <w:tab/>
        <w:t>Strony postępowania zgodnie z załącznikiem nr 4.</w:t>
      </w:r>
    </w:p>
    <w:p w14:paraId="558835CF" w14:textId="77777777" w:rsidR="00C979A2" w:rsidRPr="00C979A2" w:rsidRDefault="00C979A2" w:rsidP="00C979A2">
      <w:pPr>
        <w:tabs>
          <w:tab w:val="left" w:pos="567"/>
        </w:tabs>
        <w:spacing w:after="120" w:line="240" w:lineRule="auto"/>
        <w:ind w:firstLine="284"/>
        <w:jc w:val="both"/>
        <w:rPr>
          <w:rFonts w:cstheme="minorHAnsi"/>
          <w:sz w:val="28"/>
          <w:szCs w:val="28"/>
        </w:rPr>
      </w:pPr>
      <w:r w:rsidRPr="00C979A2">
        <w:rPr>
          <w:rFonts w:cstheme="minorHAnsi"/>
          <w:sz w:val="28"/>
          <w:szCs w:val="28"/>
        </w:rPr>
        <w:t>2.</w:t>
      </w:r>
      <w:r w:rsidRPr="00C979A2">
        <w:rPr>
          <w:rFonts w:cstheme="minorHAnsi"/>
          <w:sz w:val="28"/>
          <w:szCs w:val="28"/>
        </w:rPr>
        <w:tab/>
        <w:t>aa.</w:t>
      </w:r>
    </w:p>
    <w:p w14:paraId="65853A56" w14:textId="77777777" w:rsidR="00C979A2" w:rsidRPr="00C979A2" w:rsidRDefault="00C979A2" w:rsidP="00C979A2">
      <w:pPr>
        <w:spacing w:after="120" w:line="240" w:lineRule="auto"/>
        <w:jc w:val="both"/>
        <w:rPr>
          <w:rFonts w:cstheme="minorHAnsi"/>
          <w:sz w:val="28"/>
          <w:szCs w:val="28"/>
        </w:rPr>
      </w:pPr>
      <w:r w:rsidRPr="00C979A2">
        <w:rPr>
          <w:rFonts w:cstheme="minorHAnsi"/>
          <w:sz w:val="28"/>
          <w:szCs w:val="28"/>
        </w:rPr>
        <w:t>Decyzja zwolniona od opłaty skarbowej zgodnie z załącznikiem do ustawy z dnia 16 listopada 2006 r. o opłacie skarbowej (Dz. U. z 2023 r. poz. 2111) część I pkt 8.</w:t>
      </w:r>
    </w:p>
    <w:p w14:paraId="25E71135" w14:textId="77777777" w:rsidR="00DF18B2" w:rsidRPr="00DF18B2" w:rsidRDefault="00DF18B2" w:rsidP="00DF18B2">
      <w:pPr>
        <w:spacing w:after="120" w:line="240" w:lineRule="auto"/>
        <w:ind w:right="-1"/>
        <w:jc w:val="both"/>
        <w:rPr>
          <w:rFonts w:cstheme="minorHAnsi"/>
          <w:sz w:val="28"/>
          <w:szCs w:val="28"/>
        </w:rPr>
      </w:pPr>
    </w:p>
    <w:p w14:paraId="5022420A" w14:textId="77777777" w:rsidR="008C0D69" w:rsidRDefault="008C0D69" w:rsidP="001E33D8">
      <w:pPr>
        <w:rPr>
          <w:sz w:val="28"/>
          <w:szCs w:val="28"/>
        </w:rPr>
        <w:sectPr w:rsidR="008C0D69" w:rsidSect="00423408">
          <w:headerReference w:type="default" r:id="rId12"/>
          <w:footerReference w:type="default" r:id="rId13"/>
          <w:pgSz w:w="11906" w:h="16838"/>
          <w:pgMar w:top="1418" w:right="1418" w:bottom="1701" w:left="1701" w:header="709" w:footer="709" w:gutter="0"/>
          <w:pgNumType w:start="1"/>
          <w:cols w:space="708"/>
          <w:docGrid w:linePitch="600" w:charSpace="32768"/>
        </w:sectPr>
      </w:pPr>
    </w:p>
    <w:p w14:paraId="0926243D" w14:textId="5EE4B564" w:rsidR="00561124" w:rsidRDefault="0033275A" w:rsidP="00561124">
      <w:pPr>
        <w:jc w:val="center"/>
        <w:rPr>
          <w:sz w:val="28"/>
          <w:szCs w:val="28"/>
        </w:rPr>
        <w:sectPr w:rsidR="00561124" w:rsidSect="00423408">
          <w:footerReference w:type="default" r:id="rId14"/>
          <w:pgSz w:w="11906" w:h="16838" w:code="9"/>
          <w:pgMar w:top="720" w:right="720" w:bottom="720" w:left="720" w:header="709" w:footer="709" w:gutter="0"/>
          <w:pgNumType w:start="1"/>
          <w:cols w:space="708"/>
          <w:docGrid w:linePitch="600" w:charSpace="32768"/>
        </w:sectPr>
      </w:pPr>
      <w:r>
        <w:rPr>
          <w:noProof/>
          <w:sz w:val="28"/>
          <w:szCs w:val="28"/>
        </w:rPr>
        <w:lastRenderedPageBreak/>
        <w:drawing>
          <wp:inline distT="0" distB="0" distL="0" distR="0" wp14:anchorId="070FAC00" wp14:editId="2B7F2053">
            <wp:extent cx="6645910" cy="9398000"/>
            <wp:effectExtent l="0" t="0" r="2540" b="0"/>
            <wp:docPr id="462357087" name="Obraz 1"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57087" name="Obraz 1" descr="Obraz zawierający tekst, mapa, diagram, Plan&#10;&#10;Opis wygenerowany automatyczni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9398000"/>
                    </a:xfrm>
                    <a:prstGeom prst="rect">
                      <a:avLst/>
                    </a:prstGeom>
                  </pic:spPr>
                </pic:pic>
              </a:graphicData>
            </a:graphic>
          </wp:inline>
        </w:drawing>
      </w:r>
    </w:p>
    <w:p w14:paraId="308B94AC" w14:textId="77777777" w:rsidR="00C979A2" w:rsidRPr="00C979A2" w:rsidRDefault="00C979A2" w:rsidP="00C979A2">
      <w:pPr>
        <w:spacing w:after="120" w:line="240" w:lineRule="auto"/>
        <w:contextualSpacing/>
        <w:rPr>
          <w:rFonts w:cstheme="minorHAnsi"/>
          <w:sz w:val="28"/>
          <w:szCs w:val="28"/>
        </w:rPr>
      </w:pPr>
      <w:r w:rsidRPr="00C979A2">
        <w:rPr>
          <w:rFonts w:cstheme="minorHAnsi"/>
          <w:sz w:val="28"/>
          <w:szCs w:val="28"/>
        </w:rPr>
        <w:lastRenderedPageBreak/>
        <w:t>PPSPP.6730.8.2024.KSAN</w:t>
      </w:r>
    </w:p>
    <w:p w14:paraId="75D3502A" w14:textId="77777777" w:rsidR="00C979A2" w:rsidRPr="00C979A2" w:rsidRDefault="00C979A2" w:rsidP="00C979A2">
      <w:pPr>
        <w:spacing w:after="120" w:line="240" w:lineRule="auto"/>
        <w:contextualSpacing/>
        <w:rPr>
          <w:rFonts w:cstheme="minorHAnsi"/>
          <w:sz w:val="28"/>
          <w:szCs w:val="28"/>
        </w:rPr>
      </w:pPr>
    </w:p>
    <w:p w14:paraId="46B7589D"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 xml:space="preserve">Wyniki analizy </w:t>
      </w:r>
    </w:p>
    <w:p w14:paraId="02CF5488"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funkcji oraz cech zabudowy i zagospodarowania terenu w zakresie warunków, o których mowa w art. 61 ust. 1 – 5 ustawy z dnia 27 marca 2003 r. o planowaniu i zagospodarowaniu przestrzennym</w:t>
      </w:r>
    </w:p>
    <w:p w14:paraId="66EAA28C" w14:textId="77777777" w:rsidR="00C979A2" w:rsidRPr="00C979A2" w:rsidRDefault="00C979A2" w:rsidP="00C979A2">
      <w:pPr>
        <w:spacing w:after="120" w:line="240" w:lineRule="auto"/>
        <w:contextualSpacing/>
        <w:rPr>
          <w:rFonts w:cstheme="minorHAnsi"/>
          <w:sz w:val="28"/>
          <w:szCs w:val="28"/>
        </w:rPr>
      </w:pPr>
    </w:p>
    <w:p w14:paraId="526AB718" w14:textId="77777777" w:rsidR="00C979A2" w:rsidRPr="00C979A2" w:rsidRDefault="00C979A2" w:rsidP="00C979A2">
      <w:pPr>
        <w:spacing w:after="120" w:line="240" w:lineRule="auto"/>
        <w:ind w:firstLine="567"/>
        <w:contextualSpacing/>
        <w:jc w:val="both"/>
        <w:rPr>
          <w:rFonts w:cstheme="minorHAnsi"/>
          <w:sz w:val="28"/>
          <w:szCs w:val="28"/>
        </w:rPr>
      </w:pPr>
      <w:r w:rsidRPr="00C979A2">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C979A2" w:rsidRPr="00633564" w14:paraId="5C1B903D" w14:textId="77777777" w:rsidTr="00384E31">
        <w:tc>
          <w:tcPr>
            <w:tcW w:w="6946" w:type="dxa"/>
            <w:gridSpan w:val="2"/>
            <w:tcBorders>
              <w:right w:val="dotted" w:sz="4" w:space="0" w:color="auto"/>
            </w:tcBorders>
            <w:vAlign w:val="center"/>
          </w:tcPr>
          <w:p w14:paraId="62FEE33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Punkt i treść warunku, o którym mowa w art. 61 ust. 1</w:t>
            </w:r>
          </w:p>
        </w:tc>
        <w:tc>
          <w:tcPr>
            <w:tcW w:w="1843" w:type="dxa"/>
            <w:tcBorders>
              <w:left w:val="dotted" w:sz="4" w:space="0" w:color="auto"/>
            </w:tcBorders>
            <w:vAlign w:val="center"/>
          </w:tcPr>
          <w:p w14:paraId="675FAA7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Spełnienie warunku</w:t>
            </w:r>
          </w:p>
        </w:tc>
      </w:tr>
      <w:tr w:rsidR="00C979A2" w:rsidRPr="00633564" w14:paraId="7DD7D5E4" w14:textId="77777777" w:rsidTr="00384E31">
        <w:tc>
          <w:tcPr>
            <w:tcW w:w="709" w:type="dxa"/>
            <w:tcBorders>
              <w:bottom w:val="single" w:sz="2" w:space="0" w:color="auto"/>
              <w:right w:val="dotted" w:sz="4" w:space="0" w:color="auto"/>
            </w:tcBorders>
            <w:vAlign w:val="center"/>
          </w:tcPr>
          <w:p w14:paraId="28795B6A"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1</w:t>
            </w:r>
          </w:p>
        </w:tc>
        <w:tc>
          <w:tcPr>
            <w:tcW w:w="6237" w:type="dxa"/>
            <w:tcBorders>
              <w:left w:val="dotted" w:sz="4" w:space="0" w:color="auto"/>
              <w:bottom w:val="single" w:sz="2" w:space="0" w:color="auto"/>
              <w:right w:val="dotted" w:sz="4" w:space="0" w:color="auto"/>
            </w:tcBorders>
          </w:tcPr>
          <w:p w14:paraId="52B4B08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left w:val="dotted" w:sz="4" w:space="0" w:color="auto"/>
              <w:bottom w:val="single" w:sz="2" w:space="0" w:color="auto"/>
            </w:tcBorders>
            <w:vAlign w:val="center"/>
          </w:tcPr>
          <w:p w14:paraId="78E4D54D"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087E36BD" w14:textId="77777777" w:rsidTr="00384E31">
        <w:tc>
          <w:tcPr>
            <w:tcW w:w="709" w:type="dxa"/>
            <w:tcBorders>
              <w:top w:val="single" w:sz="2" w:space="0" w:color="auto"/>
              <w:bottom w:val="single" w:sz="2" w:space="0" w:color="auto"/>
              <w:right w:val="dotted" w:sz="4" w:space="0" w:color="auto"/>
            </w:tcBorders>
            <w:vAlign w:val="center"/>
          </w:tcPr>
          <w:p w14:paraId="5C3593D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tcPr>
          <w:p w14:paraId="0E74D335" w14:textId="77777777" w:rsidR="00C979A2" w:rsidRPr="00633564" w:rsidRDefault="00C979A2" w:rsidP="00384E31">
            <w:pPr>
              <w:spacing w:after="120"/>
              <w:jc w:val="both"/>
              <w:rPr>
                <w:rFonts w:asciiTheme="minorHAnsi" w:eastAsia="Times New Roman" w:hAnsiTheme="minorHAnsi" w:cstheme="minorHAnsi"/>
                <w:sz w:val="24"/>
                <w:szCs w:val="24"/>
                <w:lang w:eastAsia="pl-PL"/>
              </w:rPr>
            </w:pPr>
            <w:bookmarkStart w:id="1" w:name="mip44711609"/>
            <w:bookmarkEnd w:id="1"/>
            <w:r w:rsidRPr="00633564">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tcBorders>
            <w:vAlign w:val="center"/>
          </w:tcPr>
          <w:p w14:paraId="32D74BA8"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6010217" w14:textId="77777777" w:rsidTr="00384E31">
        <w:tc>
          <w:tcPr>
            <w:tcW w:w="709" w:type="dxa"/>
            <w:tcBorders>
              <w:top w:val="single" w:sz="2" w:space="0" w:color="auto"/>
              <w:bottom w:val="single" w:sz="2" w:space="0" w:color="auto"/>
              <w:right w:val="dotted" w:sz="4" w:space="0" w:color="auto"/>
            </w:tcBorders>
            <w:vAlign w:val="center"/>
          </w:tcPr>
          <w:p w14:paraId="6D06A7C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tcPr>
          <w:p w14:paraId="33607E0D"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tcBorders>
            <w:vAlign w:val="center"/>
          </w:tcPr>
          <w:p w14:paraId="17D08813"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2B08CD7E" w14:textId="77777777" w:rsidTr="00384E31">
        <w:tc>
          <w:tcPr>
            <w:tcW w:w="709" w:type="dxa"/>
            <w:tcBorders>
              <w:top w:val="single" w:sz="2" w:space="0" w:color="auto"/>
              <w:bottom w:val="single" w:sz="2" w:space="0" w:color="auto"/>
              <w:right w:val="dotted" w:sz="4" w:space="0" w:color="auto"/>
            </w:tcBorders>
            <w:vAlign w:val="center"/>
          </w:tcPr>
          <w:p w14:paraId="5FBA073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tcPr>
          <w:p w14:paraId="7EB4BC0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teren nie wymaga</w:t>
            </w:r>
            <w:r w:rsidRPr="00633564">
              <w:rPr>
                <w:rFonts w:asciiTheme="minorHAnsi" w:hAnsiTheme="minorHAnsi" w:cstheme="minorHAnsi"/>
                <w:i/>
                <w:sz w:val="24"/>
                <w:szCs w:val="24"/>
              </w:rPr>
              <w:t xml:space="preserve"> </w:t>
            </w:r>
            <w:r w:rsidRPr="0063356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tcBorders>
            <w:vAlign w:val="center"/>
          </w:tcPr>
          <w:p w14:paraId="769E1E9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5BE4BA00" w14:textId="77777777" w:rsidTr="00384E31">
        <w:tc>
          <w:tcPr>
            <w:tcW w:w="709" w:type="dxa"/>
            <w:tcBorders>
              <w:top w:val="single" w:sz="2" w:space="0" w:color="auto"/>
              <w:bottom w:val="single" w:sz="2" w:space="0" w:color="auto"/>
              <w:right w:val="dotted" w:sz="4" w:space="0" w:color="auto"/>
            </w:tcBorders>
            <w:vAlign w:val="center"/>
          </w:tcPr>
          <w:p w14:paraId="0BC022A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tcPr>
          <w:p w14:paraId="64FD5BBE"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tcBorders>
            <w:vAlign w:val="center"/>
          </w:tcPr>
          <w:p w14:paraId="66B57F6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5C4937B" w14:textId="77777777" w:rsidTr="00384E31">
        <w:tc>
          <w:tcPr>
            <w:tcW w:w="709" w:type="dxa"/>
            <w:tcBorders>
              <w:top w:val="single" w:sz="2" w:space="0" w:color="auto"/>
              <w:right w:val="dotted" w:sz="4" w:space="0" w:color="auto"/>
            </w:tcBorders>
            <w:vAlign w:val="center"/>
          </w:tcPr>
          <w:p w14:paraId="70C08550"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237" w:type="dxa"/>
            <w:tcBorders>
              <w:top w:val="single" w:sz="2" w:space="0" w:color="auto"/>
              <w:left w:val="dotted" w:sz="4" w:space="0" w:color="auto"/>
              <w:right w:val="dotted" w:sz="4" w:space="0" w:color="auto"/>
            </w:tcBorders>
          </w:tcPr>
          <w:p w14:paraId="24C73CCF"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tcBorders>
            <w:vAlign w:val="center"/>
          </w:tcPr>
          <w:p w14:paraId="0A7496A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bl>
    <w:p w14:paraId="515AB777" w14:textId="77777777" w:rsidR="00C979A2" w:rsidRPr="00633564" w:rsidRDefault="00C979A2" w:rsidP="00C979A2">
      <w:pPr>
        <w:spacing w:after="120"/>
        <w:rPr>
          <w:rFonts w:cstheme="minorHAnsi"/>
        </w:rPr>
        <w:sectPr w:rsidR="00C979A2" w:rsidRPr="00633564" w:rsidSect="00423408">
          <w:headerReference w:type="default" r:id="rId16"/>
          <w:footerReference w:type="default" r:id="rId17"/>
          <w:pgSz w:w="11906" w:h="16838"/>
          <w:pgMar w:top="1418" w:right="1418" w:bottom="1701" w:left="1701" w:header="709" w:footer="709" w:gutter="0"/>
          <w:cols w:space="708"/>
          <w:docGrid w:linePitch="600" w:charSpace="32768"/>
        </w:sectPr>
      </w:pPr>
    </w:p>
    <w:p w14:paraId="65C0237E" w14:textId="03AB97C0" w:rsidR="00C979A2" w:rsidRPr="0081766C" w:rsidRDefault="00C979A2" w:rsidP="0081766C">
      <w:pPr>
        <w:spacing w:after="120" w:line="240" w:lineRule="auto"/>
        <w:ind w:firstLine="567"/>
        <w:contextualSpacing/>
        <w:jc w:val="both"/>
        <w:rPr>
          <w:rFonts w:cstheme="minorHAnsi"/>
          <w:sz w:val="28"/>
          <w:szCs w:val="28"/>
        </w:rPr>
      </w:pPr>
      <w:r w:rsidRPr="00C979A2">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tbl>
      <w:tblPr>
        <w:tblStyle w:val="Tabela-Siatka"/>
        <w:tblW w:w="0" w:type="auto"/>
        <w:tblInd w:w="108" w:type="dxa"/>
        <w:tblLook w:val="04A0" w:firstRow="1" w:lastRow="0" w:firstColumn="1" w:lastColumn="0" w:noHBand="0" w:noVBand="1"/>
      </w:tblPr>
      <w:tblGrid>
        <w:gridCol w:w="3544"/>
        <w:gridCol w:w="10206"/>
      </w:tblGrid>
      <w:tr w:rsidR="00C979A2" w:rsidRPr="00633564" w14:paraId="14A29025" w14:textId="77777777" w:rsidTr="00384E31">
        <w:trPr>
          <w:cantSplit/>
          <w:tblHeader/>
        </w:trPr>
        <w:tc>
          <w:tcPr>
            <w:tcW w:w="3544" w:type="dxa"/>
            <w:tcBorders>
              <w:right w:val="dotted" w:sz="4" w:space="0" w:color="auto"/>
            </w:tcBorders>
            <w:vAlign w:val="center"/>
          </w:tcPr>
          <w:p w14:paraId="171E8EB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Wymagania nowej zabudowy</w:t>
            </w:r>
          </w:p>
        </w:tc>
        <w:tc>
          <w:tcPr>
            <w:tcW w:w="10206" w:type="dxa"/>
            <w:tcBorders>
              <w:left w:val="dotted" w:sz="4" w:space="0" w:color="auto"/>
            </w:tcBorders>
            <w:vAlign w:val="center"/>
          </w:tcPr>
          <w:p w14:paraId="0A55B23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Sposób ustalenia wymagań</w:t>
            </w:r>
          </w:p>
        </w:tc>
      </w:tr>
      <w:tr w:rsidR="00C979A2" w:rsidRPr="00633564" w14:paraId="72395E44" w14:textId="77777777" w:rsidTr="00384E31">
        <w:trPr>
          <w:cantSplit/>
        </w:trPr>
        <w:tc>
          <w:tcPr>
            <w:tcW w:w="3544" w:type="dxa"/>
            <w:tcBorders>
              <w:bottom w:val="single" w:sz="2" w:space="0" w:color="auto"/>
              <w:right w:val="dotted" w:sz="4" w:space="0" w:color="auto"/>
            </w:tcBorders>
            <w:vAlign w:val="center"/>
          </w:tcPr>
          <w:p w14:paraId="3B809CB4"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Linia zabudowy</w:t>
            </w:r>
          </w:p>
        </w:tc>
        <w:tc>
          <w:tcPr>
            <w:tcW w:w="10206" w:type="dxa"/>
            <w:tcBorders>
              <w:left w:val="dotted" w:sz="4" w:space="0" w:color="auto"/>
              <w:bottom w:val="single" w:sz="2" w:space="0" w:color="auto"/>
            </w:tcBorders>
          </w:tcPr>
          <w:p w14:paraId="5008873F"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 xml:space="preserve">zgodnie z § 4 ust. 1: jako przedłużenie linii istniejącej zabudowy na działkach sąsiednich </w:t>
            </w:r>
            <w:r>
              <w:rPr>
                <w:rFonts w:asciiTheme="minorHAnsi" w:hAnsiTheme="minorHAnsi" w:cstheme="minorHAnsi"/>
                <w:sz w:val="24"/>
                <w:szCs w:val="24"/>
              </w:rPr>
              <w:t xml:space="preserve">– działkach o nr ewid. 1844 i 1842, obręb Śrem, wzdłuż budynków mieszkalnych. </w:t>
            </w:r>
          </w:p>
        </w:tc>
      </w:tr>
      <w:tr w:rsidR="00C979A2" w:rsidRPr="00633564" w14:paraId="348EEF59" w14:textId="77777777" w:rsidTr="00384E31">
        <w:trPr>
          <w:cantSplit/>
        </w:trPr>
        <w:tc>
          <w:tcPr>
            <w:tcW w:w="3544" w:type="dxa"/>
            <w:tcBorders>
              <w:top w:val="single" w:sz="2" w:space="0" w:color="auto"/>
              <w:bottom w:val="single" w:sz="2" w:space="0" w:color="auto"/>
              <w:right w:val="dotted" w:sz="4" w:space="0" w:color="auto"/>
            </w:tcBorders>
            <w:vAlign w:val="center"/>
          </w:tcPr>
          <w:p w14:paraId="1DE24380" w14:textId="77777777" w:rsidR="00C979A2" w:rsidRPr="00633564" w:rsidRDefault="00C979A2" w:rsidP="00384E31">
            <w:pPr>
              <w:spacing w:after="120"/>
              <w:jc w:val="both"/>
              <w:rPr>
                <w:rFonts w:asciiTheme="minorHAnsi" w:eastAsia="Times New Roman" w:hAnsiTheme="minorHAnsi" w:cstheme="minorHAnsi"/>
                <w:sz w:val="24"/>
                <w:szCs w:val="24"/>
                <w:lang w:eastAsia="pl-PL"/>
              </w:rPr>
            </w:pPr>
            <w:r w:rsidRPr="00633564">
              <w:rPr>
                <w:rFonts w:asciiTheme="minorHAnsi" w:hAnsiTheme="minorHAnsi" w:cstheme="minorHAnsi"/>
                <w:sz w:val="24"/>
                <w:szCs w:val="24"/>
              </w:rPr>
              <w:t>Wskaźnik wielkości powierzchni nowej zabudowy w stosunku do powierzchni</w:t>
            </w:r>
            <w:r>
              <w:rPr>
                <w:rFonts w:asciiTheme="minorHAnsi" w:hAnsiTheme="minorHAnsi" w:cstheme="minorHAnsi"/>
                <w:sz w:val="24"/>
                <w:szCs w:val="24"/>
              </w:rPr>
              <w:t xml:space="preserve"> terenu</w:t>
            </w:r>
          </w:p>
        </w:tc>
        <w:tc>
          <w:tcPr>
            <w:tcW w:w="10206" w:type="dxa"/>
            <w:tcBorders>
              <w:top w:val="single" w:sz="2" w:space="0" w:color="auto"/>
              <w:left w:val="dotted" w:sz="4" w:space="0" w:color="auto"/>
              <w:bottom w:val="single" w:sz="2" w:space="0" w:color="auto"/>
            </w:tcBorders>
          </w:tcPr>
          <w:p w14:paraId="0C445574" w14:textId="77777777" w:rsidR="00C979A2" w:rsidRPr="0030410E" w:rsidRDefault="00C979A2" w:rsidP="00384E31">
            <w:pPr>
              <w:spacing w:after="120"/>
              <w:jc w:val="both"/>
              <w:rPr>
                <w:rFonts w:asciiTheme="minorHAnsi" w:hAnsiTheme="minorHAnsi" w:cstheme="minorHAnsi"/>
                <w:szCs w:val="28"/>
              </w:rPr>
            </w:pPr>
            <w:r w:rsidRPr="00633564">
              <w:rPr>
                <w:rFonts w:asciiTheme="minorHAnsi" w:hAnsiTheme="minorHAnsi" w:cstheme="minorHAnsi"/>
                <w:sz w:val="24"/>
                <w:szCs w:val="24"/>
              </w:rPr>
              <w:t>zgodnie z § 5 ust. 2:</w:t>
            </w:r>
            <w:r w:rsidRPr="00633564">
              <w:rPr>
                <w:rFonts w:asciiTheme="minorHAnsi" w:hAnsiTheme="minorHAnsi" w:cstheme="minorHAnsi"/>
              </w:rPr>
              <w:t xml:space="preserve"> </w:t>
            </w:r>
            <w:r w:rsidRPr="00633564">
              <w:rPr>
                <w:rFonts w:asciiTheme="minorHAnsi" w:hAnsiTheme="minorHAnsi" w:cstheme="minorHAnsi"/>
                <w:sz w:val="24"/>
                <w:szCs w:val="24"/>
              </w:rPr>
              <w:t>w inny sposób, jeżeli wynika to z analizy</w:t>
            </w:r>
            <w:r>
              <w:rPr>
                <w:rFonts w:asciiTheme="minorHAnsi" w:hAnsiTheme="minorHAnsi" w:cstheme="minorHAnsi"/>
                <w:sz w:val="24"/>
                <w:szCs w:val="24"/>
              </w:rPr>
              <w:t xml:space="preserve">. </w:t>
            </w:r>
            <w:r w:rsidRPr="0030410E">
              <w:rPr>
                <w:rFonts w:asciiTheme="minorHAnsi" w:hAnsiTheme="minorHAnsi" w:cstheme="minorHAnsi"/>
                <w:sz w:val="24"/>
                <w:szCs w:val="24"/>
              </w:rPr>
              <w:t>Średni wskaźnik w obszarze analizowanym wynosi 28,2 %, przy czym w obszarze analizowanym waha się pomiędzy 12,2 %, a</w:t>
            </w:r>
            <w:r>
              <w:rPr>
                <w:rFonts w:asciiTheme="minorHAnsi" w:hAnsiTheme="minorHAnsi" w:cstheme="minorHAnsi"/>
                <w:sz w:val="24"/>
                <w:szCs w:val="24"/>
              </w:rPr>
              <w:t> </w:t>
            </w:r>
            <w:r w:rsidRPr="0030410E">
              <w:rPr>
                <w:rFonts w:asciiTheme="minorHAnsi" w:hAnsiTheme="minorHAnsi" w:cstheme="minorHAnsi"/>
                <w:sz w:val="24"/>
                <w:szCs w:val="24"/>
              </w:rPr>
              <w:t>58,9</w:t>
            </w:r>
            <w:r>
              <w:rPr>
                <w:rFonts w:asciiTheme="minorHAnsi" w:hAnsiTheme="minorHAnsi" w:cstheme="minorHAnsi"/>
                <w:sz w:val="24"/>
                <w:szCs w:val="24"/>
              </w:rPr>
              <w:t> </w:t>
            </w:r>
            <w:r w:rsidRPr="0030410E">
              <w:rPr>
                <w:rFonts w:asciiTheme="minorHAnsi" w:hAnsiTheme="minorHAnsi" w:cstheme="minorHAnsi"/>
                <w:sz w:val="24"/>
                <w:szCs w:val="24"/>
              </w:rPr>
              <w:t xml:space="preserve">%. Planowana inwestycja charakteryzuje się wskaźnikiem od 20,9 % do 28,2 %, który jest wskaźnikiem zbliżonym do średniego wskaźnika występującego w obszarze analizowanym. Wskaźniki na działkach zabudowanych w obszarze analizowanym o nr ewid.: 1844; 1845; 1846; 1847; 1848; 1842; 1841; 1840; 1839/2, 1839/1; 1838; 1837; 1836; 1852; 1851; 1850/1; 1898; 1897; 1896/2; 1896/1; 1895/2 wynoszą odpowiednio: </w:t>
            </w:r>
            <w:r w:rsidRPr="0030410E">
              <w:rPr>
                <w:rFonts w:asciiTheme="minorHAnsi" w:hAnsiTheme="minorHAnsi" w:cstheme="minorHAnsi"/>
                <w:b/>
                <w:bCs/>
                <w:sz w:val="24"/>
                <w:szCs w:val="24"/>
              </w:rPr>
              <w:t>25,4 %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22,7 %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27,6 %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28,6 %</w:t>
            </w:r>
            <w:r w:rsidRPr="0030410E">
              <w:rPr>
                <w:rFonts w:asciiTheme="minorHAnsi" w:hAnsiTheme="minorHAnsi" w:cstheme="minorHAnsi"/>
                <w:sz w:val="24"/>
                <w:szCs w:val="24"/>
              </w:rPr>
              <w:t xml:space="preserve">, 34,2 %, 16,0 %, </w:t>
            </w:r>
            <w:r w:rsidRPr="0030410E">
              <w:rPr>
                <w:rFonts w:asciiTheme="minorHAnsi" w:hAnsiTheme="minorHAnsi" w:cstheme="minorHAnsi"/>
                <w:b/>
                <w:bCs/>
                <w:sz w:val="24"/>
                <w:szCs w:val="24"/>
              </w:rPr>
              <w:t>24,1 %</w:t>
            </w:r>
            <w:r w:rsidRPr="0030410E">
              <w:rPr>
                <w:rFonts w:asciiTheme="minorHAnsi" w:hAnsiTheme="minorHAnsi" w:cstheme="minorHAnsi"/>
                <w:sz w:val="24"/>
                <w:szCs w:val="24"/>
              </w:rPr>
              <w:t xml:space="preserve">, 12,2 %, 41,2 %, </w:t>
            </w:r>
            <w:r w:rsidRPr="0030410E">
              <w:rPr>
                <w:rFonts w:asciiTheme="minorHAnsi" w:hAnsiTheme="minorHAnsi" w:cstheme="minorHAnsi"/>
                <w:b/>
                <w:bCs/>
                <w:sz w:val="24"/>
                <w:szCs w:val="24"/>
              </w:rPr>
              <w:t>24,7 %</w:t>
            </w:r>
            <w:r w:rsidRPr="0030410E">
              <w:rPr>
                <w:rFonts w:asciiTheme="minorHAnsi" w:hAnsiTheme="minorHAnsi" w:cstheme="minorHAnsi"/>
                <w:sz w:val="24"/>
                <w:szCs w:val="24"/>
              </w:rPr>
              <w:t xml:space="preserve">, 29,5 %, </w:t>
            </w:r>
            <w:r w:rsidRPr="0030410E">
              <w:rPr>
                <w:rFonts w:asciiTheme="minorHAnsi" w:hAnsiTheme="minorHAnsi" w:cstheme="minorHAnsi"/>
                <w:b/>
                <w:bCs/>
                <w:sz w:val="24"/>
                <w:szCs w:val="24"/>
              </w:rPr>
              <w:t>28,7 %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20,8 %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20,7 %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21,2 %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23,6 %</w:t>
            </w:r>
            <w:r w:rsidRPr="0030410E">
              <w:rPr>
                <w:rFonts w:asciiTheme="minorHAnsi" w:hAnsiTheme="minorHAnsi" w:cstheme="minorHAnsi"/>
                <w:sz w:val="24"/>
                <w:szCs w:val="24"/>
              </w:rPr>
              <w:t xml:space="preserve">, </w:t>
            </w:r>
            <w:r w:rsidRPr="0030410E">
              <w:rPr>
                <w:rFonts w:asciiTheme="minorHAnsi" w:hAnsiTheme="minorHAnsi" w:cstheme="minorHAnsi"/>
                <w:b/>
                <w:bCs/>
                <w:sz w:val="24"/>
                <w:szCs w:val="24"/>
              </w:rPr>
              <w:t>27,5 %</w:t>
            </w:r>
            <w:r w:rsidRPr="0030410E">
              <w:rPr>
                <w:rFonts w:asciiTheme="minorHAnsi" w:hAnsiTheme="minorHAnsi" w:cstheme="minorHAnsi"/>
                <w:sz w:val="24"/>
                <w:szCs w:val="24"/>
              </w:rPr>
              <w:t>, 54,4 %, 58,9 %, 16,0 % oraz zespół garaży</w:t>
            </w:r>
            <w:r>
              <w:rPr>
                <w:rFonts w:asciiTheme="minorHAnsi" w:hAnsiTheme="minorHAnsi" w:cstheme="minorHAnsi"/>
                <w:sz w:val="24"/>
                <w:szCs w:val="24"/>
              </w:rPr>
              <w:t>,</w:t>
            </w:r>
            <w:r w:rsidRPr="0030410E">
              <w:rPr>
                <w:rFonts w:asciiTheme="minorHAnsi" w:hAnsiTheme="minorHAnsi" w:cstheme="minorHAnsi"/>
                <w:sz w:val="24"/>
                <w:szCs w:val="24"/>
              </w:rPr>
              <w:t xml:space="preserve"> dla których wskaźnik powierzchni zabudowy wynosi 33,2 %. Powierzchnie działek w obszarze analizowanym są zbliżone do siebie. Planowany wskaźnik powierzchni zabudowy jest nieznacznie niższy od średniego, ale mieści się w przedziale wskaźników występujących w obszarze analizowanym. W związku z powyższym wskaźnik powierzchni zabudowy ustalono na poziomie od 20,9 % (istniejący wskaźnik powierzchni zabudowy) do 28,2 % (średni wskaźnik powierzchni zabudowy), bowiem w</w:t>
            </w:r>
            <w:r>
              <w:rPr>
                <w:rFonts w:asciiTheme="minorHAnsi" w:hAnsiTheme="minorHAnsi" w:cstheme="minorHAnsi"/>
                <w:sz w:val="24"/>
                <w:szCs w:val="24"/>
              </w:rPr>
              <w:t> </w:t>
            </w:r>
            <w:r w:rsidRPr="0030410E">
              <w:rPr>
                <w:rFonts w:asciiTheme="minorHAnsi" w:hAnsiTheme="minorHAnsi" w:cstheme="minorHAnsi"/>
                <w:sz w:val="24"/>
                <w:szCs w:val="24"/>
              </w:rPr>
              <w:t xml:space="preserve">harmonijny sposób wpisze się w otoczenie.  </w:t>
            </w:r>
          </w:p>
        </w:tc>
      </w:tr>
      <w:tr w:rsidR="00C979A2" w:rsidRPr="00633564" w14:paraId="79F31904" w14:textId="77777777" w:rsidTr="00384E31">
        <w:trPr>
          <w:cantSplit/>
        </w:trPr>
        <w:tc>
          <w:tcPr>
            <w:tcW w:w="3544" w:type="dxa"/>
            <w:tcBorders>
              <w:top w:val="single" w:sz="2" w:space="0" w:color="auto"/>
              <w:bottom w:val="single" w:sz="2" w:space="0" w:color="auto"/>
              <w:right w:val="dotted" w:sz="4" w:space="0" w:color="auto"/>
            </w:tcBorders>
            <w:vAlign w:val="center"/>
          </w:tcPr>
          <w:p w14:paraId="6A81099D" w14:textId="77777777" w:rsidR="00C979A2" w:rsidRPr="00633564" w:rsidRDefault="00C979A2" w:rsidP="00384E31">
            <w:pPr>
              <w:spacing w:after="120"/>
              <w:rPr>
                <w:rFonts w:asciiTheme="minorHAnsi" w:eastAsia="Times New Roman" w:hAnsiTheme="minorHAnsi" w:cstheme="minorHAnsi"/>
                <w:sz w:val="24"/>
                <w:szCs w:val="24"/>
                <w:lang w:eastAsia="pl-PL"/>
              </w:rPr>
            </w:pPr>
            <w:bookmarkStart w:id="2" w:name="mip10826116"/>
            <w:bookmarkEnd w:id="2"/>
            <w:r w:rsidRPr="00633564">
              <w:rPr>
                <w:rFonts w:asciiTheme="minorHAnsi" w:eastAsia="Times New Roman" w:hAnsiTheme="minorHAnsi" w:cstheme="minorHAnsi"/>
                <w:sz w:val="24"/>
                <w:szCs w:val="24"/>
                <w:lang w:eastAsia="pl-PL"/>
              </w:rPr>
              <w:t>Szerokość elewacji frontowej budynku</w:t>
            </w:r>
          </w:p>
        </w:tc>
        <w:tc>
          <w:tcPr>
            <w:tcW w:w="10206" w:type="dxa"/>
            <w:tcBorders>
              <w:top w:val="single" w:sz="2" w:space="0" w:color="auto"/>
              <w:left w:val="dotted" w:sz="4" w:space="0" w:color="auto"/>
              <w:bottom w:val="single" w:sz="2" w:space="0" w:color="auto"/>
            </w:tcBorders>
          </w:tcPr>
          <w:p w14:paraId="735AB588"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zgodnie z § 6 ust. 2: w inny sposób, jeżeli wynika to z analizy</w:t>
            </w:r>
            <w:r>
              <w:rPr>
                <w:rFonts w:asciiTheme="minorHAnsi" w:hAnsiTheme="minorHAnsi" w:cstheme="minorHAnsi"/>
                <w:sz w:val="24"/>
                <w:szCs w:val="24"/>
              </w:rPr>
              <w:t xml:space="preserve">. </w:t>
            </w:r>
            <w:r w:rsidRPr="004D3EC4">
              <w:rPr>
                <w:rFonts w:asciiTheme="minorHAnsi" w:hAnsiTheme="minorHAnsi" w:cstheme="minorHAnsi"/>
                <w:sz w:val="24"/>
                <w:szCs w:val="24"/>
              </w:rPr>
              <w:t>Szerokość elewacji frontowej planowanego budynku nie wyznaczono na podstawie średniej szerokości elewacji dla obszaru analizowanego z tolerancją ±20%, przy średniej szerokości elewacji wynoszącej 8,4 m, budynki powinny charakteryzować się szerokością od 6,69 m do 10,03 m. Planowany budynek o szerokości elewacji frontowej od 5,0 m do 5,5 m nie mieści się w ramach standardowo wyznaczanej szerokości elewacji frontowej, ale mieści się w przedziale szerokości występujących w obszarze analizowanym. Na działce o nr ewid. 1846 szerokość budynku wynosi 5,7 m, na działce o nr ewid. 1838 szerokość budynku wynosi 6,0 m, na działce o nr ewid. 1896/1 wynosi 5,0 m. Zatem istnieje możliwość ustalenia szerokości elewacji frontowej na poziomie od 5,0 m do 5,7 m, bowiem nie zaburzy ładu przestrzennego i w harmonijny sposób wpisze się w otoczenie.</w:t>
            </w:r>
          </w:p>
        </w:tc>
      </w:tr>
      <w:tr w:rsidR="00C979A2" w:rsidRPr="00633564" w14:paraId="49ABF887" w14:textId="77777777" w:rsidTr="00384E31">
        <w:trPr>
          <w:cantSplit/>
        </w:trPr>
        <w:tc>
          <w:tcPr>
            <w:tcW w:w="3544" w:type="dxa"/>
            <w:tcBorders>
              <w:top w:val="single" w:sz="2" w:space="0" w:color="auto"/>
              <w:bottom w:val="single" w:sz="2" w:space="0" w:color="auto"/>
              <w:right w:val="dotted" w:sz="4" w:space="0" w:color="auto"/>
            </w:tcBorders>
            <w:vAlign w:val="center"/>
          </w:tcPr>
          <w:p w14:paraId="7E139CF8"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lastRenderedPageBreak/>
              <w:t>W</w:t>
            </w:r>
            <w:r w:rsidRPr="00D6406E">
              <w:rPr>
                <w:rFonts w:asciiTheme="minorHAnsi" w:hAnsiTheme="minorHAnsi" w:cstheme="minorHAnsi"/>
                <w:sz w:val="24"/>
                <w:szCs w:val="24"/>
              </w:rPr>
              <w:t>ysokość górnej krawędzi elewacji frontowej, jej gzymsu lub attyki</w:t>
            </w:r>
          </w:p>
        </w:tc>
        <w:tc>
          <w:tcPr>
            <w:tcW w:w="10206" w:type="dxa"/>
            <w:tcBorders>
              <w:top w:val="single" w:sz="2" w:space="0" w:color="auto"/>
              <w:left w:val="dotted" w:sz="4" w:space="0" w:color="auto"/>
              <w:bottom w:val="single" w:sz="2" w:space="0" w:color="auto"/>
            </w:tcBorders>
          </w:tcPr>
          <w:p w14:paraId="5179D34C" w14:textId="77777777" w:rsidR="00C979A2" w:rsidRPr="004D3EC4" w:rsidRDefault="00C979A2" w:rsidP="00384E31">
            <w:pPr>
              <w:spacing w:after="120"/>
              <w:jc w:val="both"/>
              <w:rPr>
                <w:rFonts w:asciiTheme="minorHAnsi" w:hAnsiTheme="minorHAnsi" w:cstheme="minorHAnsi"/>
                <w:szCs w:val="28"/>
              </w:rPr>
            </w:pPr>
            <w:r w:rsidRPr="00633564">
              <w:rPr>
                <w:rFonts w:asciiTheme="minorHAnsi" w:hAnsiTheme="minorHAnsi" w:cstheme="minorHAnsi"/>
                <w:sz w:val="24"/>
                <w:szCs w:val="24"/>
              </w:rPr>
              <w:t>zgodnie z § 7 ust. 4: w inny sposób, jeżeli wynika to z analizy</w:t>
            </w:r>
            <w:r>
              <w:rPr>
                <w:rFonts w:asciiTheme="minorHAnsi" w:hAnsiTheme="minorHAnsi" w:cstheme="minorHAnsi"/>
                <w:sz w:val="24"/>
                <w:szCs w:val="24"/>
              </w:rPr>
              <w:t xml:space="preserve">. </w:t>
            </w:r>
            <w:r w:rsidRPr="004D3EC4">
              <w:rPr>
                <w:rFonts w:asciiTheme="minorHAnsi" w:hAnsiTheme="minorHAnsi" w:cstheme="minorHAnsi"/>
                <w:sz w:val="24"/>
                <w:szCs w:val="24"/>
              </w:rPr>
              <w:t>Wysokość górnej krawędzi elewacji frontowej budynków z jednospadowymi wynoszą od 2,5 m do 5,5 m. Planowany budynek charakteryzuje się wysokością od 3,0 m do 3,3 m. Na działkach o nr ewid. 1845; 1846; 1848 wysokość budynków wynosi 3,0 m, na działkach o nr ewid.: 1850/1; 1896/3 wysokość wynosi 3,5 m. Biorąc powyższe pod uwagę, wysokość elewacji frontowej planowanego budynku ustalono na podstawie wysokości występujących w obszarze analizowanym, czyli od 3,0 m do 3,5 m.</w:t>
            </w:r>
          </w:p>
        </w:tc>
      </w:tr>
      <w:tr w:rsidR="00C979A2" w:rsidRPr="00633564" w14:paraId="37F7ACDE" w14:textId="77777777" w:rsidTr="00384E31">
        <w:trPr>
          <w:cantSplit/>
        </w:trPr>
        <w:tc>
          <w:tcPr>
            <w:tcW w:w="13750" w:type="dxa"/>
            <w:gridSpan w:val="2"/>
            <w:tcBorders>
              <w:top w:val="single" w:sz="2" w:space="0" w:color="auto"/>
              <w:bottom w:val="dotted" w:sz="4" w:space="0" w:color="auto"/>
            </w:tcBorders>
            <w:vAlign w:val="center"/>
          </w:tcPr>
          <w:p w14:paraId="656A3ECA"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Geometria dachu ustalona odpowiednio do geometrii dachów występujących na obszarze analizowanym</w:t>
            </w:r>
          </w:p>
        </w:tc>
      </w:tr>
      <w:tr w:rsidR="00C979A2" w:rsidRPr="00633564" w14:paraId="117AF266" w14:textId="77777777" w:rsidTr="00384E31">
        <w:trPr>
          <w:cantSplit/>
        </w:trPr>
        <w:tc>
          <w:tcPr>
            <w:tcW w:w="3544" w:type="dxa"/>
            <w:tcBorders>
              <w:top w:val="dotted" w:sz="4" w:space="0" w:color="auto"/>
              <w:bottom w:val="dotted" w:sz="4" w:space="0" w:color="auto"/>
              <w:right w:val="dotted" w:sz="4" w:space="0" w:color="auto"/>
            </w:tcBorders>
            <w:vAlign w:val="center"/>
          </w:tcPr>
          <w:p w14:paraId="33AF8030"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kąt nachylenia</w:t>
            </w:r>
          </w:p>
        </w:tc>
        <w:tc>
          <w:tcPr>
            <w:tcW w:w="10206" w:type="dxa"/>
            <w:tcBorders>
              <w:top w:val="dotted" w:sz="4" w:space="0" w:color="auto"/>
              <w:left w:val="dotted" w:sz="4" w:space="0" w:color="auto"/>
              <w:bottom w:val="dotted" w:sz="4" w:space="0" w:color="auto"/>
            </w:tcBorders>
            <w:vAlign w:val="center"/>
          </w:tcPr>
          <w:p w14:paraId="6ED58C79" w14:textId="77777777" w:rsidR="00C979A2" w:rsidRPr="00633564" w:rsidRDefault="00C979A2" w:rsidP="00384E31">
            <w:pPr>
              <w:spacing w:after="120"/>
              <w:jc w:val="both"/>
              <w:rPr>
                <w:rFonts w:asciiTheme="minorHAnsi" w:hAnsiTheme="minorHAnsi" w:cstheme="minorHAnsi"/>
                <w:sz w:val="24"/>
                <w:szCs w:val="24"/>
              </w:rPr>
            </w:pPr>
            <w:r>
              <w:rPr>
                <w:rFonts w:asciiTheme="minorHAnsi" w:hAnsiTheme="minorHAnsi" w:cstheme="minorHAnsi"/>
                <w:sz w:val="24"/>
                <w:szCs w:val="24"/>
              </w:rPr>
              <w:t>nie większy niż 20 ˚ - w obszarze analizowanym występują dachy jednospadowe o kącie nachylenia 15˚, 17˚, 20˚ oraz dachy dwuspadowe o kącie nachylenia 20˚, 30˚, 35˚, 40˚, 45˚, 50˚ oraz tzw. płaskie o kącie nachylenia do 12˚</w:t>
            </w:r>
          </w:p>
        </w:tc>
      </w:tr>
      <w:tr w:rsidR="00C979A2" w:rsidRPr="00633564" w14:paraId="02AEDE5A" w14:textId="77777777" w:rsidTr="00384E31">
        <w:trPr>
          <w:cantSplit/>
        </w:trPr>
        <w:tc>
          <w:tcPr>
            <w:tcW w:w="3544" w:type="dxa"/>
            <w:tcBorders>
              <w:top w:val="dotted" w:sz="4" w:space="0" w:color="auto"/>
              <w:bottom w:val="dotted" w:sz="4" w:space="0" w:color="auto"/>
              <w:right w:val="dotted" w:sz="4" w:space="0" w:color="auto"/>
            </w:tcBorders>
            <w:vAlign w:val="center"/>
          </w:tcPr>
          <w:p w14:paraId="34B1F105"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wysokość głównej kalenicy</w:t>
            </w:r>
          </w:p>
        </w:tc>
        <w:tc>
          <w:tcPr>
            <w:tcW w:w="10206" w:type="dxa"/>
            <w:tcBorders>
              <w:top w:val="dotted" w:sz="4" w:space="0" w:color="auto"/>
              <w:left w:val="dotted" w:sz="4" w:space="0" w:color="auto"/>
              <w:bottom w:val="dotted" w:sz="4" w:space="0" w:color="auto"/>
            </w:tcBorders>
            <w:vAlign w:val="center"/>
          </w:tcPr>
          <w:p w14:paraId="29782EF9" w14:textId="77777777" w:rsidR="00C979A2" w:rsidRPr="00633564" w:rsidRDefault="00C979A2" w:rsidP="00384E31">
            <w:pPr>
              <w:spacing w:after="120"/>
              <w:jc w:val="both"/>
              <w:rPr>
                <w:rFonts w:asciiTheme="minorHAnsi" w:hAnsiTheme="minorHAnsi" w:cstheme="minorHAnsi"/>
                <w:sz w:val="24"/>
                <w:szCs w:val="24"/>
              </w:rPr>
            </w:pPr>
            <w:r>
              <w:rPr>
                <w:rFonts w:asciiTheme="minorHAnsi" w:hAnsiTheme="minorHAnsi" w:cstheme="minorHAnsi"/>
                <w:sz w:val="24"/>
                <w:szCs w:val="24"/>
              </w:rPr>
              <w:t>od 3,0 m do 3,5 m – w obszarze poddanym analizie zlokalizowane są budynki o wysokości głównej kalenicy od 3,0 m do 8,5 m oraz budynki o wysokości całkowitej od 2,5 m do 16,0 m</w:t>
            </w:r>
          </w:p>
        </w:tc>
      </w:tr>
      <w:tr w:rsidR="00C979A2" w:rsidRPr="00633564" w14:paraId="1BB6EECF" w14:textId="77777777" w:rsidTr="00384E31">
        <w:trPr>
          <w:cantSplit/>
        </w:trPr>
        <w:tc>
          <w:tcPr>
            <w:tcW w:w="3544" w:type="dxa"/>
            <w:tcBorders>
              <w:top w:val="dotted" w:sz="4" w:space="0" w:color="auto"/>
              <w:bottom w:val="dotted" w:sz="4" w:space="0" w:color="auto"/>
              <w:right w:val="dotted" w:sz="4" w:space="0" w:color="auto"/>
            </w:tcBorders>
            <w:vAlign w:val="center"/>
          </w:tcPr>
          <w:p w14:paraId="0994D8A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układ połaci dachowych</w:t>
            </w:r>
          </w:p>
        </w:tc>
        <w:tc>
          <w:tcPr>
            <w:tcW w:w="10206" w:type="dxa"/>
            <w:tcBorders>
              <w:top w:val="dotted" w:sz="4" w:space="0" w:color="auto"/>
              <w:left w:val="dotted" w:sz="4" w:space="0" w:color="auto"/>
              <w:bottom w:val="dotted" w:sz="4" w:space="0" w:color="auto"/>
            </w:tcBorders>
            <w:vAlign w:val="center"/>
          </w:tcPr>
          <w:p w14:paraId="2E480364" w14:textId="77777777" w:rsidR="00C979A2" w:rsidRPr="00633564" w:rsidRDefault="00C979A2" w:rsidP="00384E31">
            <w:pPr>
              <w:spacing w:after="120"/>
              <w:jc w:val="both"/>
              <w:rPr>
                <w:rFonts w:asciiTheme="minorHAnsi" w:hAnsiTheme="minorHAnsi" w:cstheme="minorHAnsi"/>
                <w:sz w:val="24"/>
                <w:szCs w:val="24"/>
              </w:rPr>
            </w:pPr>
            <w:r>
              <w:rPr>
                <w:rFonts w:asciiTheme="minorHAnsi" w:hAnsiTheme="minorHAnsi" w:cstheme="minorHAnsi"/>
                <w:sz w:val="24"/>
                <w:szCs w:val="24"/>
              </w:rPr>
              <w:t>jednospadowy – w obszarze analizowanym występują dachy jedno- i dwuspadowe oraz tzw. płaskie o kącie nachylenia do 12˚</w:t>
            </w:r>
          </w:p>
        </w:tc>
      </w:tr>
      <w:tr w:rsidR="00C979A2" w:rsidRPr="00633564" w14:paraId="4E689D13" w14:textId="77777777" w:rsidTr="00384E31">
        <w:trPr>
          <w:cantSplit/>
        </w:trPr>
        <w:tc>
          <w:tcPr>
            <w:tcW w:w="3544" w:type="dxa"/>
            <w:tcBorders>
              <w:top w:val="dotted" w:sz="4" w:space="0" w:color="auto"/>
              <w:right w:val="dotted" w:sz="4" w:space="0" w:color="auto"/>
            </w:tcBorders>
            <w:vAlign w:val="center"/>
          </w:tcPr>
          <w:p w14:paraId="53F43D79"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kierunek głównej kalenicy dachu w stosunku do frontu działki</w:t>
            </w:r>
          </w:p>
        </w:tc>
        <w:tc>
          <w:tcPr>
            <w:tcW w:w="10206" w:type="dxa"/>
            <w:tcBorders>
              <w:top w:val="dotted" w:sz="4" w:space="0" w:color="auto"/>
              <w:left w:val="dotted" w:sz="4" w:space="0" w:color="auto"/>
            </w:tcBorders>
            <w:vAlign w:val="center"/>
          </w:tcPr>
          <w:p w14:paraId="5BE72AFA" w14:textId="77777777" w:rsidR="00C979A2" w:rsidRPr="00633564" w:rsidRDefault="00C979A2" w:rsidP="00384E31">
            <w:pPr>
              <w:spacing w:after="120"/>
              <w:jc w:val="both"/>
              <w:rPr>
                <w:rFonts w:asciiTheme="minorHAnsi" w:hAnsiTheme="minorHAnsi" w:cstheme="minorHAnsi"/>
                <w:sz w:val="24"/>
                <w:szCs w:val="24"/>
              </w:rPr>
            </w:pPr>
            <w:r>
              <w:rPr>
                <w:rFonts w:asciiTheme="minorHAnsi" w:hAnsiTheme="minorHAnsi" w:cstheme="minorHAnsi"/>
                <w:sz w:val="24"/>
                <w:szCs w:val="24"/>
              </w:rPr>
              <w:t xml:space="preserve">w układzie kalenicowym – w obszarze analizowanym występują dachy o kalenicowym (równoległym lub zbliżonym do równoległego) i szczytowym (prostopadłym lub zbliżonym do prostopadłego) kierunku głównej kalenicy dachu w stosunku do frontu działki. </w:t>
            </w:r>
          </w:p>
        </w:tc>
      </w:tr>
    </w:tbl>
    <w:p w14:paraId="751C3484" w14:textId="77777777" w:rsidR="0081766C" w:rsidRDefault="0081766C" w:rsidP="0081766C">
      <w:pPr>
        <w:tabs>
          <w:tab w:val="left" w:pos="2925"/>
          <w:tab w:val="left" w:pos="8265"/>
        </w:tabs>
        <w:rPr>
          <w:sz w:val="28"/>
          <w:szCs w:val="28"/>
        </w:rPr>
        <w:sectPr w:rsidR="0081766C" w:rsidSect="00423408">
          <w:headerReference w:type="default" r:id="rId18"/>
          <w:footerReference w:type="default" r:id="rId19"/>
          <w:pgSz w:w="16838" w:h="11906" w:orient="landscape" w:code="9"/>
          <w:pgMar w:top="720" w:right="720" w:bottom="720" w:left="720" w:header="709" w:footer="709" w:gutter="0"/>
          <w:pgNumType w:start="1"/>
          <w:cols w:space="708"/>
          <w:docGrid w:linePitch="600" w:charSpace="32768"/>
        </w:sectPr>
      </w:pPr>
    </w:p>
    <w:p w14:paraId="21453B77" w14:textId="473E725F" w:rsidR="00561124" w:rsidRPr="00AF76C1" w:rsidRDefault="0081766C" w:rsidP="00831A2C">
      <w:pPr>
        <w:tabs>
          <w:tab w:val="center" w:pos="5233"/>
        </w:tabs>
        <w:rPr>
          <w:sz w:val="28"/>
          <w:szCs w:val="28"/>
        </w:rPr>
      </w:pPr>
      <w:r>
        <w:rPr>
          <w:noProof/>
          <w:sz w:val="28"/>
          <w:szCs w:val="28"/>
        </w:rPr>
        <w:lastRenderedPageBreak/>
        <w:drawing>
          <wp:anchor distT="0" distB="0" distL="114300" distR="114300" simplePos="0" relativeHeight="251658240" behindDoc="0" locked="0" layoutInCell="1" allowOverlap="1" wp14:anchorId="69C1ED03" wp14:editId="7DF316D8">
            <wp:simplePos x="457200" y="619125"/>
            <wp:positionH relativeFrom="column">
              <wp:align>left</wp:align>
            </wp:positionH>
            <wp:positionV relativeFrom="paragraph">
              <wp:align>top</wp:align>
            </wp:positionV>
            <wp:extent cx="6591300" cy="9021445"/>
            <wp:effectExtent l="0" t="0" r="0" b="8255"/>
            <wp:wrapSquare wrapText="bothSides"/>
            <wp:docPr id="1313379613" name="Obraz 5" descr="Obraz zawierający mapa, tekst,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79613" name="Obraz 5" descr="Obraz zawierający mapa, tekst, diagram, Plan&#10;&#10;Opis wygenerowany automatyczni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591434" cy="9021813"/>
                    </a:xfrm>
                    <a:prstGeom prst="rect">
                      <a:avLst/>
                    </a:prstGeom>
                  </pic:spPr>
                </pic:pic>
              </a:graphicData>
            </a:graphic>
            <wp14:sizeRelH relativeFrom="margin">
              <wp14:pctWidth>0</wp14:pctWidth>
            </wp14:sizeRelH>
            <wp14:sizeRelV relativeFrom="margin">
              <wp14:pctHeight>0</wp14:pctHeight>
            </wp14:sizeRelV>
          </wp:anchor>
        </w:drawing>
      </w:r>
      <w:r w:rsidR="00831A2C">
        <w:rPr>
          <w:sz w:val="28"/>
          <w:szCs w:val="28"/>
        </w:rPr>
        <w:tab/>
      </w:r>
    </w:p>
    <w:sectPr w:rsidR="00561124" w:rsidRPr="00AF76C1" w:rsidSect="00423408">
      <w:pgSz w:w="11906" w:h="16838" w:code="9"/>
      <w:pgMar w:top="720" w:right="720" w:bottom="720" w:left="720" w:header="709" w:footer="709"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BC30E" w14:textId="77777777" w:rsidR="00423408" w:rsidRDefault="00423408" w:rsidP="00053E5A">
      <w:pPr>
        <w:spacing w:after="0" w:line="240" w:lineRule="auto"/>
      </w:pPr>
      <w:r>
        <w:separator/>
      </w:r>
    </w:p>
  </w:endnote>
  <w:endnote w:type="continuationSeparator" w:id="0">
    <w:p w14:paraId="1835D507" w14:textId="77777777" w:rsidR="00423408" w:rsidRDefault="00423408"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63526"/>
      <w:docPartObj>
        <w:docPartGallery w:val="Page Numbers (Bottom of Page)"/>
        <w:docPartUnique/>
      </w:docPartObj>
    </w:sdtPr>
    <w:sdtContent>
      <w:sdt>
        <w:sdtPr>
          <w:id w:val="1728636285"/>
          <w:docPartObj>
            <w:docPartGallery w:val="Page Numbers (Top of Page)"/>
            <w:docPartUnique/>
          </w:docPartObj>
        </w:sdtPr>
        <w:sdtContent>
          <w:p w14:paraId="3FA1324F" w14:textId="00DB7419" w:rsidR="002471A9" w:rsidRDefault="002471A9">
            <w:pPr>
              <w:pStyle w:val="Stopka"/>
              <w:jc w:val="center"/>
            </w:pPr>
            <w:r w:rsidRPr="002471A9">
              <w:rPr>
                <w:sz w:val="28"/>
                <w:szCs w:val="28"/>
              </w:rPr>
              <w:t xml:space="preserve">Strona </w:t>
            </w:r>
            <w:r w:rsidRPr="002471A9">
              <w:rPr>
                <w:sz w:val="28"/>
                <w:szCs w:val="28"/>
              </w:rPr>
              <w:fldChar w:fldCharType="begin"/>
            </w:r>
            <w:r w:rsidRPr="002471A9">
              <w:rPr>
                <w:sz w:val="28"/>
                <w:szCs w:val="28"/>
              </w:rPr>
              <w:instrText>PAGE</w:instrText>
            </w:r>
            <w:r w:rsidRPr="002471A9">
              <w:rPr>
                <w:sz w:val="28"/>
                <w:szCs w:val="28"/>
              </w:rPr>
              <w:fldChar w:fldCharType="separate"/>
            </w:r>
            <w:r w:rsidRPr="002471A9">
              <w:rPr>
                <w:sz w:val="28"/>
                <w:szCs w:val="28"/>
              </w:rPr>
              <w:t>2</w:t>
            </w:r>
            <w:r w:rsidRPr="002471A9">
              <w:rPr>
                <w:sz w:val="28"/>
                <w:szCs w:val="28"/>
              </w:rPr>
              <w:fldChar w:fldCharType="end"/>
            </w:r>
            <w:r w:rsidRPr="002471A9">
              <w:rPr>
                <w:sz w:val="28"/>
                <w:szCs w:val="28"/>
              </w:rPr>
              <w:t xml:space="preserve"> z </w:t>
            </w:r>
            <w:r w:rsidRPr="002471A9">
              <w:rPr>
                <w:sz w:val="28"/>
                <w:szCs w:val="28"/>
              </w:rPr>
              <w:fldChar w:fldCharType="begin"/>
            </w:r>
            <w:r w:rsidRPr="002471A9">
              <w:rPr>
                <w:sz w:val="28"/>
                <w:szCs w:val="28"/>
              </w:rPr>
              <w:instrText>NUMPAGES</w:instrText>
            </w:r>
            <w:r w:rsidRPr="002471A9">
              <w:rPr>
                <w:sz w:val="28"/>
                <w:szCs w:val="28"/>
              </w:rPr>
              <w:fldChar w:fldCharType="separate"/>
            </w:r>
            <w:r w:rsidRPr="002471A9">
              <w:rPr>
                <w:sz w:val="28"/>
                <w:szCs w:val="28"/>
              </w:rPr>
              <w:t>2</w:t>
            </w:r>
            <w:r w:rsidRPr="002471A9">
              <w:rPr>
                <w:sz w:val="28"/>
                <w:szCs w:val="28"/>
              </w:rPr>
              <w:fldChar w:fldCharType="end"/>
            </w:r>
          </w:p>
        </w:sdtContent>
      </w:sdt>
    </w:sdtContent>
  </w:sdt>
  <w:p w14:paraId="1145CA04" w14:textId="6FA4B4AD" w:rsidR="00403FA2" w:rsidRPr="00D70CF5" w:rsidRDefault="00403FA2" w:rsidP="0091164C">
    <w:pPr>
      <w:pStyle w:val="Stopka"/>
      <w:jc w:val="center"/>
      <w:rPr>
        <w:rFonts w:cstheme="minorHAnsi"/>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8DC1" w14:textId="6492BB76" w:rsidR="008C0D69" w:rsidRPr="00D70CF5" w:rsidRDefault="008C0D69" w:rsidP="0091164C">
    <w:pPr>
      <w:pStyle w:val="Stopka"/>
      <w:jc w:val="center"/>
      <w:rPr>
        <w:rFonts w:cstheme="minorHAnsi"/>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97453"/>
      <w:docPartObj>
        <w:docPartGallery w:val="Page Numbers (Bottom of Page)"/>
        <w:docPartUnique/>
      </w:docPartObj>
    </w:sdtPr>
    <w:sdtContent>
      <w:sdt>
        <w:sdtPr>
          <w:id w:val="98381352"/>
          <w:docPartObj>
            <w:docPartGallery w:val="Page Numbers (Top of Page)"/>
            <w:docPartUnique/>
          </w:docPartObj>
        </w:sdtPr>
        <w:sdtContent>
          <w:p w14:paraId="51AAF9F6" w14:textId="77777777" w:rsidR="00C979A2" w:rsidRDefault="00C979A2" w:rsidP="00E901C1">
            <w:pPr>
              <w:pStyle w:val="Stopka"/>
              <w:jc w:val="center"/>
            </w:pPr>
            <w:r w:rsidRPr="00633564">
              <w:rPr>
                <w:rFonts w:cstheme="minorHAnsi"/>
                <w:szCs w:val="28"/>
              </w:rPr>
              <w:t xml:space="preserve">Strona </w:t>
            </w:r>
            <w:r w:rsidRPr="00633564">
              <w:rPr>
                <w:rFonts w:cstheme="minorHAnsi"/>
                <w:szCs w:val="28"/>
              </w:rPr>
              <w:fldChar w:fldCharType="begin"/>
            </w:r>
            <w:r w:rsidRPr="00633564">
              <w:rPr>
                <w:rFonts w:cstheme="minorHAnsi"/>
                <w:szCs w:val="28"/>
              </w:rPr>
              <w:instrText>PAGE</w:instrText>
            </w:r>
            <w:r w:rsidRPr="00633564">
              <w:rPr>
                <w:rFonts w:cstheme="minorHAnsi"/>
                <w:szCs w:val="28"/>
              </w:rPr>
              <w:fldChar w:fldCharType="separate"/>
            </w:r>
            <w:r w:rsidRPr="00633564">
              <w:rPr>
                <w:rFonts w:cstheme="minorHAnsi"/>
                <w:noProof/>
                <w:szCs w:val="28"/>
              </w:rPr>
              <w:t>1</w:t>
            </w:r>
            <w:r w:rsidRPr="00633564">
              <w:rPr>
                <w:rFonts w:cstheme="minorHAnsi"/>
                <w:szCs w:val="28"/>
              </w:rPr>
              <w:fldChar w:fldCharType="end"/>
            </w:r>
            <w:r w:rsidRPr="00633564">
              <w:rPr>
                <w:rFonts w:cstheme="minorHAnsi"/>
                <w:szCs w:val="28"/>
              </w:rPr>
              <w:t xml:space="preserve"> z </w:t>
            </w:r>
            <w:r w:rsidRPr="00633564">
              <w:rPr>
                <w:rFonts w:cstheme="minorHAnsi"/>
                <w:szCs w:val="28"/>
              </w:rPr>
              <w:fldChar w:fldCharType="begin"/>
            </w:r>
            <w:r w:rsidRPr="00633564">
              <w:rPr>
                <w:rFonts w:cstheme="minorHAnsi"/>
                <w:szCs w:val="28"/>
              </w:rPr>
              <w:instrText>NUMPAGES</w:instrText>
            </w:r>
            <w:r w:rsidRPr="00633564">
              <w:rPr>
                <w:rFonts w:cstheme="minorHAnsi"/>
                <w:szCs w:val="28"/>
              </w:rPr>
              <w:fldChar w:fldCharType="separate"/>
            </w:r>
            <w:r w:rsidRPr="00633564">
              <w:rPr>
                <w:rFonts w:cstheme="minorHAnsi"/>
                <w:noProof/>
                <w:szCs w:val="28"/>
              </w:rPr>
              <w:t>3</w:t>
            </w:r>
            <w:r w:rsidRPr="00633564">
              <w:rPr>
                <w:rFonts w:cstheme="minorHAnsi"/>
                <w:szCs w:val="28"/>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397497"/>
      <w:docPartObj>
        <w:docPartGallery w:val="Page Numbers (Bottom of Page)"/>
        <w:docPartUnique/>
      </w:docPartObj>
    </w:sdtPr>
    <w:sdtContent>
      <w:sdt>
        <w:sdtPr>
          <w:id w:val="-427819642"/>
          <w:docPartObj>
            <w:docPartGallery w:val="Page Numbers (Top of Page)"/>
            <w:docPartUnique/>
          </w:docPartObj>
        </w:sdtPr>
        <w:sdtContent>
          <w:p w14:paraId="0F75F9AB" w14:textId="1B0B4DA8" w:rsidR="00DC7BD7" w:rsidRDefault="00DC7BD7" w:rsidP="00831A2C">
            <w:pPr>
              <w:pStyle w:val="Stopka"/>
              <w:jc w:val="center"/>
            </w:pPr>
            <w:r w:rsidRPr="00DC7BD7">
              <w:rPr>
                <w:sz w:val="28"/>
                <w:szCs w:val="28"/>
              </w:rPr>
              <w:t xml:space="preserve">Strona </w:t>
            </w:r>
            <w:r>
              <w:rPr>
                <w:sz w:val="28"/>
                <w:szCs w:val="28"/>
              </w:rPr>
              <w:t>18</w:t>
            </w:r>
            <w:r w:rsidRPr="00DC7BD7">
              <w:rPr>
                <w:sz w:val="28"/>
                <w:szCs w:val="28"/>
              </w:rPr>
              <w:t xml:space="preserve"> z </w:t>
            </w:r>
            <w:r w:rsidRPr="00DC7BD7">
              <w:rPr>
                <w:sz w:val="28"/>
                <w:szCs w:val="28"/>
              </w:rPr>
              <w:fldChar w:fldCharType="begin"/>
            </w:r>
            <w:r w:rsidRPr="00DC7BD7">
              <w:rPr>
                <w:sz w:val="28"/>
                <w:szCs w:val="28"/>
              </w:rPr>
              <w:instrText>NUMPAGES</w:instrText>
            </w:r>
            <w:r w:rsidRPr="00DC7BD7">
              <w:rPr>
                <w:sz w:val="28"/>
                <w:szCs w:val="28"/>
              </w:rPr>
              <w:fldChar w:fldCharType="separate"/>
            </w:r>
            <w:r w:rsidRPr="00DC7BD7">
              <w:rPr>
                <w:sz w:val="28"/>
                <w:szCs w:val="28"/>
              </w:rPr>
              <w:t>2</w:t>
            </w:r>
            <w:r w:rsidRPr="00DC7BD7">
              <w:rPr>
                <w:sz w:val="28"/>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5F290" w14:textId="77777777" w:rsidR="00423408" w:rsidRDefault="00423408" w:rsidP="00053E5A">
      <w:pPr>
        <w:spacing w:after="0" w:line="240" w:lineRule="auto"/>
      </w:pPr>
      <w:r>
        <w:separator/>
      </w:r>
    </w:p>
  </w:footnote>
  <w:footnote w:type="continuationSeparator" w:id="0">
    <w:p w14:paraId="1BCC7D93" w14:textId="77777777" w:rsidR="00423408" w:rsidRDefault="00423408" w:rsidP="00053E5A">
      <w:pPr>
        <w:spacing w:after="0" w:line="240" w:lineRule="auto"/>
      </w:pPr>
      <w:r>
        <w:continuationSeparator/>
      </w:r>
    </w:p>
  </w:footnote>
  <w:footnote w:id="1">
    <w:p w14:paraId="431BE3E9" w14:textId="77777777" w:rsidR="00C979A2" w:rsidRPr="00E601AC" w:rsidRDefault="00C979A2" w:rsidP="00C979A2">
      <w:pPr>
        <w:pStyle w:val="Tekstprzypisudolnego"/>
        <w:jc w:val="both"/>
        <w:rPr>
          <w:rFonts w:asciiTheme="minorHAnsi" w:hAnsiTheme="minorHAnsi" w:cstheme="minorHAnsi"/>
          <w:sz w:val="28"/>
          <w:szCs w:val="28"/>
        </w:rPr>
      </w:pPr>
      <w:r w:rsidRPr="00E601AC">
        <w:rPr>
          <w:rStyle w:val="Odwoanieprzypisudolnego"/>
          <w:rFonts w:asciiTheme="minorHAnsi" w:hAnsiTheme="minorHAnsi" w:cstheme="minorHAnsi"/>
          <w:sz w:val="28"/>
          <w:szCs w:val="28"/>
        </w:rPr>
        <w:footnoteRef/>
      </w:r>
      <w:r w:rsidRPr="00E601AC">
        <w:rPr>
          <w:rFonts w:asciiTheme="minorHAnsi" w:hAnsiTheme="minorHAnsi" w:cstheme="minorHAnsi"/>
          <w:sz w:val="28"/>
          <w:szCs w:val="28"/>
        </w:rPr>
        <w:t xml:space="preserve">Stosownie do art. 61 ust. 5a zdanie </w:t>
      </w:r>
      <w:r w:rsidRPr="008A61B4">
        <w:rPr>
          <w:rFonts w:asciiTheme="minorHAnsi" w:hAnsiTheme="minorHAnsi" w:cstheme="minorHAnsi"/>
          <w:sz w:val="28"/>
          <w:szCs w:val="28"/>
        </w:rPr>
        <w:t>drugie u.p.z.p.</w:t>
      </w:r>
      <w:r>
        <w:rPr>
          <w:rFonts w:asciiTheme="minorHAnsi" w:hAnsiTheme="minorHAnsi" w:cstheme="minorHAnsi"/>
          <w:szCs w:val="28"/>
        </w:rPr>
        <w:t xml:space="preserve"> </w:t>
      </w:r>
      <w:r w:rsidRPr="00E601AC">
        <w:rPr>
          <w:rFonts w:asciiTheme="minorHAnsi" w:hAnsiTheme="minorHAnsi" w:cstheme="minorHAnsi"/>
          <w:sz w:val="28"/>
          <w:szCs w:val="28"/>
        </w:rPr>
        <w:t>przez front terenu należy rozumieć tę część granicy działki budowlanej, która przylega do drogi publicznej lub wewnętrznej, z której odbywa się główny wjazd na działkę. Front terenu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D5A1" w14:textId="77777777" w:rsidR="00403FA2" w:rsidRPr="0040389E" w:rsidRDefault="00403FA2" w:rsidP="0040389E">
    <w:pPr>
      <w:pStyle w:val="Nagwek"/>
      <w:jc w:val="right"/>
      <w:rPr>
        <w:rFonts w:cstheme="minorHAnsi"/>
        <w:color w:val="808080" w:themeColor="background1" w:themeShade="8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8F75E" w14:textId="77777777" w:rsidR="00C979A2" w:rsidRPr="00633564" w:rsidRDefault="00C979A2" w:rsidP="008B08EF">
    <w:pPr>
      <w:pStyle w:val="Nagwek"/>
      <w:jc w:val="right"/>
      <w:rPr>
        <w:rFonts w:cstheme="minorHAnsi"/>
        <w:iCs/>
        <w:color w:val="808080" w:themeColor="background1" w:themeShade="80"/>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9A646" w14:textId="77777777" w:rsidR="00DC7BD7" w:rsidRPr="00633564" w:rsidRDefault="00DC7BD7" w:rsidP="008B08EF">
    <w:pPr>
      <w:pStyle w:val="Nagwek"/>
      <w:jc w:val="right"/>
      <w:rPr>
        <w:rFonts w:cstheme="minorHAnsi"/>
        <w:iCs/>
        <w:color w:val="808080" w:themeColor="background1" w:themeShade="8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0AD"/>
    <w:multiLevelType w:val="hybridMultilevel"/>
    <w:tmpl w:val="F5625C6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AA404D"/>
    <w:multiLevelType w:val="hybridMultilevel"/>
    <w:tmpl w:val="D5AE2EE0"/>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BC170B"/>
    <w:multiLevelType w:val="hybridMultilevel"/>
    <w:tmpl w:val="64D6F020"/>
    <w:lvl w:ilvl="0" w:tplc="09A68B0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 w15:restartNumberingAfterBreak="0">
    <w:nsid w:val="2C962030"/>
    <w:multiLevelType w:val="hybridMultilevel"/>
    <w:tmpl w:val="0456B428"/>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045782F"/>
    <w:multiLevelType w:val="hybridMultilevel"/>
    <w:tmpl w:val="6B90E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0E7C3B"/>
    <w:multiLevelType w:val="hybridMultilevel"/>
    <w:tmpl w:val="5776A0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1405F3"/>
    <w:multiLevelType w:val="hybridMultilevel"/>
    <w:tmpl w:val="DB5A9B96"/>
    <w:lvl w:ilvl="0" w:tplc="DDFCB1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4815227B"/>
    <w:multiLevelType w:val="hybridMultilevel"/>
    <w:tmpl w:val="F894EB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E0E1C86"/>
    <w:multiLevelType w:val="hybridMultilevel"/>
    <w:tmpl w:val="480C5BA6"/>
    <w:lvl w:ilvl="0" w:tplc="786C2D94">
      <w:start w:val="1"/>
      <w:numFmt w:val="decimal"/>
      <w:lvlText w:val="%1)"/>
      <w:lvlJc w:val="left"/>
      <w:pPr>
        <w:ind w:left="501" w:hanging="360"/>
      </w:pPr>
      <w:rPr>
        <w:rFonts w:hint="default"/>
        <w:b w:val="0"/>
        <w:bCs/>
        <w:color w:val="auto"/>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3"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5" w15:restartNumberingAfterBreak="0">
    <w:nsid w:val="714C4938"/>
    <w:multiLevelType w:val="hybridMultilevel"/>
    <w:tmpl w:val="04464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7E060828"/>
    <w:multiLevelType w:val="hybridMultilevel"/>
    <w:tmpl w:val="5448AC2A"/>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07131809">
    <w:abstractNumId w:val="26"/>
  </w:num>
  <w:num w:numId="2" w16cid:durableId="239680716">
    <w:abstractNumId w:val="1"/>
  </w:num>
  <w:num w:numId="3" w16cid:durableId="590742254">
    <w:abstractNumId w:val="3"/>
  </w:num>
  <w:num w:numId="4" w16cid:durableId="978650360">
    <w:abstractNumId w:val="13"/>
  </w:num>
  <w:num w:numId="5" w16cid:durableId="2049135878">
    <w:abstractNumId w:val="4"/>
  </w:num>
  <w:num w:numId="6" w16cid:durableId="2007778848">
    <w:abstractNumId w:val="22"/>
  </w:num>
  <w:num w:numId="7" w16cid:durableId="551621929">
    <w:abstractNumId w:val="23"/>
  </w:num>
  <w:num w:numId="8" w16cid:durableId="1206673688">
    <w:abstractNumId w:val="2"/>
  </w:num>
  <w:num w:numId="9" w16cid:durableId="1912228969">
    <w:abstractNumId w:val="27"/>
  </w:num>
  <w:num w:numId="10" w16cid:durableId="113990776">
    <w:abstractNumId w:val="14"/>
  </w:num>
  <w:num w:numId="11" w16cid:durableId="101532403">
    <w:abstractNumId w:val="10"/>
  </w:num>
  <w:num w:numId="12" w16cid:durableId="1274628000">
    <w:abstractNumId w:val="25"/>
  </w:num>
  <w:num w:numId="13" w16cid:durableId="714040546">
    <w:abstractNumId w:val="16"/>
  </w:num>
  <w:num w:numId="14" w16cid:durableId="831064291">
    <w:abstractNumId w:val="6"/>
  </w:num>
  <w:num w:numId="15" w16cid:durableId="899245949">
    <w:abstractNumId w:val="24"/>
  </w:num>
  <w:num w:numId="16" w16cid:durableId="921835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967729">
    <w:abstractNumId w:val="18"/>
  </w:num>
  <w:num w:numId="18" w16cid:durableId="17120187">
    <w:abstractNumId w:val="5"/>
  </w:num>
  <w:num w:numId="19" w16cid:durableId="1153989499">
    <w:abstractNumId w:val="11"/>
  </w:num>
  <w:num w:numId="20" w16cid:durableId="1281454752">
    <w:abstractNumId w:val="15"/>
  </w:num>
  <w:num w:numId="21" w16cid:durableId="175467680">
    <w:abstractNumId w:val="20"/>
  </w:num>
  <w:num w:numId="22" w16cid:durableId="1527675359">
    <w:abstractNumId w:val="17"/>
  </w:num>
  <w:num w:numId="23" w16cid:durableId="1525364239">
    <w:abstractNumId w:val="21"/>
  </w:num>
  <w:num w:numId="24" w16cid:durableId="836189931">
    <w:abstractNumId w:val="7"/>
  </w:num>
  <w:num w:numId="25" w16cid:durableId="939369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608687">
    <w:abstractNumId w:val="28"/>
  </w:num>
  <w:num w:numId="27" w16cid:durableId="1361008222">
    <w:abstractNumId w:val="12"/>
  </w:num>
  <w:num w:numId="28" w16cid:durableId="854807968">
    <w:abstractNumId w:val="9"/>
  </w:num>
  <w:num w:numId="29" w16cid:durableId="10696221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3972"/>
    <w:rsid w:val="000165E3"/>
    <w:rsid w:val="0004093B"/>
    <w:rsid w:val="00042CCA"/>
    <w:rsid w:val="00053E5A"/>
    <w:rsid w:val="00056D77"/>
    <w:rsid w:val="00096CEA"/>
    <w:rsid w:val="000A38FE"/>
    <w:rsid w:val="000B3982"/>
    <w:rsid w:val="000D02F6"/>
    <w:rsid w:val="000F04E9"/>
    <w:rsid w:val="000F0FC3"/>
    <w:rsid w:val="000F7981"/>
    <w:rsid w:val="00117823"/>
    <w:rsid w:val="00181A6F"/>
    <w:rsid w:val="00190708"/>
    <w:rsid w:val="001A27BA"/>
    <w:rsid w:val="001B7431"/>
    <w:rsid w:val="001B7825"/>
    <w:rsid w:val="001C396E"/>
    <w:rsid w:val="001E33D8"/>
    <w:rsid w:val="001E4641"/>
    <w:rsid w:val="001F05D2"/>
    <w:rsid w:val="002001A6"/>
    <w:rsid w:val="002076BE"/>
    <w:rsid w:val="00245A15"/>
    <w:rsid w:val="002471A9"/>
    <w:rsid w:val="00250690"/>
    <w:rsid w:val="002B3949"/>
    <w:rsid w:val="002C3AE8"/>
    <w:rsid w:val="002D34E5"/>
    <w:rsid w:val="002E62F5"/>
    <w:rsid w:val="002F4746"/>
    <w:rsid w:val="002F6CD2"/>
    <w:rsid w:val="00321C17"/>
    <w:rsid w:val="00322A2A"/>
    <w:rsid w:val="00331ECB"/>
    <w:rsid w:val="0033275A"/>
    <w:rsid w:val="00340D4C"/>
    <w:rsid w:val="00351A5D"/>
    <w:rsid w:val="00361824"/>
    <w:rsid w:val="0037130C"/>
    <w:rsid w:val="00381C5E"/>
    <w:rsid w:val="003B39DE"/>
    <w:rsid w:val="003D7718"/>
    <w:rsid w:val="00403140"/>
    <w:rsid w:val="00403FA2"/>
    <w:rsid w:val="004056C9"/>
    <w:rsid w:val="0040639D"/>
    <w:rsid w:val="00413992"/>
    <w:rsid w:val="00423408"/>
    <w:rsid w:val="004235C9"/>
    <w:rsid w:val="00431C3E"/>
    <w:rsid w:val="004519AC"/>
    <w:rsid w:val="0048459B"/>
    <w:rsid w:val="004C512A"/>
    <w:rsid w:val="004D2F43"/>
    <w:rsid w:val="004D6B2B"/>
    <w:rsid w:val="004E4A5D"/>
    <w:rsid w:val="00512B24"/>
    <w:rsid w:val="00525346"/>
    <w:rsid w:val="00533D10"/>
    <w:rsid w:val="00534F27"/>
    <w:rsid w:val="00561124"/>
    <w:rsid w:val="005673DE"/>
    <w:rsid w:val="00575D3F"/>
    <w:rsid w:val="005811F1"/>
    <w:rsid w:val="005A1C12"/>
    <w:rsid w:val="005D4B74"/>
    <w:rsid w:val="005E5887"/>
    <w:rsid w:val="005F048F"/>
    <w:rsid w:val="005F23DE"/>
    <w:rsid w:val="00613E9B"/>
    <w:rsid w:val="00626819"/>
    <w:rsid w:val="0063302E"/>
    <w:rsid w:val="006449D3"/>
    <w:rsid w:val="006757ED"/>
    <w:rsid w:val="00694F9E"/>
    <w:rsid w:val="006A2EB4"/>
    <w:rsid w:val="006A3855"/>
    <w:rsid w:val="006A6F3E"/>
    <w:rsid w:val="006D1DF1"/>
    <w:rsid w:val="006E23B5"/>
    <w:rsid w:val="007362FC"/>
    <w:rsid w:val="0073633D"/>
    <w:rsid w:val="00744DF3"/>
    <w:rsid w:val="00752DC5"/>
    <w:rsid w:val="0077369E"/>
    <w:rsid w:val="00785395"/>
    <w:rsid w:val="007A7766"/>
    <w:rsid w:val="007B1A9A"/>
    <w:rsid w:val="007B622A"/>
    <w:rsid w:val="007C4380"/>
    <w:rsid w:val="007C6800"/>
    <w:rsid w:val="007D540A"/>
    <w:rsid w:val="007D722D"/>
    <w:rsid w:val="007D7B59"/>
    <w:rsid w:val="00811348"/>
    <w:rsid w:val="0081559F"/>
    <w:rsid w:val="00816EEC"/>
    <w:rsid w:val="0081766C"/>
    <w:rsid w:val="00821F7B"/>
    <w:rsid w:val="00831A2C"/>
    <w:rsid w:val="008753F0"/>
    <w:rsid w:val="00886E45"/>
    <w:rsid w:val="008933D5"/>
    <w:rsid w:val="00893827"/>
    <w:rsid w:val="008B0BDB"/>
    <w:rsid w:val="008C0D69"/>
    <w:rsid w:val="008F0E0D"/>
    <w:rsid w:val="008F2D00"/>
    <w:rsid w:val="008F403E"/>
    <w:rsid w:val="00917C21"/>
    <w:rsid w:val="00923B5B"/>
    <w:rsid w:val="00937BD6"/>
    <w:rsid w:val="00945706"/>
    <w:rsid w:val="00960B4A"/>
    <w:rsid w:val="009614DC"/>
    <w:rsid w:val="0096443D"/>
    <w:rsid w:val="00985A8D"/>
    <w:rsid w:val="00986970"/>
    <w:rsid w:val="009C2FDF"/>
    <w:rsid w:val="009E610E"/>
    <w:rsid w:val="009F096A"/>
    <w:rsid w:val="00A00B46"/>
    <w:rsid w:val="00A4037A"/>
    <w:rsid w:val="00A50CA6"/>
    <w:rsid w:val="00A5187D"/>
    <w:rsid w:val="00A76857"/>
    <w:rsid w:val="00A77B0B"/>
    <w:rsid w:val="00A84928"/>
    <w:rsid w:val="00A866E6"/>
    <w:rsid w:val="00A930EB"/>
    <w:rsid w:val="00AA276D"/>
    <w:rsid w:val="00AB464D"/>
    <w:rsid w:val="00AB53FD"/>
    <w:rsid w:val="00AF76C1"/>
    <w:rsid w:val="00B00DED"/>
    <w:rsid w:val="00B15B2E"/>
    <w:rsid w:val="00B16EAA"/>
    <w:rsid w:val="00B365FA"/>
    <w:rsid w:val="00B40857"/>
    <w:rsid w:val="00B82124"/>
    <w:rsid w:val="00B91287"/>
    <w:rsid w:val="00B95B1E"/>
    <w:rsid w:val="00BA3A6F"/>
    <w:rsid w:val="00BB096E"/>
    <w:rsid w:val="00BC11C2"/>
    <w:rsid w:val="00BD2D28"/>
    <w:rsid w:val="00BD33DD"/>
    <w:rsid w:val="00BE5449"/>
    <w:rsid w:val="00C0542A"/>
    <w:rsid w:val="00C17872"/>
    <w:rsid w:val="00C245E0"/>
    <w:rsid w:val="00C269CA"/>
    <w:rsid w:val="00C41720"/>
    <w:rsid w:val="00C979A2"/>
    <w:rsid w:val="00CA384D"/>
    <w:rsid w:val="00CD1CFF"/>
    <w:rsid w:val="00CD327F"/>
    <w:rsid w:val="00CD5134"/>
    <w:rsid w:val="00D0262A"/>
    <w:rsid w:val="00D21AAD"/>
    <w:rsid w:val="00D27297"/>
    <w:rsid w:val="00D60F4F"/>
    <w:rsid w:val="00D7017D"/>
    <w:rsid w:val="00D80F41"/>
    <w:rsid w:val="00D83AEA"/>
    <w:rsid w:val="00D83F6F"/>
    <w:rsid w:val="00D8404E"/>
    <w:rsid w:val="00DA25FB"/>
    <w:rsid w:val="00DB7013"/>
    <w:rsid w:val="00DB78C9"/>
    <w:rsid w:val="00DC7BD7"/>
    <w:rsid w:val="00DE72C2"/>
    <w:rsid w:val="00DF18B2"/>
    <w:rsid w:val="00DF4357"/>
    <w:rsid w:val="00E12D70"/>
    <w:rsid w:val="00E14829"/>
    <w:rsid w:val="00E34C2B"/>
    <w:rsid w:val="00E47324"/>
    <w:rsid w:val="00E47556"/>
    <w:rsid w:val="00E72589"/>
    <w:rsid w:val="00E73F34"/>
    <w:rsid w:val="00E75F3A"/>
    <w:rsid w:val="00E772C5"/>
    <w:rsid w:val="00E9384C"/>
    <w:rsid w:val="00E943F8"/>
    <w:rsid w:val="00E9585E"/>
    <w:rsid w:val="00EA1533"/>
    <w:rsid w:val="00EA2C60"/>
    <w:rsid w:val="00EC6D4F"/>
    <w:rsid w:val="00ED19D2"/>
    <w:rsid w:val="00EE1943"/>
    <w:rsid w:val="00F021E2"/>
    <w:rsid w:val="00F022DA"/>
    <w:rsid w:val="00F0671F"/>
    <w:rsid w:val="00F1021E"/>
    <w:rsid w:val="00F450B2"/>
    <w:rsid w:val="00F45161"/>
    <w:rsid w:val="00F56DCB"/>
    <w:rsid w:val="00F927BA"/>
    <w:rsid w:val="00FA1A51"/>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2471A9"/>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semiHidden/>
    <w:rsid w:val="002471A9"/>
    <w:rPr>
      <w:rFonts w:ascii="Times New Roman" w:hAnsi="Times New Roman"/>
      <w:sz w:val="20"/>
      <w:szCs w:val="20"/>
    </w:rPr>
  </w:style>
  <w:style w:type="character" w:styleId="Odwoanieprzypisudolnego">
    <w:name w:val="footnote reference"/>
    <w:basedOn w:val="Domylnaczcionkaakapitu"/>
    <w:uiPriority w:val="99"/>
    <w:semiHidden/>
    <w:unhideWhenUsed/>
    <w:rsid w:val="002471A9"/>
    <w:rPr>
      <w:vertAlign w:val="superscript"/>
    </w:rPr>
  </w:style>
  <w:style w:type="table" w:styleId="Tabela-Siatka">
    <w:name w:val="Table Grid"/>
    <w:basedOn w:val="Standardowy"/>
    <w:uiPriority w:val="59"/>
    <w:rsid w:val="00DC7BD7"/>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6277</Words>
  <Characters>37667</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Agnieszka Błoszyk</cp:lastModifiedBy>
  <cp:revision>9</cp:revision>
  <cp:lastPrinted>2023-12-22T10:06:00Z</cp:lastPrinted>
  <dcterms:created xsi:type="dcterms:W3CDTF">2024-03-19T10:21:00Z</dcterms:created>
  <dcterms:modified xsi:type="dcterms:W3CDTF">2024-03-19T13:49:00Z</dcterms:modified>
</cp:coreProperties>
</file>