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8C3A37" w14:textId="77777777" w:rsidR="001E33D8" w:rsidRDefault="001E33D8" w:rsidP="001E33D8">
      <w:pPr>
        <w:spacing w:after="0" w:line="240" w:lineRule="auto"/>
        <w:ind w:right="5668"/>
        <w:jc w:val="center"/>
        <w:rPr>
          <w:rFonts w:cstheme="minorHAnsi"/>
          <w:bCs/>
          <w:sz w:val="28"/>
          <w:szCs w:val="28"/>
        </w:rPr>
      </w:pPr>
    </w:p>
    <w:p w14:paraId="3921E045" w14:textId="1F22365C" w:rsidR="001E33D8" w:rsidRPr="005673DE" w:rsidRDefault="001E33D8" w:rsidP="001E33D8">
      <w:pPr>
        <w:spacing w:after="0" w:line="240" w:lineRule="auto"/>
        <w:ind w:right="5668"/>
        <w:jc w:val="center"/>
        <w:rPr>
          <w:rFonts w:cstheme="minorHAnsi"/>
          <w:bCs/>
          <w:sz w:val="28"/>
          <w:szCs w:val="28"/>
        </w:rPr>
      </w:pPr>
      <w:r w:rsidRPr="005673DE">
        <w:rPr>
          <w:rFonts w:cstheme="minorHAnsi"/>
          <w:bCs/>
          <w:sz w:val="28"/>
          <w:szCs w:val="28"/>
        </w:rPr>
        <w:t>Burmistrz Śremu</w:t>
      </w:r>
    </w:p>
    <w:p w14:paraId="63A58344" w14:textId="77777777" w:rsidR="001E33D8" w:rsidRPr="005673DE" w:rsidRDefault="001E33D8" w:rsidP="001E33D8">
      <w:pPr>
        <w:spacing w:after="0" w:line="240" w:lineRule="auto"/>
        <w:ind w:right="5668"/>
        <w:jc w:val="center"/>
        <w:rPr>
          <w:rFonts w:cstheme="minorHAnsi"/>
          <w:bCs/>
          <w:sz w:val="28"/>
          <w:szCs w:val="28"/>
        </w:rPr>
      </w:pPr>
      <w:r w:rsidRPr="005673DE">
        <w:rPr>
          <w:rFonts w:cstheme="minorHAnsi"/>
          <w:bCs/>
          <w:sz w:val="28"/>
          <w:szCs w:val="28"/>
        </w:rPr>
        <w:t>ul. Plac 20 Października 1</w:t>
      </w:r>
    </w:p>
    <w:p w14:paraId="5FA9BD7D" w14:textId="7EE7B3B2" w:rsidR="001E33D8" w:rsidRPr="005673DE" w:rsidRDefault="001E33D8" w:rsidP="001E33D8">
      <w:pPr>
        <w:spacing w:after="0" w:line="240" w:lineRule="auto"/>
        <w:ind w:right="5668"/>
        <w:jc w:val="center"/>
        <w:rPr>
          <w:rFonts w:cstheme="minorHAnsi"/>
          <w:bCs/>
          <w:sz w:val="28"/>
          <w:szCs w:val="28"/>
        </w:rPr>
      </w:pPr>
      <w:r w:rsidRPr="005673DE">
        <w:rPr>
          <w:rFonts w:cstheme="minorHAnsi"/>
          <w:bCs/>
          <w:sz w:val="28"/>
          <w:szCs w:val="28"/>
        </w:rPr>
        <w:t>63</w:t>
      </w:r>
      <w:r w:rsidR="00F0671F">
        <w:rPr>
          <w:rFonts w:cstheme="minorHAnsi"/>
          <w:bCs/>
          <w:sz w:val="28"/>
          <w:szCs w:val="28"/>
        </w:rPr>
        <w:t>-</w:t>
      </w:r>
      <w:r w:rsidRPr="005673DE">
        <w:rPr>
          <w:rFonts w:cstheme="minorHAnsi"/>
          <w:bCs/>
          <w:sz w:val="28"/>
          <w:szCs w:val="28"/>
        </w:rPr>
        <w:t>100 Śrem</w:t>
      </w:r>
    </w:p>
    <w:p w14:paraId="0DD752EF" w14:textId="7864A3E8" w:rsidR="001E33D8" w:rsidRPr="005673DE" w:rsidRDefault="001E33D8" w:rsidP="001E33D8">
      <w:pPr>
        <w:spacing w:after="120" w:line="240" w:lineRule="auto"/>
        <w:jc w:val="right"/>
        <w:rPr>
          <w:rFonts w:cstheme="minorHAnsi"/>
          <w:sz w:val="28"/>
          <w:szCs w:val="28"/>
        </w:rPr>
      </w:pPr>
      <w:r w:rsidRPr="005673DE">
        <w:rPr>
          <w:rFonts w:cstheme="minorHAnsi"/>
          <w:sz w:val="28"/>
          <w:szCs w:val="28"/>
        </w:rPr>
        <w:t>Śrem,</w:t>
      </w:r>
      <w:r w:rsidR="009E610E">
        <w:rPr>
          <w:rFonts w:cstheme="minorHAnsi"/>
          <w:sz w:val="28"/>
          <w:szCs w:val="28"/>
        </w:rPr>
        <w:t xml:space="preserve"> </w:t>
      </w:r>
      <w:r w:rsidR="00A4222A">
        <w:rPr>
          <w:rFonts w:cstheme="minorHAnsi"/>
          <w:sz w:val="28"/>
          <w:szCs w:val="28"/>
        </w:rPr>
        <w:t>21</w:t>
      </w:r>
      <w:r w:rsidR="009E610E">
        <w:rPr>
          <w:rFonts w:cstheme="minorHAnsi"/>
          <w:sz w:val="28"/>
          <w:szCs w:val="28"/>
        </w:rPr>
        <w:t xml:space="preserve"> </w:t>
      </w:r>
      <w:r w:rsidR="00CD327F">
        <w:rPr>
          <w:rFonts w:cstheme="minorHAnsi"/>
          <w:sz w:val="28"/>
          <w:szCs w:val="28"/>
        </w:rPr>
        <w:t>marca</w:t>
      </w:r>
      <w:r w:rsidR="00A50CA6" w:rsidRPr="005673DE">
        <w:rPr>
          <w:rFonts w:cstheme="minorHAnsi"/>
          <w:sz w:val="28"/>
          <w:szCs w:val="28"/>
        </w:rPr>
        <w:t xml:space="preserve"> 202</w:t>
      </w:r>
      <w:r w:rsidR="00893827">
        <w:rPr>
          <w:rFonts w:cstheme="minorHAnsi"/>
          <w:sz w:val="28"/>
          <w:szCs w:val="28"/>
        </w:rPr>
        <w:t>4</w:t>
      </w:r>
      <w:r w:rsidRPr="005673DE">
        <w:rPr>
          <w:rFonts w:cstheme="minorHAnsi"/>
          <w:sz w:val="28"/>
          <w:szCs w:val="28"/>
        </w:rPr>
        <w:t xml:space="preserve"> r.</w:t>
      </w:r>
    </w:p>
    <w:p w14:paraId="18954B3B" w14:textId="58625996" w:rsidR="001E33D8" w:rsidRPr="005673DE" w:rsidRDefault="001E33D8" w:rsidP="001E33D8">
      <w:pPr>
        <w:spacing w:after="120" w:line="240" w:lineRule="auto"/>
        <w:rPr>
          <w:rFonts w:cstheme="minorHAnsi"/>
          <w:sz w:val="28"/>
          <w:szCs w:val="28"/>
        </w:rPr>
      </w:pPr>
      <w:r w:rsidRPr="005673DE">
        <w:rPr>
          <w:rFonts w:cstheme="minorHAnsi"/>
          <w:sz w:val="28"/>
          <w:szCs w:val="28"/>
        </w:rPr>
        <w:t>PPSPP.673</w:t>
      </w:r>
      <w:r w:rsidR="008F403E">
        <w:rPr>
          <w:rFonts w:cstheme="minorHAnsi"/>
          <w:sz w:val="28"/>
          <w:szCs w:val="28"/>
        </w:rPr>
        <w:t>0.</w:t>
      </w:r>
      <w:r w:rsidR="00434AC0">
        <w:rPr>
          <w:rFonts w:cstheme="minorHAnsi"/>
          <w:sz w:val="28"/>
          <w:szCs w:val="28"/>
        </w:rPr>
        <w:t>195.2023.GMON</w:t>
      </w:r>
    </w:p>
    <w:p w14:paraId="3273D6F3" w14:textId="3CAD714F" w:rsidR="001E33D8" w:rsidRPr="005673DE" w:rsidRDefault="001E33D8" w:rsidP="001E33D8">
      <w:pPr>
        <w:keepNext/>
        <w:keepLines/>
        <w:spacing w:after="120" w:line="240" w:lineRule="auto"/>
        <w:jc w:val="center"/>
        <w:outlineLvl w:val="0"/>
        <w:rPr>
          <w:rFonts w:eastAsia="Times New Roman" w:cstheme="minorHAnsi"/>
          <w:sz w:val="28"/>
          <w:szCs w:val="28"/>
        </w:rPr>
      </w:pPr>
      <w:r w:rsidRPr="005673DE">
        <w:rPr>
          <w:rFonts w:eastAsia="Times New Roman" w:cstheme="minorHAnsi"/>
          <w:sz w:val="28"/>
          <w:szCs w:val="28"/>
        </w:rPr>
        <w:t>Obwieszczenie</w:t>
      </w:r>
      <w:r w:rsidRPr="005673DE">
        <w:rPr>
          <w:rFonts w:eastAsia="Times New Roman" w:cstheme="minorHAnsi"/>
          <w:sz w:val="28"/>
          <w:szCs w:val="28"/>
        </w:rPr>
        <w:br/>
        <w:t xml:space="preserve">o wydaniu decyzji o </w:t>
      </w:r>
      <w:r w:rsidR="008F403E">
        <w:rPr>
          <w:rFonts w:eastAsia="Times New Roman" w:cstheme="minorHAnsi"/>
          <w:sz w:val="28"/>
          <w:szCs w:val="28"/>
        </w:rPr>
        <w:t xml:space="preserve">warunkach zabudowy </w:t>
      </w:r>
    </w:p>
    <w:p w14:paraId="67D0B912" w14:textId="77777777" w:rsidR="00FD4A8F" w:rsidRDefault="00FD4A8F" w:rsidP="001E33D8">
      <w:pPr>
        <w:spacing w:after="120" w:line="240" w:lineRule="auto"/>
        <w:ind w:firstLine="567"/>
        <w:jc w:val="both"/>
        <w:rPr>
          <w:rFonts w:eastAsia="Times New Roman" w:cstheme="minorHAnsi"/>
          <w:sz w:val="28"/>
          <w:szCs w:val="28"/>
          <w:lang w:eastAsia="pl-PL"/>
        </w:rPr>
      </w:pPr>
    </w:p>
    <w:p w14:paraId="61D24430" w14:textId="1ECEA940" w:rsidR="00A00B46" w:rsidRPr="001E4641" w:rsidRDefault="00A00B46" w:rsidP="00694F9E">
      <w:pPr>
        <w:spacing w:after="120" w:line="240" w:lineRule="auto"/>
        <w:ind w:firstLine="709"/>
        <w:jc w:val="both"/>
        <w:rPr>
          <w:rFonts w:cstheme="minorHAnsi"/>
          <w:sz w:val="28"/>
          <w:szCs w:val="28"/>
        </w:rPr>
      </w:pPr>
      <w:r>
        <w:rPr>
          <w:rFonts w:cstheme="minorHAnsi"/>
          <w:sz w:val="28"/>
          <w:szCs w:val="28"/>
        </w:rPr>
        <w:t>Z</w:t>
      </w:r>
      <w:r w:rsidRPr="00BF5DED">
        <w:rPr>
          <w:rFonts w:cstheme="minorHAnsi"/>
          <w:sz w:val="28"/>
          <w:szCs w:val="28"/>
        </w:rPr>
        <w:t>awiadamiam</w:t>
      </w:r>
      <w:r w:rsidRPr="008B59DF">
        <w:rPr>
          <w:rFonts w:cstheme="minorHAnsi"/>
          <w:sz w:val="28"/>
          <w:szCs w:val="28"/>
          <w:vertAlign w:val="superscript"/>
        </w:rPr>
        <w:t>1</w:t>
      </w:r>
      <w:r>
        <w:rPr>
          <w:rFonts w:cstheme="minorHAnsi"/>
          <w:sz w:val="28"/>
          <w:szCs w:val="28"/>
        </w:rPr>
        <w:t xml:space="preserve">, </w:t>
      </w:r>
      <w:r w:rsidRPr="000A38FE">
        <w:rPr>
          <w:rFonts w:cstheme="minorHAnsi"/>
          <w:sz w:val="28"/>
          <w:szCs w:val="28"/>
        </w:rPr>
        <w:t>przez podanie do publicznej wiadomości</w:t>
      </w:r>
      <w:r>
        <w:rPr>
          <w:rFonts w:cstheme="minorHAnsi"/>
          <w:sz w:val="28"/>
          <w:szCs w:val="28"/>
        </w:rPr>
        <w:t xml:space="preserve"> </w:t>
      </w:r>
      <w:r w:rsidRPr="000A38FE">
        <w:rPr>
          <w:rFonts w:cstheme="minorHAnsi"/>
          <w:sz w:val="28"/>
          <w:szCs w:val="28"/>
        </w:rPr>
        <w:t xml:space="preserve">w Biuletynie Informacji Publicznej Urzędu </w:t>
      </w:r>
      <w:r>
        <w:rPr>
          <w:rFonts w:cstheme="minorHAnsi"/>
          <w:sz w:val="28"/>
          <w:szCs w:val="28"/>
        </w:rPr>
        <w:t>Miejskiego w Śremie</w:t>
      </w:r>
      <w:r w:rsidRPr="000A38FE">
        <w:rPr>
          <w:rFonts w:cstheme="minorHAnsi"/>
          <w:sz w:val="28"/>
          <w:szCs w:val="28"/>
        </w:rPr>
        <w:t>,</w:t>
      </w:r>
      <w:r>
        <w:rPr>
          <w:rFonts w:cstheme="minorHAnsi"/>
          <w:sz w:val="28"/>
          <w:szCs w:val="28"/>
        </w:rPr>
        <w:t xml:space="preserve"> </w:t>
      </w:r>
      <w:r w:rsidRPr="000A38FE">
        <w:rPr>
          <w:rFonts w:cstheme="minorHAnsi"/>
          <w:sz w:val="28"/>
          <w:szCs w:val="28"/>
        </w:rPr>
        <w:t xml:space="preserve">na elektronicznej tablicy ogłoszeń w siedzibie tut. </w:t>
      </w:r>
      <w:r w:rsidR="00434AC0" w:rsidRPr="000A38FE">
        <w:rPr>
          <w:rFonts w:cstheme="minorHAnsi"/>
          <w:sz w:val="28"/>
          <w:szCs w:val="28"/>
        </w:rPr>
        <w:t>O</w:t>
      </w:r>
      <w:r w:rsidRPr="000A38FE">
        <w:rPr>
          <w:rFonts w:cstheme="minorHAnsi"/>
          <w:sz w:val="28"/>
          <w:szCs w:val="28"/>
        </w:rPr>
        <w:t>rganu</w:t>
      </w:r>
      <w:r w:rsidR="00434AC0">
        <w:rPr>
          <w:rFonts w:cstheme="minorHAnsi"/>
          <w:sz w:val="28"/>
          <w:szCs w:val="28"/>
        </w:rPr>
        <w:t xml:space="preserve"> oraz na tablicy ogłoszeń w sołectwie Mórka</w:t>
      </w:r>
      <w:r>
        <w:rPr>
          <w:rFonts w:cstheme="minorHAnsi"/>
          <w:sz w:val="28"/>
          <w:szCs w:val="28"/>
        </w:rPr>
        <w:t xml:space="preserve">, </w:t>
      </w:r>
      <w:r w:rsidRPr="00BF5DED">
        <w:rPr>
          <w:rFonts w:cstheme="minorHAnsi"/>
          <w:sz w:val="28"/>
          <w:szCs w:val="28"/>
        </w:rPr>
        <w:t>o</w:t>
      </w:r>
      <w:r>
        <w:rPr>
          <w:rFonts w:cstheme="minorHAnsi"/>
          <w:sz w:val="28"/>
          <w:szCs w:val="28"/>
        </w:rPr>
        <w:t xml:space="preserve"> wydaniu </w:t>
      </w:r>
      <w:r w:rsidR="00434AC0">
        <w:rPr>
          <w:rFonts w:cstheme="minorHAnsi"/>
          <w:sz w:val="28"/>
          <w:szCs w:val="28"/>
        </w:rPr>
        <w:t>20</w:t>
      </w:r>
      <w:r w:rsidR="00CD327F">
        <w:rPr>
          <w:rFonts w:cstheme="minorHAnsi"/>
          <w:sz w:val="28"/>
          <w:szCs w:val="28"/>
        </w:rPr>
        <w:t>.03</w:t>
      </w:r>
      <w:r>
        <w:rPr>
          <w:rFonts w:cstheme="minorHAnsi"/>
          <w:sz w:val="28"/>
          <w:szCs w:val="28"/>
        </w:rPr>
        <w:t xml:space="preserve">.2024 r. przez Burmistrza </w:t>
      </w:r>
      <w:r w:rsidRPr="00CD327F">
        <w:rPr>
          <w:rFonts w:cstheme="minorHAnsi"/>
          <w:sz w:val="28"/>
          <w:szCs w:val="28"/>
        </w:rPr>
        <w:t xml:space="preserve">Śremu decyzji nr </w:t>
      </w:r>
      <w:r w:rsidR="008F403E">
        <w:rPr>
          <w:rFonts w:cstheme="minorHAnsi"/>
          <w:sz w:val="28"/>
          <w:szCs w:val="28"/>
        </w:rPr>
        <w:t>2</w:t>
      </w:r>
      <w:r w:rsidR="00434AC0">
        <w:rPr>
          <w:rFonts w:cstheme="minorHAnsi"/>
          <w:sz w:val="28"/>
          <w:szCs w:val="28"/>
        </w:rPr>
        <w:t>4</w:t>
      </w:r>
      <w:r w:rsidRPr="00CD327F">
        <w:rPr>
          <w:rFonts w:cstheme="minorHAnsi"/>
          <w:sz w:val="28"/>
          <w:szCs w:val="28"/>
        </w:rPr>
        <w:t>/2024 o </w:t>
      </w:r>
      <w:r w:rsidR="008F403E">
        <w:rPr>
          <w:rFonts w:cstheme="minorHAnsi"/>
          <w:sz w:val="28"/>
          <w:szCs w:val="28"/>
        </w:rPr>
        <w:t xml:space="preserve">warunkach zabudowy </w:t>
      </w:r>
      <w:r w:rsidR="003D7718">
        <w:rPr>
          <w:rFonts w:cstheme="minorHAnsi"/>
          <w:sz w:val="28"/>
          <w:szCs w:val="28"/>
        </w:rPr>
        <w:t>dla przedsięwzięcia:</w:t>
      </w:r>
      <w:r w:rsidR="008F403E">
        <w:rPr>
          <w:rFonts w:cstheme="minorHAnsi"/>
          <w:sz w:val="28"/>
          <w:szCs w:val="28"/>
        </w:rPr>
        <w:t xml:space="preserve"> </w:t>
      </w:r>
      <w:r w:rsidR="00C979A2">
        <w:rPr>
          <w:rFonts w:cstheme="minorHAnsi"/>
          <w:sz w:val="28"/>
          <w:szCs w:val="28"/>
        </w:rPr>
        <w:t>budow</w:t>
      </w:r>
      <w:r w:rsidR="003D7718">
        <w:rPr>
          <w:rFonts w:cstheme="minorHAnsi"/>
          <w:sz w:val="28"/>
          <w:szCs w:val="28"/>
        </w:rPr>
        <w:t>a</w:t>
      </w:r>
      <w:r w:rsidR="00C979A2">
        <w:rPr>
          <w:rFonts w:cstheme="minorHAnsi"/>
          <w:sz w:val="28"/>
          <w:szCs w:val="28"/>
        </w:rPr>
        <w:t xml:space="preserve"> </w:t>
      </w:r>
      <w:r w:rsidR="00434AC0">
        <w:rPr>
          <w:rFonts w:cstheme="minorHAnsi"/>
          <w:sz w:val="28"/>
          <w:szCs w:val="28"/>
        </w:rPr>
        <w:t xml:space="preserve">trzech budynków mieszkalnych jednorodzinnych i drogi wewnętrznej </w:t>
      </w:r>
      <w:r w:rsidR="008F403E">
        <w:rPr>
          <w:rFonts w:cstheme="minorHAnsi"/>
          <w:sz w:val="28"/>
          <w:szCs w:val="28"/>
        </w:rPr>
        <w:t xml:space="preserve">na terenie </w:t>
      </w:r>
      <w:r w:rsidR="00434AC0">
        <w:rPr>
          <w:rFonts w:cstheme="minorHAnsi"/>
          <w:sz w:val="28"/>
          <w:szCs w:val="28"/>
        </w:rPr>
        <w:t xml:space="preserve">części </w:t>
      </w:r>
      <w:r w:rsidR="008F403E">
        <w:rPr>
          <w:rFonts w:cstheme="minorHAnsi"/>
          <w:sz w:val="28"/>
          <w:szCs w:val="28"/>
        </w:rPr>
        <w:t>działki o</w:t>
      </w:r>
      <w:r w:rsidR="00434AC0">
        <w:rPr>
          <w:rFonts w:cstheme="minorHAnsi"/>
          <w:sz w:val="28"/>
          <w:szCs w:val="28"/>
        </w:rPr>
        <w:t> </w:t>
      </w:r>
      <w:r w:rsidR="008F403E">
        <w:rPr>
          <w:rFonts w:cstheme="minorHAnsi"/>
          <w:sz w:val="28"/>
          <w:szCs w:val="28"/>
        </w:rPr>
        <w:t xml:space="preserve">nr ewid. </w:t>
      </w:r>
      <w:r w:rsidR="00434AC0">
        <w:rPr>
          <w:rFonts w:cstheme="minorHAnsi"/>
          <w:sz w:val="28"/>
          <w:szCs w:val="28"/>
        </w:rPr>
        <w:t>214</w:t>
      </w:r>
      <w:r w:rsidR="008F403E">
        <w:rPr>
          <w:rFonts w:cstheme="minorHAnsi"/>
          <w:sz w:val="28"/>
          <w:szCs w:val="28"/>
        </w:rPr>
        <w:t xml:space="preserve">, obręb </w:t>
      </w:r>
      <w:r w:rsidR="00434AC0">
        <w:rPr>
          <w:rFonts w:cstheme="minorHAnsi"/>
          <w:sz w:val="28"/>
          <w:szCs w:val="28"/>
        </w:rPr>
        <w:t>Mórka</w:t>
      </w:r>
      <w:r w:rsidR="008F403E">
        <w:rPr>
          <w:rFonts w:cstheme="minorHAnsi"/>
          <w:sz w:val="28"/>
          <w:szCs w:val="28"/>
        </w:rPr>
        <w:t xml:space="preserve"> (ul.</w:t>
      </w:r>
      <w:r w:rsidR="00013972">
        <w:rPr>
          <w:rFonts w:cstheme="minorHAnsi"/>
          <w:sz w:val="28"/>
          <w:szCs w:val="28"/>
        </w:rPr>
        <w:t> </w:t>
      </w:r>
      <w:r w:rsidR="00434AC0">
        <w:rPr>
          <w:rFonts w:cstheme="minorHAnsi"/>
          <w:sz w:val="28"/>
          <w:szCs w:val="28"/>
        </w:rPr>
        <w:t>Śremska</w:t>
      </w:r>
      <w:r w:rsidR="008F403E">
        <w:rPr>
          <w:rFonts w:cstheme="minorHAnsi"/>
          <w:sz w:val="28"/>
          <w:szCs w:val="28"/>
        </w:rPr>
        <w:t xml:space="preserve">), na rzecz osoby fizycznej. </w:t>
      </w:r>
      <w:r w:rsidR="00D83F6F">
        <w:rPr>
          <w:rFonts w:cstheme="minorHAnsi"/>
          <w:sz w:val="28"/>
          <w:szCs w:val="28"/>
        </w:rPr>
        <w:t xml:space="preserve"> </w:t>
      </w:r>
    </w:p>
    <w:p w14:paraId="5A8EC067" w14:textId="4DF3D418" w:rsidR="00A00B46" w:rsidRPr="00001FCD" w:rsidRDefault="00A00B46" w:rsidP="00A00B46">
      <w:pPr>
        <w:spacing w:after="120" w:line="240" w:lineRule="auto"/>
        <w:ind w:firstLine="708"/>
        <w:jc w:val="both"/>
        <w:rPr>
          <w:rFonts w:cstheme="minorHAnsi"/>
          <w:sz w:val="28"/>
          <w:szCs w:val="28"/>
        </w:rPr>
      </w:pPr>
      <w:r w:rsidRPr="00E47556">
        <w:rPr>
          <w:rFonts w:cstheme="minorHAnsi"/>
          <w:sz w:val="28"/>
          <w:szCs w:val="28"/>
        </w:rPr>
        <w:t xml:space="preserve">W związku z powyższym informuję, że strony niniejszego postępowania lub ich przedstawiciele i pełnomocnicy mogą zapoznać się z </w:t>
      </w:r>
      <w:r>
        <w:rPr>
          <w:rFonts w:cstheme="minorHAnsi"/>
          <w:sz w:val="28"/>
          <w:szCs w:val="28"/>
        </w:rPr>
        <w:t xml:space="preserve">wydaną decyzją oraz </w:t>
      </w:r>
      <w:r w:rsidRPr="00E47556">
        <w:rPr>
          <w:rFonts w:cstheme="minorHAnsi"/>
          <w:sz w:val="28"/>
          <w:szCs w:val="28"/>
        </w:rPr>
        <w:t>aktami sprawy (</w:t>
      </w:r>
      <w:r>
        <w:rPr>
          <w:rFonts w:cstheme="minorHAnsi"/>
          <w:sz w:val="28"/>
          <w:szCs w:val="28"/>
        </w:rPr>
        <w:t>PPSPP.673</w:t>
      </w:r>
      <w:r w:rsidR="008F403E">
        <w:rPr>
          <w:rFonts w:cstheme="minorHAnsi"/>
          <w:sz w:val="28"/>
          <w:szCs w:val="28"/>
        </w:rPr>
        <w:t>0</w:t>
      </w:r>
      <w:r>
        <w:rPr>
          <w:rFonts w:cstheme="minorHAnsi"/>
          <w:sz w:val="28"/>
          <w:szCs w:val="28"/>
        </w:rPr>
        <w:t>.</w:t>
      </w:r>
      <w:r w:rsidR="00434AC0">
        <w:rPr>
          <w:rFonts w:cstheme="minorHAnsi"/>
          <w:sz w:val="28"/>
          <w:szCs w:val="28"/>
        </w:rPr>
        <w:t>195.2023.GMON</w:t>
      </w:r>
      <w:r w:rsidRPr="00E47556">
        <w:rPr>
          <w:rFonts w:cstheme="minorHAnsi"/>
          <w:sz w:val="28"/>
          <w:szCs w:val="28"/>
        </w:rPr>
        <w:t xml:space="preserve">) </w:t>
      </w:r>
      <w:r>
        <w:rPr>
          <w:rFonts w:cstheme="minorHAnsi"/>
          <w:sz w:val="28"/>
          <w:szCs w:val="28"/>
        </w:rPr>
        <w:t xml:space="preserve">w </w:t>
      </w:r>
      <w:r w:rsidRPr="00001FCD">
        <w:rPr>
          <w:rFonts w:cstheme="minorHAnsi"/>
          <w:sz w:val="28"/>
          <w:szCs w:val="28"/>
        </w:rPr>
        <w:t xml:space="preserve">Zespole </w:t>
      </w:r>
      <w:r>
        <w:rPr>
          <w:rFonts w:cstheme="minorHAnsi"/>
          <w:sz w:val="28"/>
          <w:szCs w:val="28"/>
        </w:rPr>
        <w:t>Planowania Przestrzennego</w:t>
      </w:r>
      <w:r w:rsidRPr="00001FCD">
        <w:rPr>
          <w:rFonts w:cstheme="minorHAnsi"/>
          <w:sz w:val="28"/>
          <w:szCs w:val="28"/>
        </w:rPr>
        <w:t xml:space="preserve"> (biuro nr </w:t>
      </w:r>
      <w:r>
        <w:rPr>
          <w:rFonts w:cstheme="minorHAnsi"/>
          <w:sz w:val="28"/>
          <w:szCs w:val="28"/>
        </w:rPr>
        <w:t>34)</w:t>
      </w:r>
      <w:r w:rsidRPr="00001FCD">
        <w:rPr>
          <w:rFonts w:cstheme="minorHAnsi"/>
          <w:sz w:val="28"/>
          <w:szCs w:val="28"/>
        </w:rPr>
        <w:t xml:space="preserve"> Urzędu Miejskiego w Śremie, ul. Plac 20</w:t>
      </w:r>
      <w:r>
        <w:rPr>
          <w:rFonts w:cstheme="minorHAnsi"/>
          <w:sz w:val="28"/>
          <w:szCs w:val="28"/>
        </w:rPr>
        <w:t> </w:t>
      </w:r>
      <w:r w:rsidRPr="00001FCD">
        <w:rPr>
          <w:rFonts w:cstheme="minorHAnsi"/>
          <w:sz w:val="28"/>
          <w:szCs w:val="28"/>
        </w:rPr>
        <w:t>Października 1, 63</w:t>
      </w:r>
      <w:r>
        <w:rPr>
          <w:rFonts w:cstheme="minorHAnsi"/>
          <w:sz w:val="28"/>
          <w:szCs w:val="28"/>
        </w:rPr>
        <w:t>-</w:t>
      </w:r>
      <w:r w:rsidRPr="00001FCD">
        <w:rPr>
          <w:rFonts w:cstheme="minorHAnsi"/>
          <w:sz w:val="28"/>
          <w:szCs w:val="28"/>
        </w:rPr>
        <w:t xml:space="preserve">100 Śrem, w godzinach od 7:00 do 15:00. </w:t>
      </w:r>
    </w:p>
    <w:p w14:paraId="31780D87" w14:textId="77777777" w:rsidR="00A00B46" w:rsidRPr="005A07CF" w:rsidRDefault="00A00B46" w:rsidP="00A00B46">
      <w:pPr>
        <w:spacing w:after="120" w:line="240" w:lineRule="auto"/>
        <w:ind w:firstLine="709"/>
        <w:jc w:val="both"/>
        <w:rPr>
          <w:rFonts w:cstheme="minorHAnsi"/>
          <w:sz w:val="28"/>
          <w:szCs w:val="28"/>
        </w:rPr>
      </w:pPr>
      <w:r w:rsidRPr="00001FCD">
        <w:rPr>
          <w:rFonts w:cstheme="minorHAnsi"/>
          <w:sz w:val="28"/>
          <w:szCs w:val="28"/>
        </w:rPr>
        <w:t xml:space="preserve">Zawiadomienie przez obwieszczenie uważa się za dokonane po upływie 14 dni od dnia publicznego ogłoszenia stosownie do </w:t>
      </w:r>
      <w:r>
        <w:rPr>
          <w:rFonts w:cstheme="minorHAnsi"/>
          <w:sz w:val="28"/>
          <w:szCs w:val="28"/>
        </w:rPr>
        <w:t>art</w:t>
      </w:r>
      <w:r w:rsidRPr="00001FCD">
        <w:rPr>
          <w:rFonts w:cstheme="minorHAnsi"/>
          <w:sz w:val="28"/>
          <w:szCs w:val="28"/>
        </w:rPr>
        <w:t>. 49 ustawy z dnia 14 czerwca 1960 r. – Kodeks postępowania administracyjnego</w:t>
      </w:r>
      <w:r>
        <w:rPr>
          <w:rFonts w:cstheme="minorHAnsi"/>
          <w:sz w:val="28"/>
          <w:szCs w:val="28"/>
        </w:rPr>
        <w:t xml:space="preserve"> (Dz. U. z 2023 r. poz. 775 i 803). </w:t>
      </w:r>
    </w:p>
    <w:p w14:paraId="65ABD346" w14:textId="77777777" w:rsidR="00A00B46" w:rsidRDefault="00A00B46" w:rsidP="00A00B46">
      <w:pPr>
        <w:spacing w:after="120"/>
        <w:ind w:left="4395"/>
        <w:contextualSpacing/>
        <w:jc w:val="center"/>
        <w:rPr>
          <w:rFonts w:eastAsia="Times New Roman" w:cstheme="minorHAnsi"/>
          <w:sz w:val="28"/>
          <w:szCs w:val="28"/>
          <w:lang w:eastAsia="pl-PL"/>
        </w:rPr>
      </w:pPr>
      <w:r>
        <w:rPr>
          <w:rFonts w:eastAsia="Times New Roman" w:cstheme="minorHAnsi"/>
          <w:sz w:val="28"/>
          <w:szCs w:val="28"/>
          <w:lang w:eastAsia="pl-PL"/>
        </w:rPr>
        <w:t>Adam Lewandowski</w:t>
      </w:r>
    </w:p>
    <w:p w14:paraId="0BD51F77" w14:textId="77777777" w:rsidR="00A00B46" w:rsidRPr="00BB5D03" w:rsidRDefault="00A00B46" w:rsidP="00A00B46">
      <w:pPr>
        <w:spacing w:after="120"/>
        <w:ind w:left="4395"/>
        <w:contextualSpacing/>
        <w:jc w:val="center"/>
        <w:rPr>
          <w:rFonts w:eastAsia="Times New Roman" w:cstheme="minorHAnsi"/>
          <w:sz w:val="28"/>
          <w:szCs w:val="44"/>
        </w:rPr>
      </w:pPr>
      <w:r>
        <w:rPr>
          <w:rFonts w:eastAsia="Times New Roman" w:cstheme="minorHAnsi"/>
          <w:sz w:val="28"/>
          <w:szCs w:val="28"/>
          <w:lang w:eastAsia="pl-PL"/>
        </w:rPr>
        <w:t>Burmistrz Śremu</w:t>
      </w:r>
    </w:p>
    <w:p w14:paraId="0A24D573" w14:textId="2BA75375" w:rsidR="00A00B46" w:rsidRPr="005A07CF" w:rsidRDefault="00A00B46" w:rsidP="00A00B46">
      <w:pPr>
        <w:spacing w:after="120" w:line="240" w:lineRule="auto"/>
        <w:jc w:val="both"/>
        <w:rPr>
          <w:rFonts w:eastAsia="Times New Roman" w:cstheme="minorHAnsi"/>
          <w:sz w:val="28"/>
          <w:szCs w:val="28"/>
          <w:lang w:eastAsia="pl-PL"/>
        </w:rPr>
      </w:pPr>
      <w:r w:rsidRPr="005A07CF">
        <w:rPr>
          <w:rFonts w:eastAsia="Times New Roman" w:cstheme="minorHAnsi"/>
          <w:sz w:val="28"/>
          <w:szCs w:val="28"/>
          <w:lang w:eastAsia="pl-PL"/>
        </w:rPr>
        <w:t xml:space="preserve">Wywieszono: </w:t>
      </w:r>
      <w:r w:rsidR="00CD327F">
        <w:rPr>
          <w:rFonts w:eastAsia="Times New Roman" w:cstheme="minorHAnsi"/>
          <w:sz w:val="28"/>
          <w:szCs w:val="28"/>
          <w:lang w:eastAsia="pl-PL"/>
        </w:rPr>
        <w:t>…</w:t>
      </w:r>
      <w:r w:rsidR="00431C3E">
        <w:rPr>
          <w:rFonts w:eastAsia="Times New Roman" w:cstheme="minorHAnsi"/>
          <w:sz w:val="28"/>
          <w:szCs w:val="28"/>
          <w:lang w:eastAsia="pl-PL"/>
        </w:rPr>
        <w:t>..</w:t>
      </w:r>
      <w:r w:rsidR="00CD327F">
        <w:rPr>
          <w:rFonts w:eastAsia="Times New Roman" w:cstheme="minorHAnsi"/>
          <w:sz w:val="28"/>
          <w:szCs w:val="28"/>
          <w:lang w:eastAsia="pl-PL"/>
        </w:rPr>
        <w:t>.03</w:t>
      </w:r>
      <w:r>
        <w:rPr>
          <w:rFonts w:eastAsia="Times New Roman" w:cstheme="minorHAnsi"/>
          <w:sz w:val="28"/>
          <w:szCs w:val="28"/>
          <w:lang w:eastAsia="pl-PL"/>
        </w:rPr>
        <w:t>.202</w:t>
      </w:r>
      <w:r w:rsidR="00381C5E">
        <w:rPr>
          <w:rFonts w:eastAsia="Times New Roman" w:cstheme="minorHAnsi"/>
          <w:sz w:val="28"/>
          <w:szCs w:val="28"/>
          <w:lang w:eastAsia="pl-PL"/>
        </w:rPr>
        <w:t>4</w:t>
      </w:r>
      <w:r>
        <w:rPr>
          <w:rFonts w:eastAsia="Times New Roman" w:cstheme="minorHAnsi"/>
          <w:sz w:val="28"/>
          <w:szCs w:val="28"/>
          <w:lang w:eastAsia="pl-PL"/>
        </w:rPr>
        <w:t xml:space="preserve"> r.</w:t>
      </w:r>
    </w:p>
    <w:p w14:paraId="421D5F9D" w14:textId="77777777" w:rsidR="00A00B46" w:rsidRDefault="00A00B46" w:rsidP="00A00B46">
      <w:pPr>
        <w:spacing w:after="120" w:line="240" w:lineRule="auto"/>
        <w:jc w:val="both"/>
        <w:rPr>
          <w:rFonts w:eastAsia="Calibri" w:cstheme="minorHAnsi"/>
          <w:sz w:val="28"/>
          <w:szCs w:val="28"/>
        </w:rPr>
      </w:pPr>
      <w:r w:rsidRPr="005A07CF">
        <w:rPr>
          <w:rFonts w:eastAsia="Calibri" w:cstheme="minorHAnsi"/>
          <w:sz w:val="28"/>
          <w:szCs w:val="28"/>
        </w:rPr>
        <w:t>Zdjęto:</w:t>
      </w:r>
      <w:r>
        <w:rPr>
          <w:rFonts w:eastAsia="Calibri" w:cstheme="minorHAnsi"/>
          <w:sz w:val="28"/>
          <w:szCs w:val="28"/>
        </w:rPr>
        <w:t xml:space="preserve"> ………………………………….</w:t>
      </w:r>
    </w:p>
    <w:p w14:paraId="7FDF6BF0" w14:textId="77777777" w:rsidR="007C4380" w:rsidRPr="006A2EB4" w:rsidRDefault="007C4380" w:rsidP="00A00B46">
      <w:pPr>
        <w:spacing w:after="120" w:line="240" w:lineRule="auto"/>
        <w:jc w:val="both"/>
        <w:rPr>
          <w:rFonts w:eastAsia="Calibri" w:cstheme="minorHAnsi"/>
          <w:sz w:val="28"/>
          <w:szCs w:val="28"/>
        </w:rPr>
      </w:pPr>
    </w:p>
    <w:p w14:paraId="6CB23E2B" w14:textId="544BBDBE" w:rsidR="001E33D8" w:rsidRDefault="00A00B46" w:rsidP="007C4380">
      <w:pPr>
        <w:spacing w:after="120" w:line="240" w:lineRule="auto"/>
        <w:jc w:val="both"/>
        <w:rPr>
          <w:rFonts w:cstheme="minorHAnsi"/>
          <w:sz w:val="28"/>
          <w:szCs w:val="28"/>
        </w:rPr>
      </w:pPr>
      <w:r w:rsidRPr="008B59DF">
        <w:rPr>
          <w:rFonts w:cstheme="minorHAnsi"/>
          <w:sz w:val="28"/>
          <w:szCs w:val="28"/>
          <w:vertAlign w:val="superscript"/>
        </w:rPr>
        <w:t>1</w:t>
      </w:r>
      <w:r>
        <w:rPr>
          <w:rFonts w:cstheme="minorHAnsi"/>
          <w:sz w:val="28"/>
          <w:szCs w:val="28"/>
          <w:vertAlign w:val="superscript"/>
        </w:rPr>
        <w:t xml:space="preserve"> </w:t>
      </w:r>
      <w:r>
        <w:rPr>
          <w:rFonts w:cstheme="minorHAnsi"/>
          <w:sz w:val="28"/>
          <w:szCs w:val="28"/>
        </w:rPr>
        <w:t>Podstawa prawna:</w:t>
      </w:r>
      <w:r w:rsidR="008F403E">
        <w:rPr>
          <w:rFonts w:cstheme="minorHAnsi"/>
          <w:sz w:val="28"/>
          <w:szCs w:val="28"/>
        </w:rPr>
        <w:t xml:space="preserve"> art. 49a w związku z art. 104 ustawy z dnia 14 czerwca 1960 r. – Kodeks postępowania administracyjnego (Dz. U. z 2023 r. poz. 775 i 803), w związku z </w:t>
      </w:r>
      <w:r w:rsidRPr="00001FCD">
        <w:rPr>
          <w:rFonts w:cstheme="minorHAnsi"/>
          <w:sz w:val="28"/>
          <w:szCs w:val="28"/>
        </w:rPr>
        <w:t>art. 53 ust. 1</w:t>
      </w:r>
      <w:r w:rsidR="008F403E">
        <w:rPr>
          <w:rFonts w:cstheme="minorHAnsi"/>
          <w:sz w:val="28"/>
          <w:szCs w:val="28"/>
        </w:rPr>
        <w:t>c</w:t>
      </w:r>
      <w:r w:rsidRPr="00001FCD">
        <w:rPr>
          <w:rFonts w:cstheme="minorHAnsi"/>
          <w:sz w:val="28"/>
          <w:szCs w:val="28"/>
        </w:rPr>
        <w:t xml:space="preserve"> ustawy z dnia 27 marca 2003 r. o planowaniu </w:t>
      </w:r>
      <w:r w:rsidRPr="000A38FE">
        <w:rPr>
          <w:rFonts w:cstheme="minorHAnsi"/>
          <w:sz w:val="28"/>
          <w:szCs w:val="28"/>
        </w:rPr>
        <w:t>i zagospodarowaniu przestrzennym (</w:t>
      </w:r>
      <w:r w:rsidRPr="000A38FE">
        <w:rPr>
          <w:sz w:val="28"/>
          <w:szCs w:val="28"/>
        </w:rPr>
        <w:t>Dz. U. z 2023 r. poz. 977, 1506, 1597, 1688, 1890</w:t>
      </w:r>
      <w:r>
        <w:rPr>
          <w:sz w:val="28"/>
          <w:szCs w:val="28"/>
        </w:rPr>
        <w:t xml:space="preserve">, </w:t>
      </w:r>
      <w:r w:rsidRPr="000A38FE">
        <w:rPr>
          <w:sz w:val="28"/>
          <w:szCs w:val="28"/>
        </w:rPr>
        <w:t>2029</w:t>
      </w:r>
      <w:r>
        <w:rPr>
          <w:sz w:val="28"/>
          <w:szCs w:val="28"/>
        </w:rPr>
        <w:t xml:space="preserve"> i 2739</w:t>
      </w:r>
      <w:r w:rsidRPr="000A38FE">
        <w:rPr>
          <w:rFonts w:cstheme="minorHAnsi"/>
          <w:sz w:val="28"/>
          <w:szCs w:val="28"/>
        </w:rPr>
        <w:t>).</w:t>
      </w:r>
    </w:p>
    <w:p w14:paraId="74560A41" w14:textId="77777777" w:rsidR="00E9384C" w:rsidRDefault="00E9384C" w:rsidP="001E33D8">
      <w:pPr>
        <w:rPr>
          <w:rFonts w:ascii="Calibri" w:eastAsia="Times New Roman" w:hAnsi="Calibri" w:cs="Calibri"/>
          <w:color w:val="FF0000"/>
          <w:sz w:val="28"/>
          <w:szCs w:val="28"/>
          <w:highlight w:val="yellow"/>
          <w:lang w:eastAsia="pl-PL"/>
        </w:rPr>
        <w:sectPr w:rsidR="00E9384C" w:rsidSect="00327EF5">
          <w:headerReference w:type="default" r:id="rId8"/>
          <w:footerReference w:type="default" r:id="rId9"/>
          <w:headerReference w:type="first" r:id="rId10"/>
          <w:footerReference w:type="first" r:id="rId11"/>
          <w:pgSz w:w="11906" w:h="16838"/>
          <w:pgMar w:top="1418" w:right="1418" w:bottom="1701" w:left="1701" w:header="709" w:footer="709" w:gutter="0"/>
          <w:cols w:space="708"/>
          <w:titlePg/>
          <w:docGrid w:linePitch="360"/>
        </w:sectPr>
      </w:pPr>
    </w:p>
    <w:p w14:paraId="2F8C16AF" w14:textId="77777777" w:rsidR="00DF4357" w:rsidRPr="00DF4357" w:rsidRDefault="00DF4357" w:rsidP="00DF4357">
      <w:pPr>
        <w:widowControl w:val="0"/>
        <w:autoSpaceDE w:val="0"/>
        <w:autoSpaceDN w:val="0"/>
        <w:adjustRightInd w:val="0"/>
        <w:spacing w:after="0" w:line="240" w:lineRule="auto"/>
        <w:ind w:right="4961"/>
        <w:jc w:val="center"/>
        <w:rPr>
          <w:rFonts w:ascii="Calibri" w:hAnsi="Calibri" w:cs="Calibri"/>
          <w:bCs/>
          <w:sz w:val="28"/>
          <w:szCs w:val="28"/>
        </w:rPr>
      </w:pPr>
      <w:r w:rsidRPr="00DF4357">
        <w:rPr>
          <w:rFonts w:ascii="Calibri" w:hAnsi="Calibri" w:cs="Calibri"/>
          <w:bCs/>
          <w:sz w:val="28"/>
          <w:szCs w:val="28"/>
        </w:rPr>
        <w:lastRenderedPageBreak/>
        <w:t>Burmistrz Śremu</w:t>
      </w:r>
    </w:p>
    <w:p w14:paraId="2C4EF697" w14:textId="77777777" w:rsidR="00DF4357" w:rsidRPr="00DF4357" w:rsidRDefault="00DF4357" w:rsidP="00DF4357">
      <w:pPr>
        <w:widowControl w:val="0"/>
        <w:autoSpaceDE w:val="0"/>
        <w:autoSpaceDN w:val="0"/>
        <w:adjustRightInd w:val="0"/>
        <w:spacing w:after="0" w:line="240" w:lineRule="auto"/>
        <w:ind w:right="4961"/>
        <w:jc w:val="center"/>
        <w:rPr>
          <w:rFonts w:ascii="Calibri" w:hAnsi="Calibri" w:cs="Calibri"/>
          <w:bCs/>
          <w:sz w:val="28"/>
          <w:szCs w:val="28"/>
        </w:rPr>
      </w:pPr>
      <w:r w:rsidRPr="00DF4357">
        <w:rPr>
          <w:rFonts w:ascii="Calibri" w:hAnsi="Calibri" w:cs="Calibri"/>
          <w:bCs/>
          <w:sz w:val="28"/>
          <w:szCs w:val="28"/>
        </w:rPr>
        <w:t>ul. Plac 20 Października 1</w:t>
      </w:r>
    </w:p>
    <w:p w14:paraId="377A93C3" w14:textId="11E70918" w:rsidR="00F022DA" w:rsidRPr="004D2F43" w:rsidRDefault="00DF4357" w:rsidP="004D2F43">
      <w:pPr>
        <w:widowControl w:val="0"/>
        <w:autoSpaceDE w:val="0"/>
        <w:autoSpaceDN w:val="0"/>
        <w:adjustRightInd w:val="0"/>
        <w:spacing w:after="0" w:line="240" w:lineRule="auto"/>
        <w:ind w:right="4961"/>
        <w:jc w:val="center"/>
        <w:rPr>
          <w:rFonts w:ascii="Calibri" w:hAnsi="Calibri" w:cs="Calibri"/>
          <w:bCs/>
          <w:sz w:val="28"/>
          <w:szCs w:val="28"/>
        </w:rPr>
      </w:pPr>
      <w:r w:rsidRPr="00DF4357">
        <w:rPr>
          <w:rFonts w:ascii="Calibri" w:hAnsi="Calibri" w:cs="Calibri"/>
          <w:bCs/>
          <w:sz w:val="28"/>
          <w:szCs w:val="28"/>
        </w:rPr>
        <w:t>63 – 100 Śrem</w:t>
      </w:r>
    </w:p>
    <w:p w14:paraId="3E42BC0C" w14:textId="77777777" w:rsidR="004E397C" w:rsidRPr="004E397C" w:rsidRDefault="004E397C" w:rsidP="004E397C">
      <w:pPr>
        <w:spacing w:after="120" w:line="240" w:lineRule="auto"/>
        <w:ind w:left="567"/>
        <w:jc w:val="right"/>
        <w:rPr>
          <w:rFonts w:cstheme="minorHAnsi"/>
          <w:sz w:val="28"/>
          <w:szCs w:val="28"/>
        </w:rPr>
      </w:pPr>
      <w:r w:rsidRPr="004E397C">
        <w:rPr>
          <w:rFonts w:cstheme="minorHAnsi"/>
          <w:sz w:val="28"/>
          <w:szCs w:val="28"/>
        </w:rPr>
        <w:t>Śrem, 20 marca 2024 r.</w:t>
      </w:r>
    </w:p>
    <w:p w14:paraId="2134E0AB" w14:textId="77777777" w:rsidR="004E397C" w:rsidRPr="004E397C" w:rsidRDefault="004E397C" w:rsidP="004E397C">
      <w:pPr>
        <w:spacing w:after="120" w:line="240" w:lineRule="auto"/>
        <w:jc w:val="both"/>
        <w:rPr>
          <w:rFonts w:cstheme="minorHAnsi"/>
          <w:sz w:val="28"/>
          <w:szCs w:val="28"/>
        </w:rPr>
      </w:pPr>
      <w:r w:rsidRPr="004E397C">
        <w:rPr>
          <w:rFonts w:cstheme="minorHAnsi"/>
          <w:sz w:val="28"/>
          <w:szCs w:val="28"/>
        </w:rPr>
        <w:t>PPSPP.6730.195.2023.GMON</w:t>
      </w:r>
    </w:p>
    <w:p w14:paraId="049BBE77" w14:textId="77777777" w:rsidR="004E397C" w:rsidRPr="004E397C" w:rsidRDefault="004E397C" w:rsidP="004E397C">
      <w:pPr>
        <w:spacing w:after="120" w:line="240" w:lineRule="auto"/>
        <w:jc w:val="center"/>
        <w:rPr>
          <w:rFonts w:cstheme="minorHAnsi"/>
          <w:sz w:val="28"/>
          <w:szCs w:val="28"/>
        </w:rPr>
      </w:pPr>
      <w:r w:rsidRPr="004E397C">
        <w:rPr>
          <w:rFonts w:cstheme="minorHAnsi"/>
          <w:sz w:val="28"/>
          <w:szCs w:val="28"/>
        </w:rPr>
        <w:t>Decyzja nr 24/2024</w:t>
      </w:r>
      <w:r w:rsidRPr="004E397C">
        <w:rPr>
          <w:rFonts w:cstheme="minorHAnsi"/>
          <w:sz w:val="28"/>
          <w:szCs w:val="28"/>
        </w:rPr>
        <w:br/>
        <w:t xml:space="preserve"> o warunkach zabudowy</w:t>
      </w:r>
    </w:p>
    <w:p w14:paraId="65E69380" w14:textId="77777777" w:rsidR="004E397C" w:rsidRPr="004E397C" w:rsidRDefault="004E397C" w:rsidP="004E397C">
      <w:pPr>
        <w:spacing w:after="120" w:line="240" w:lineRule="auto"/>
        <w:jc w:val="center"/>
        <w:rPr>
          <w:rFonts w:cstheme="minorHAnsi"/>
          <w:sz w:val="28"/>
          <w:szCs w:val="28"/>
        </w:rPr>
      </w:pPr>
    </w:p>
    <w:p w14:paraId="59B57F26" w14:textId="77777777" w:rsidR="004E397C" w:rsidRPr="004E397C" w:rsidRDefault="004E397C" w:rsidP="004E397C">
      <w:pPr>
        <w:spacing w:after="120" w:line="240" w:lineRule="auto"/>
        <w:ind w:firstLine="567"/>
        <w:jc w:val="both"/>
        <w:rPr>
          <w:rFonts w:cstheme="minorHAnsi"/>
          <w:sz w:val="28"/>
          <w:szCs w:val="28"/>
        </w:rPr>
      </w:pPr>
      <w:r w:rsidRPr="004E397C">
        <w:rPr>
          <w:rFonts w:cs="Times New Roman"/>
          <w:sz w:val="28"/>
          <w:szCs w:val="28"/>
        </w:rPr>
        <w:t xml:space="preserve">Na podstawie art. 4 ust. 2 pkt 2 w związku z art. 59 ust. 1 i art. 60 ust. 1 ustawy z dnia 27 marca 2003 r. o planowaniu i zagospodarowaniu przestrzennym (Dz. U. z 2023 r. poz. 977, 1506, 1597, 1688, 1890, 2029 i 2739), </w:t>
      </w:r>
      <w:r w:rsidRPr="004E397C">
        <w:rPr>
          <w:rFonts w:cstheme="minorHAnsi"/>
          <w:sz w:val="28"/>
          <w:szCs w:val="28"/>
        </w:rPr>
        <w:t>zwanej dalej u.p.z.p.,</w:t>
      </w:r>
      <w:r w:rsidRPr="004E397C">
        <w:rPr>
          <w:rFonts w:cs="Times New Roman"/>
          <w:sz w:val="28"/>
          <w:szCs w:val="28"/>
        </w:rPr>
        <w:t xml:space="preserve"> oraz art. 104 ustawy z dnia 14 czerwca 1960 r. – Kodeks postępowania administracyjnego (Dz. U. z 2023 r. poz. 775 i 803), zwanej dalej k.p.a., po rozpatrzeniu wniosku </w:t>
      </w:r>
      <w:r w:rsidRPr="004E397C">
        <w:rPr>
          <w:rFonts w:cstheme="minorHAnsi"/>
          <w:sz w:val="28"/>
          <w:szCs w:val="28"/>
        </w:rPr>
        <w:t>złożonego 20.12.2023 r., zmienionego 02.02.2024 r., przez:</w:t>
      </w:r>
    </w:p>
    <w:p w14:paraId="1EB33FDB" w14:textId="035A57D7" w:rsidR="00C979A2" w:rsidRPr="00C979A2" w:rsidRDefault="00D60F4F" w:rsidP="00C979A2">
      <w:pPr>
        <w:spacing w:after="120" w:line="240" w:lineRule="auto"/>
        <w:jc w:val="center"/>
        <w:rPr>
          <w:rFonts w:cstheme="minorHAnsi"/>
          <w:sz w:val="28"/>
          <w:szCs w:val="28"/>
        </w:rPr>
      </w:pPr>
      <w:r>
        <w:rPr>
          <w:rFonts w:cstheme="minorHAnsi"/>
          <w:sz w:val="28"/>
          <w:szCs w:val="28"/>
        </w:rPr>
        <w:t>Osobę fizyczną</w:t>
      </w:r>
    </w:p>
    <w:p w14:paraId="1929D7BD" w14:textId="77777777" w:rsidR="004E397C" w:rsidRPr="004E397C" w:rsidRDefault="004E397C" w:rsidP="004E397C">
      <w:pPr>
        <w:widowControl w:val="0"/>
        <w:tabs>
          <w:tab w:val="left" w:pos="0"/>
        </w:tabs>
        <w:autoSpaceDE w:val="0"/>
        <w:autoSpaceDN w:val="0"/>
        <w:adjustRightInd w:val="0"/>
        <w:spacing w:after="120" w:line="240" w:lineRule="auto"/>
        <w:jc w:val="both"/>
        <w:rPr>
          <w:rFonts w:cstheme="minorHAnsi"/>
          <w:bCs/>
          <w:sz w:val="28"/>
        </w:rPr>
      </w:pPr>
      <w:r w:rsidRPr="004E397C">
        <w:rPr>
          <w:rFonts w:cstheme="minorHAnsi"/>
          <w:sz w:val="28"/>
          <w:szCs w:val="28"/>
        </w:rPr>
        <w:t>w sprawie ustalenia warunków zabudowy dla przedsięwzięcia:</w:t>
      </w:r>
      <w:r w:rsidRPr="004E397C">
        <w:rPr>
          <w:rFonts w:cstheme="minorHAnsi"/>
          <w:sz w:val="28"/>
        </w:rPr>
        <w:t xml:space="preserve"> „budowa trzech budynków mieszkalnych jednorodzinnych i drogi wewnętrznej” na terenie części działki o nr ewid. 214, obręb Mórka</w:t>
      </w:r>
    </w:p>
    <w:p w14:paraId="75461AC4" w14:textId="77777777" w:rsidR="004E397C" w:rsidRPr="004E397C" w:rsidRDefault="004E397C" w:rsidP="004E397C">
      <w:pPr>
        <w:spacing w:after="120" w:line="240" w:lineRule="auto"/>
        <w:jc w:val="center"/>
        <w:rPr>
          <w:rFonts w:cstheme="minorHAnsi"/>
          <w:sz w:val="28"/>
          <w:szCs w:val="28"/>
        </w:rPr>
      </w:pPr>
      <w:r w:rsidRPr="004E397C">
        <w:rPr>
          <w:rFonts w:cstheme="minorHAnsi"/>
          <w:sz w:val="28"/>
          <w:szCs w:val="28"/>
        </w:rPr>
        <w:t>ustalam</w:t>
      </w:r>
      <w:r w:rsidRPr="004E397C">
        <w:rPr>
          <w:rFonts w:cstheme="minorHAnsi"/>
          <w:sz w:val="28"/>
          <w:szCs w:val="28"/>
        </w:rPr>
        <w:br/>
        <w:t xml:space="preserve"> na rzecz Wnioskodawcy</w:t>
      </w:r>
      <w:r w:rsidRPr="004E397C">
        <w:rPr>
          <w:rFonts w:cstheme="minorHAnsi"/>
          <w:sz w:val="28"/>
          <w:szCs w:val="28"/>
        </w:rPr>
        <w:br/>
        <w:t xml:space="preserve"> następujące warunki zabudowy i zagospodarowania terenu:</w:t>
      </w:r>
    </w:p>
    <w:p w14:paraId="1D7DB862" w14:textId="77777777" w:rsidR="004E397C" w:rsidRPr="004E397C" w:rsidRDefault="004E397C" w:rsidP="004E397C">
      <w:pPr>
        <w:numPr>
          <w:ilvl w:val="0"/>
          <w:numId w:val="31"/>
        </w:numPr>
        <w:tabs>
          <w:tab w:val="left" w:pos="426"/>
        </w:tabs>
        <w:spacing w:after="120" w:line="240" w:lineRule="auto"/>
        <w:ind w:left="414" w:hanging="357"/>
        <w:contextualSpacing/>
        <w:jc w:val="both"/>
        <w:rPr>
          <w:rFonts w:cstheme="minorHAnsi"/>
          <w:sz w:val="28"/>
          <w:szCs w:val="28"/>
        </w:rPr>
      </w:pPr>
      <w:r w:rsidRPr="004E397C">
        <w:rPr>
          <w:rFonts w:cstheme="minorHAnsi"/>
          <w:sz w:val="28"/>
          <w:szCs w:val="28"/>
        </w:rPr>
        <w:t>Opis inwestycji:</w:t>
      </w:r>
    </w:p>
    <w:p w14:paraId="7B173FB8" w14:textId="77777777" w:rsidR="004E397C" w:rsidRPr="004E397C" w:rsidRDefault="004E397C" w:rsidP="004E397C">
      <w:pPr>
        <w:numPr>
          <w:ilvl w:val="0"/>
          <w:numId w:val="5"/>
        </w:numPr>
        <w:tabs>
          <w:tab w:val="left" w:pos="567"/>
        </w:tabs>
        <w:spacing w:after="120" w:line="240" w:lineRule="auto"/>
        <w:ind w:left="567"/>
        <w:contextualSpacing/>
        <w:jc w:val="both"/>
        <w:rPr>
          <w:rFonts w:cstheme="minorHAnsi"/>
          <w:sz w:val="28"/>
          <w:szCs w:val="28"/>
        </w:rPr>
      </w:pPr>
      <w:r w:rsidRPr="004E397C">
        <w:rPr>
          <w:rFonts w:cstheme="minorHAnsi"/>
          <w:sz w:val="28"/>
          <w:szCs w:val="28"/>
        </w:rPr>
        <w:t>rodzaj: trzy budynki mieszkalne jednorodzinne wolno stojące, droga wewnętrzna;</w:t>
      </w:r>
    </w:p>
    <w:p w14:paraId="45F477EB" w14:textId="77777777" w:rsidR="004E397C" w:rsidRPr="004E397C" w:rsidRDefault="004E397C" w:rsidP="004E397C">
      <w:pPr>
        <w:numPr>
          <w:ilvl w:val="0"/>
          <w:numId w:val="5"/>
        </w:numPr>
        <w:tabs>
          <w:tab w:val="left" w:pos="567"/>
        </w:tabs>
        <w:spacing w:after="120" w:line="240" w:lineRule="auto"/>
        <w:ind w:left="567"/>
        <w:contextualSpacing/>
        <w:jc w:val="both"/>
        <w:rPr>
          <w:rFonts w:cstheme="minorHAnsi"/>
          <w:sz w:val="28"/>
          <w:szCs w:val="28"/>
        </w:rPr>
      </w:pPr>
      <w:r w:rsidRPr="004E397C">
        <w:rPr>
          <w:rFonts w:cstheme="minorHAnsi"/>
          <w:sz w:val="28"/>
          <w:szCs w:val="28"/>
        </w:rPr>
        <w:t xml:space="preserve">lokalizacja: część działki o nr ewid. </w:t>
      </w:r>
      <w:r w:rsidRPr="004E397C">
        <w:rPr>
          <w:rFonts w:cstheme="minorHAnsi"/>
          <w:sz w:val="28"/>
        </w:rPr>
        <w:t>214, obręb Mórka</w:t>
      </w:r>
      <w:r w:rsidRPr="004E397C">
        <w:rPr>
          <w:rFonts w:cstheme="minorHAnsi"/>
          <w:sz w:val="28"/>
          <w:szCs w:val="28"/>
        </w:rPr>
        <w:t>, stanowiąca sumę terenów, oznaczonych symbolami: A, B, C, D, zgodnie z liniami rozgraniczającymi teren inwestycji wyznaczonymi na mapie, stanowiącej załącznik nr 1 do decyzji;</w:t>
      </w:r>
    </w:p>
    <w:p w14:paraId="4EA958CC" w14:textId="77777777" w:rsidR="004E397C" w:rsidRPr="004E397C" w:rsidRDefault="004E397C" w:rsidP="004E397C">
      <w:pPr>
        <w:numPr>
          <w:ilvl w:val="0"/>
          <w:numId w:val="5"/>
        </w:numPr>
        <w:tabs>
          <w:tab w:val="left" w:pos="567"/>
        </w:tabs>
        <w:spacing w:after="120" w:line="240" w:lineRule="auto"/>
        <w:ind w:left="567"/>
        <w:contextualSpacing/>
        <w:jc w:val="both"/>
        <w:rPr>
          <w:rFonts w:cstheme="minorHAnsi"/>
          <w:sz w:val="28"/>
          <w:szCs w:val="28"/>
        </w:rPr>
      </w:pPr>
      <w:r w:rsidRPr="004E397C">
        <w:rPr>
          <w:rFonts w:cstheme="minorHAnsi"/>
          <w:sz w:val="28"/>
          <w:szCs w:val="28"/>
        </w:rPr>
        <w:t>funkcja zabudowy i zagospodarowania terenu: mieszkaniowa, komunikacja.</w:t>
      </w:r>
    </w:p>
    <w:p w14:paraId="51C06F90" w14:textId="77777777" w:rsidR="004E397C" w:rsidRPr="004E397C" w:rsidRDefault="004E397C" w:rsidP="004E397C">
      <w:pPr>
        <w:numPr>
          <w:ilvl w:val="0"/>
          <w:numId w:val="31"/>
        </w:numPr>
        <w:tabs>
          <w:tab w:val="left" w:pos="426"/>
        </w:tabs>
        <w:spacing w:after="120" w:line="240" w:lineRule="auto"/>
        <w:ind w:left="414" w:hanging="357"/>
        <w:contextualSpacing/>
        <w:jc w:val="both"/>
        <w:rPr>
          <w:rFonts w:cstheme="minorHAnsi"/>
          <w:sz w:val="28"/>
          <w:szCs w:val="28"/>
        </w:rPr>
      </w:pPr>
      <w:r w:rsidRPr="004E397C">
        <w:rPr>
          <w:rFonts w:cstheme="minorHAnsi"/>
          <w:sz w:val="28"/>
          <w:szCs w:val="28"/>
        </w:rPr>
        <w:t>Warunki i szczegółowe zasady zagospodarowania terenu oraz jego zabudowy wynikające z przepisów odrębnych w zakresie:</w:t>
      </w:r>
    </w:p>
    <w:p w14:paraId="5E84BEE7" w14:textId="77777777" w:rsidR="004E397C" w:rsidRPr="004E397C" w:rsidRDefault="004E397C" w:rsidP="004E397C">
      <w:pPr>
        <w:numPr>
          <w:ilvl w:val="0"/>
          <w:numId w:val="6"/>
        </w:numPr>
        <w:tabs>
          <w:tab w:val="left" w:pos="567"/>
        </w:tabs>
        <w:spacing w:after="120" w:line="240" w:lineRule="auto"/>
        <w:ind w:left="567"/>
        <w:contextualSpacing/>
        <w:jc w:val="both"/>
        <w:rPr>
          <w:rFonts w:cstheme="minorHAnsi"/>
          <w:sz w:val="28"/>
          <w:szCs w:val="28"/>
        </w:rPr>
      </w:pPr>
      <w:r w:rsidRPr="004E397C">
        <w:rPr>
          <w:rFonts w:cstheme="minorHAnsi"/>
          <w:sz w:val="28"/>
          <w:szCs w:val="28"/>
        </w:rPr>
        <w:t xml:space="preserve">warunków i wymagań ochrony i kształtowania ładu przestrzennego </w:t>
      </w:r>
      <w:r w:rsidRPr="004E397C">
        <w:rPr>
          <w:rFonts w:cstheme="minorHAnsi"/>
          <w:b/>
          <w:bCs/>
          <w:sz w:val="28"/>
          <w:szCs w:val="28"/>
        </w:rPr>
        <w:t>dla każdego z terenów oznaczonych symbolem: A, B i C</w:t>
      </w:r>
      <w:r w:rsidRPr="004E397C">
        <w:rPr>
          <w:rFonts w:cstheme="minorHAnsi"/>
          <w:sz w:val="28"/>
          <w:szCs w:val="28"/>
        </w:rPr>
        <w:t>:</w:t>
      </w:r>
    </w:p>
    <w:p w14:paraId="259C8AB9" w14:textId="77777777" w:rsidR="004E397C" w:rsidRPr="004E397C" w:rsidRDefault="004E397C" w:rsidP="004E397C">
      <w:pPr>
        <w:numPr>
          <w:ilvl w:val="0"/>
          <w:numId w:val="18"/>
        </w:numPr>
        <w:spacing w:after="120" w:line="240" w:lineRule="auto"/>
        <w:contextualSpacing/>
        <w:jc w:val="both"/>
        <w:rPr>
          <w:rFonts w:cstheme="minorHAnsi"/>
          <w:sz w:val="28"/>
          <w:szCs w:val="28"/>
        </w:rPr>
      </w:pPr>
      <w:r w:rsidRPr="004E397C">
        <w:rPr>
          <w:rFonts w:cstheme="minorHAnsi"/>
          <w:sz w:val="28"/>
          <w:szCs w:val="28"/>
        </w:rPr>
        <w:t xml:space="preserve">linia zabudowy: wyznaczona jako nieprzekraczalna i oznaczająca linię wyznaczającą najmniejszą odległość, w której mogą być zlokalizowane </w:t>
      </w:r>
      <w:r w:rsidRPr="004E397C">
        <w:rPr>
          <w:rFonts w:cstheme="minorHAnsi"/>
          <w:sz w:val="28"/>
          <w:szCs w:val="28"/>
        </w:rPr>
        <w:lastRenderedPageBreak/>
        <w:t>zewnętrzne krawędzie ścian zewnętrznych budynku, wyznaczona w odległości 7,0 m od granicy planowanej drogi wewnętrznej, oznaczonej symbolem D na załączniku nr 1 do decyzji, przy czym:</w:t>
      </w:r>
    </w:p>
    <w:p w14:paraId="018296C7" w14:textId="77777777" w:rsidR="004E397C" w:rsidRPr="004E397C" w:rsidRDefault="004E397C" w:rsidP="004E397C">
      <w:pPr>
        <w:numPr>
          <w:ilvl w:val="0"/>
          <w:numId w:val="34"/>
        </w:numPr>
        <w:spacing w:after="120" w:line="240" w:lineRule="auto"/>
        <w:contextualSpacing/>
        <w:jc w:val="both"/>
        <w:rPr>
          <w:rFonts w:cstheme="minorHAnsi"/>
          <w:sz w:val="28"/>
          <w:szCs w:val="28"/>
        </w:rPr>
      </w:pPr>
      <w:r w:rsidRPr="004E397C">
        <w:rPr>
          <w:rFonts w:cstheme="minorHAnsi"/>
          <w:sz w:val="28"/>
          <w:szCs w:val="28"/>
        </w:rPr>
        <w:t xml:space="preserve">okapy i gzymsy, mogą wykraczać przed nieprzekraczalne linie zabudowy o nie więcej niż 0,8 m, </w:t>
      </w:r>
    </w:p>
    <w:p w14:paraId="09DF1348" w14:textId="77777777" w:rsidR="004E397C" w:rsidRPr="004E397C" w:rsidRDefault="004E397C" w:rsidP="004E397C">
      <w:pPr>
        <w:numPr>
          <w:ilvl w:val="0"/>
          <w:numId w:val="34"/>
        </w:numPr>
        <w:spacing w:after="120" w:line="240" w:lineRule="auto"/>
        <w:contextualSpacing/>
        <w:jc w:val="both"/>
        <w:rPr>
          <w:rFonts w:cstheme="minorHAnsi"/>
          <w:sz w:val="28"/>
          <w:szCs w:val="28"/>
        </w:rPr>
      </w:pPr>
      <w:r w:rsidRPr="004E397C">
        <w:rPr>
          <w:rFonts w:cstheme="minorHAnsi"/>
          <w:sz w:val="28"/>
          <w:szCs w:val="28"/>
        </w:rPr>
        <w:t>części budynków takie, jak: balkony, galerie, wykusze i ich zadaszenia wyłącznie na kondygnacjach wyższych niż parter, mogą wykraczać poza nieprzekraczalne linie zabudowy o nie więcej niż 1,5 m,</w:t>
      </w:r>
    </w:p>
    <w:p w14:paraId="4DF37378" w14:textId="77777777" w:rsidR="004E397C" w:rsidRPr="004E397C" w:rsidRDefault="004E397C" w:rsidP="004E397C">
      <w:pPr>
        <w:numPr>
          <w:ilvl w:val="0"/>
          <w:numId w:val="34"/>
        </w:numPr>
        <w:spacing w:after="120" w:line="240" w:lineRule="auto"/>
        <w:contextualSpacing/>
        <w:jc w:val="both"/>
        <w:rPr>
          <w:rFonts w:cstheme="minorHAnsi"/>
          <w:color w:val="1F497D" w:themeColor="text2"/>
          <w:sz w:val="28"/>
          <w:szCs w:val="28"/>
        </w:rPr>
      </w:pPr>
      <w:r w:rsidRPr="004E397C">
        <w:rPr>
          <w:rFonts w:cstheme="minorHAnsi"/>
          <w:sz w:val="28"/>
          <w:szCs w:val="28"/>
        </w:rPr>
        <w:t>zadaszenia wejściowe, mogą wykraczać poza nieprzekraczalne linie zabudowy o nie więcej niż 1,5 m,</w:t>
      </w:r>
    </w:p>
    <w:p w14:paraId="0FA19E6C" w14:textId="77777777" w:rsidR="004E397C" w:rsidRPr="004E397C" w:rsidRDefault="004E397C" w:rsidP="004E397C">
      <w:pPr>
        <w:numPr>
          <w:ilvl w:val="0"/>
          <w:numId w:val="18"/>
        </w:numPr>
        <w:spacing w:after="120" w:line="240" w:lineRule="auto"/>
        <w:contextualSpacing/>
        <w:jc w:val="both"/>
        <w:rPr>
          <w:rFonts w:cstheme="minorHAnsi"/>
          <w:sz w:val="28"/>
          <w:szCs w:val="28"/>
        </w:rPr>
      </w:pPr>
      <w:r w:rsidRPr="004E397C">
        <w:rPr>
          <w:rFonts w:cstheme="minorHAnsi"/>
          <w:sz w:val="28"/>
          <w:szCs w:val="28"/>
        </w:rPr>
        <w:t>wskaźnik powierzchni zabudowy: od 11,1 % do 13,5 % powierzchni terenu,</w:t>
      </w:r>
    </w:p>
    <w:p w14:paraId="46474C88" w14:textId="77777777" w:rsidR="004E397C" w:rsidRPr="004E397C" w:rsidRDefault="004E397C" w:rsidP="004E397C">
      <w:pPr>
        <w:numPr>
          <w:ilvl w:val="0"/>
          <w:numId w:val="18"/>
        </w:numPr>
        <w:spacing w:after="120" w:line="240" w:lineRule="auto"/>
        <w:contextualSpacing/>
        <w:jc w:val="both"/>
        <w:rPr>
          <w:rFonts w:cstheme="minorHAnsi"/>
          <w:sz w:val="28"/>
          <w:szCs w:val="28"/>
        </w:rPr>
      </w:pPr>
      <w:r w:rsidRPr="004E397C">
        <w:rPr>
          <w:rFonts w:cstheme="minorHAnsi"/>
          <w:sz w:val="28"/>
          <w:szCs w:val="28"/>
        </w:rPr>
        <w:t>powierzchnia biologicznie czynna: nie mniej niż 50 % powierzchni terenu,</w:t>
      </w:r>
    </w:p>
    <w:p w14:paraId="384FD932" w14:textId="77777777" w:rsidR="004E397C" w:rsidRPr="004E397C" w:rsidRDefault="004E397C" w:rsidP="004E397C">
      <w:pPr>
        <w:numPr>
          <w:ilvl w:val="0"/>
          <w:numId w:val="18"/>
        </w:numPr>
        <w:spacing w:after="120" w:line="240" w:lineRule="auto"/>
        <w:contextualSpacing/>
        <w:jc w:val="both"/>
        <w:rPr>
          <w:rFonts w:cstheme="minorHAnsi"/>
          <w:sz w:val="28"/>
          <w:szCs w:val="28"/>
        </w:rPr>
      </w:pPr>
      <w:r w:rsidRPr="004E397C">
        <w:rPr>
          <w:rFonts w:cstheme="minorHAnsi"/>
          <w:sz w:val="28"/>
          <w:szCs w:val="28"/>
        </w:rPr>
        <w:t>szerokość elewacji frontowej</w:t>
      </w:r>
      <w:r w:rsidRPr="004E397C">
        <w:rPr>
          <w:rFonts w:cstheme="minorHAnsi"/>
          <w:sz w:val="28"/>
          <w:szCs w:val="28"/>
          <w:vertAlign w:val="superscript"/>
        </w:rPr>
        <w:footnoteReference w:id="1"/>
      </w:r>
      <w:r w:rsidRPr="004E397C">
        <w:rPr>
          <w:rFonts w:cstheme="minorHAnsi"/>
          <w:sz w:val="28"/>
          <w:szCs w:val="28"/>
        </w:rPr>
        <w:t xml:space="preserve"> budynku: 11,6 m </w:t>
      </w:r>
      <w:bookmarkStart w:id="0" w:name="_Hlk151465807"/>
      <w:r w:rsidRPr="004E397C">
        <w:rPr>
          <w:rFonts w:cstheme="minorHAnsi"/>
          <w:sz w:val="28"/>
          <w:szCs w:val="28"/>
        </w:rPr>
        <w:t>± 20 %,</w:t>
      </w:r>
      <w:bookmarkEnd w:id="0"/>
    </w:p>
    <w:p w14:paraId="6A4C1A32" w14:textId="77777777" w:rsidR="004E397C" w:rsidRPr="004E397C" w:rsidRDefault="004E397C" w:rsidP="004E397C">
      <w:pPr>
        <w:numPr>
          <w:ilvl w:val="0"/>
          <w:numId w:val="18"/>
        </w:numPr>
        <w:spacing w:after="120" w:line="240" w:lineRule="auto"/>
        <w:contextualSpacing/>
        <w:jc w:val="both"/>
        <w:rPr>
          <w:rFonts w:cstheme="minorHAnsi"/>
          <w:sz w:val="28"/>
          <w:szCs w:val="28"/>
        </w:rPr>
      </w:pPr>
      <w:r w:rsidRPr="004E397C">
        <w:rPr>
          <w:rFonts w:cstheme="minorHAnsi"/>
          <w:sz w:val="28"/>
          <w:szCs w:val="28"/>
        </w:rPr>
        <w:t>wysokość górnej krawędzi elewacji frontowej: od 3,0 m do 4,0 m,</w:t>
      </w:r>
    </w:p>
    <w:p w14:paraId="0495D180" w14:textId="77777777" w:rsidR="004E397C" w:rsidRPr="004E397C" w:rsidRDefault="004E397C" w:rsidP="004E397C">
      <w:pPr>
        <w:numPr>
          <w:ilvl w:val="0"/>
          <w:numId w:val="18"/>
        </w:numPr>
        <w:spacing w:after="120" w:line="240" w:lineRule="auto"/>
        <w:contextualSpacing/>
        <w:jc w:val="both"/>
        <w:rPr>
          <w:rFonts w:cstheme="minorHAnsi"/>
          <w:sz w:val="28"/>
          <w:szCs w:val="28"/>
        </w:rPr>
      </w:pPr>
      <w:r w:rsidRPr="004E397C">
        <w:rPr>
          <w:rFonts w:cstheme="minorHAnsi"/>
          <w:sz w:val="28"/>
          <w:szCs w:val="28"/>
        </w:rPr>
        <w:t>liczba kondygnacji nadziemnych: 2,</w:t>
      </w:r>
    </w:p>
    <w:p w14:paraId="0292CD1B" w14:textId="77777777" w:rsidR="004E397C" w:rsidRPr="004E397C" w:rsidRDefault="004E397C" w:rsidP="004E397C">
      <w:pPr>
        <w:numPr>
          <w:ilvl w:val="0"/>
          <w:numId w:val="18"/>
        </w:numPr>
        <w:spacing w:after="120" w:line="240" w:lineRule="auto"/>
        <w:contextualSpacing/>
        <w:jc w:val="both"/>
        <w:rPr>
          <w:rFonts w:cstheme="minorHAnsi"/>
          <w:sz w:val="28"/>
          <w:szCs w:val="28"/>
        </w:rPr>
      </w:pPr>
      <w:r w:rsidRPr="004E397C">
        <w:rPr>
          <w:rFonts w:cstheme="minorHAnsi"/>
          <w:sz w:val="28"/>
          <w:szCs w:val="28"/>
        </w:rPr>
        <w:t>geometria dachu:</w:t>
      </w:r>
    </w:p>
    <w:p w14:paraId="54D341B9" w14:textId="77777777" w:rsidR="004E397C" w:rsidRPr="004E397C" w:rsidRDefault="004E397C" w:rsidP="004E397C">
      <w:pPr>
        <w:numPr>
          <w:ilvl w:val="0"/>
          <w:numId w:val="19"/>
        </w:numPr>
        <w:spacing w:after="120" w:line="240" w:lineRule="auto"/>
        <w:ind w:left="924" w:hanging="357"/>
        <w:contextualSpacing/>
        <w:jc w:val="both"/>
        <w:rPr>
          <w:rFonts w:cstheme="minorHAnsi"/>
          <w:sz w:val="28"/>
          <w:szCs w:val="28"/>
        </w:rPr>
      </w:pPr>
      <w:bookmarkStart w:id="1" w:name="_Hlk151465828"/>
      <w:r w:rsidRPr="004E397C">
        <w:rPr>
          <w:rFonts w:cstheme="minorHAnsi"/>
          <w:sz w:val="28"/>
          <w:szCs w:val="28"/>
        </w:rPr>
        <w:t>kąt nachylenia głównych połaci dachu: od 35° do 45°,</w:t>
      </w:r>
    </w:p>
    <w:p w14:paraId="478D49E6" w14:textId="77777777" w:rsidR="004E397C" w:rsidRPr="004E397C" w:rsidRDefault="004E397C" w:rsidP="004E397C">
      <w:pPr>
        <w:numPr>
          <w:ilvl w:val="0"/>
          <w:numId w:val="19"/>
        </w:numPr>
        <w:spacing w:after="120" w:line="240" w:lineRule="auto"/>
        <w:ind w:left="924" w:hanging="357"/>
        <w:contextualSpacing/>
        <w:jc w:val="both"/>
        <w:rPr>
          <w:rFonts w:cstheme="minorHAnsi"/>
          <w:sz w:val="28"/>
          <w:szCs w:val="28"/>
        </w:rPr>
      </w:pPr>
      <w:r w:rsidRPr="004E397C">
        <w:rPr>
          <w:rFonts w:cstheme="minorHAnsi"/>
          <w:sz w:val="28"/>
          <w:szCs w:val="28"/>
        </w:rPr>
        <w:t>wysokość głównej kalenicy budynku: od 7,5 m do 8,5 m</w:t>
      </w:r>
      <w:bookmarkEnd w:id="1"/>
      <w:r w:rsidRPr="004E397C">
        <w:rPr>
          <w:rFonts w:cstheme="minorHAnsi"/>
          <w:sz w:val="28"/>
          <w:szCs w:val="28"/>
        </w:rPr>
        <w:t>,</w:t>
      </w:r>
    </w:p>
    <w:p w14:paraId="1258D86B" w14:textId="77777777" w:rsidR="004E397C" w:rsidRPr="004E397C" w:rsidRDefault="004E397C" w:rsidP="004E397C">
      <w:pPr>
        <w:numPr>
          <w:ilvl w:val="0"/>
          <w:numId w:val="19"/>
        </w:numPr>
        <w:spacing w:after="120" w:line="240" w:lineRule="auto"/>
        <w:ind w:left="924" w:hanging="357"/>
        <w:contextualSpacing/>
        <w:jc w:val="both"/>
        <w:rPr>
          <w:rFonts w:cstheme="minorHAnsi"/>
          <w:sz w:val="28"/>
          <w:szCs w:val="28"/>
        </w:rPr>
      </w:pPr>
      <w:r w:rsidRPr="004E397C">
        <w:rPr>
          <w:rFonts w:cstheme="minorHAnsi"/>
          <w:sz w:val="28"/>
          <w:szCs w:val="28"/>
        </w:rPr>
        <w:t>układ połaci dachowych: dwuspadowy,</w:t>
      </w:r>
    </w:p>
    <w:p w14:paraId="75734EDE" w14:textId="77777777" w:rsidR="004E397C" w:rsidRPr="004E397C" w:rsidRDefault="004E397C" w:rsidP="004E397C">
      <w:pPr>
        <w:numPr>
          <w:ilvl w:val="0"/>
          <w:numId w:val="19"/>
        </w:numPr>
        <w:spacing w:after="120" w:line="240" w:lineRule="auto"/>
        <w:ind w:left="924" w:hanging="357"/>
        <w:contextualSpacing/>
        <w:jc w:val="both"/>
        <w:rPr>
          <w:rFonts w:cstheme="minorHAnsi"/>
          <w:sz w:val="28"/>
          <w:szCs w:val="28"/>
        </w:rPr>
      </w:pPr>
      <w:r w:rsidRPr="004E397C">
        <w:rPr>
          <w:rFonts w:cstheme="minorHAnsi"/>
          <w:sz w:val="28"/>
          <w:szCs w:val="28"/>
        </w:rPr>
        <w:t>kierunek głównej kalenicy dachu: kalenicowy;</w:t>
      </w:r>
    </w:p>
    <w:p w14:paraId="63A59E38" w14:textId="77777777" w:rsidR="004E397C" w:rsidRPr="004E397C" w:rsidRDefault="004E397C" w:rsidP="004E397C">
      <w:pPr>
        <w:numPr>
          <w:ilvl w:val="0"/>
          <w:numId w:val="18"/>
        </w:numPr>
        <w:spacing w:after="120" w:line="240" w:lineRule="auto"/>
        <w:contextualSpacing/>
        <w:jc w:val="both"/>
        <w:rPr>
          <w:rFonts w:cstheme="minorHAnsi"/>
          <w:sz w:val="28"/>
          <w:szCs w:val="28"/>
        </w:rPr>
      </w:pPr>
      <w:r w:rsidRPr="004E397C">
        <w:rPr>
          <w:rFonts w:cstheme="minorHAnsi"/>
          <w:sz w:val="28"/>
          <w:szCs w:val="28"/>
        </w:rPr>
        <w:t>powierzchnia nowo wydzielanej działki budowlanej nie mniejsza niż 1000 m</w:t>
      </w:r>
      <w:r w:rsidRPr="004E397C">
        <w:rPr>
          <w:rFonts w:cstheme="minorHAnsi"/>
          <w:sz w:val="28"/>
          <w:szCs w:val="28"/>
          <w:vertAlign w:val="superscript"/>
        </w:rPr>
        <w:t>2</w:t>
      </w:r>
      <w:r w:rsidRPr="004E397C">
        <w:rPr>
          <w:rFonts w:cstheme="minorHAnsi"/>
          <w:sz w:val="28"/>
          <w:szCs w:val="28"/>
        </w:rPr>
        <w:t>;</w:t>
      </w:r>
    </w:p>
    <w:p w14:paraId="63B3C90C" w14:textId="77777777" w:rsidR="004E397C" w:rsidRPr="004E397C" w:rsidRDefault="004E397C" w:rsidP="004E397C">
      <w:pPr>
        <w:numPr>
          <w:ilvl w:val="0"/>
          <w:numId w:val="6"/>
        </w:numPr>
        <w:tabs>
          <w:tab w:val="left" w:pos="567"/>
        </w:tabs>
        <w:spacing w:after="120" w:line="240" w:lineRule="auto"/>
        <w:ind w:left="567"/>
        <w:contextualSpacing/>
        <w:jc w:val="both"/>
        <w:rPr>
          <w:rFonts w:cstheme="minorHAnsi"/>
          <w:sz w:val="28"/>
          <w:szCs w:val="28"/>
        </w:rPr>
      </w:pPr>
      <w:r w:rsidRPr="004E397C">
        <w:rPr>
          <w:rFonts w:cstheme="minorHAnsi"/>
          <w:sz w:val="28"/>
          <w:szCs w:val="28"/>
        </w:rPr>
        <w:t xml:space="preserve">warunków i wymagań ochrony i kształtowania ładu przestrzennego </w:t>
      </w:r>
      <w:r w:rsidRPr="004E397C">
        <w:rPr>
          <w:rFonts w:cstheme="minorHAnsi"/>
          <w:b/>
          <w:bCs/>
          <w:sz w:val="28"/>
          <w:szCs w:val="28"/>
        </w:rPr>
        <w:t>dla terenu oznaczonego symbolem D</w:t>
      </w:r>
      <w:r w:rsidRPr="004E397C">
        <w:rPr>
          <w:rFonts w:cstheme="minorHAnsi"/>
          <w:sz w:val="28"/>
          <w:szCs w:val="28"/>
        </w:rPr>
        <w:t>: parametry wewnętrznego układu komunikacyjnego: droga o minimalnej szerokości 6,0 m z poszerzeniami na trójkąty widoczności, z placem do zawracania samochodów o minimalnych wymiarach 12,5 m x 12,5 m;</w:t>
      </w:r>
    </w:p>
    <w:p w14:paraId="0334B11F" w14:textId="77777777" w:rsidR="004E397C" w:rsidRPr="004E397C" w:rsidRDefault="004E397C" w:rsidP="004E397C">
      <w:pPr>
        <w:numPr>
          <w:ilvl w:val="0"/>
          <w:numId w:val="6"/>
        </w:numPr>
        <w:spacing w:after="120" w:line="240" w:lineRule="auto"/>
        <w:ind w:left="567"/>
        <w:contextualSpacing/>
        <w:jc w:val="both"/>
        <w:rPr>
          <w:rFonts w:cstheme="minorHAnsi"/>
          <w:sz w:val="28"/>
          <w:szCs w:val="28"/>
        </w:rPr>
      </w:pPr>
      <w:r w:rsidRPr="004E397C">
        <w:rPr>
          <w:rFonts w:cstheme="minorHAnsi"/>
          <w:sz w:val="28"/>
          <w:szCs w:val="28"/>
        </w:rPr>
        <w:t>obsługi w zakresie infrastruktury technicznej i komunikacji:</w:t>
      </w:r>
    </w:p>
    <w:p w14:paraId="177BAAFC" w14:textId="77777777" w:rsidR="004E397C" w:rsidRPr="004E397C" w:rsidRDefault="004E397C" w:rsidP="004E397C">
      <w:pPr>
        <w:numPr>
          <w:ilvl w:val="0"/>
          <w:numId w:val="21"/>
        </w:numPr>
        <w:tabs>
          <w:tab w:val="left" w:pos="709"/>
        </w:tabs>
        <w:spacing w:after="120" w:line="240" w:lineRule="auto"/>
        <w:contextualSpacing/>
        <w:jc w:val="both"/>
        <w:rPr>
          <w:rFonts w:cstheme="minorHAnsi"/>
          <w:sz w:val="28"/>
          <w:szCs w:val="28"/>
        </w:rPr>
      </w:pPr>
      <w:r w:rsidRPr="004E397C">
        <w:rPr>
          <w:rFonts w:cstheme="minorHAnsi"/>
          <w:sz w:val="28"/>
          <w:szCs w:val="28"/>
        </w:rPr>
        <w:t>sposób zaopatrzenia w wodę: sieć wodociągowa (opinia Śremskich Wodociągów Sp. z o.o. z 25.08.2023 r.),</w:t>
      </w:r>
    </w:p>
    <w:p w14:paraId="7E5B4C47" w14:textId="77777777" w:rsidR="004E397C" w:rsidRPr="004E397C" w:rsidRDefault="004E397C" w:rsidP="004E397C">
      <w:pPr>
        <w:numPr>
          <w:ilvl w:val="0"/>
          <w:numId w:val="21"/>
        </w:numPr>
        <w:tabs>
          <w:tab w:val="left" w:pos="709"/>
        </w:tabs>
        <w:spacing w:after="120" w:line="240" w:lineRule="auto"/>
        <w:contextualSpacing/>
        <w:jc w:val="both"/>
        <w:rPr>
          <w:rFonts w:cstheme="minorHAnsi"/>
          <w:sz w:val="28"/>
          <w:szCs w:val="28"/>
        </w:rPr>
      </w:pPr>
      <w:r w:rsidRPr="004E397C">
        <w:rPr>
          <w:rFonts w:cstheme="minorHAnsi"/>
          <w:sz w:val="28"/>
          <w:szCs w:val="28"/>
        </w:rPr>
        <w:t>sposób zaopatrzenia w energię elektryczną: sieć elektroenergetyczna (oświadczenie ENEA Operator Sp. z o.o. z 02.08.2023 r.),</w:t>
      </w:r>
    </w:p>
    <w:p w14:paraId="0F8A429F" w14:textId="77777777" w:rsidR="004E397C" w:rsidRPr="004E397C" w:rsidRDefault="004E397C" w:rsidP="004E397C">
      <w:pPr>
        <w:numPr>
          <w:ilvl w:val="0"/>
          <w:numId w:val="21"/>
        </w:numPr>
        <w:tabs>
          <w:tab w:val="left" w:pos="709"/>
        </w:tabs>
        <w:spacing w:after="120" w:line="240" w:lineRule="auto"/>
        <w:contextualSpacing/>
        <w:jc w:val="both"/>
        <w:rPr>
          <w:rFonts w:cstheme="minorHAnsi"/>
          <w:sz w:val="28"/>
          <w:szCs w:val="28"/>
        </w:rPr>
      </w:pPr>
      <w:r w:rsidRPr="004E397C">
        <w:rPr>
          <w:rFonts w:cstheme="minorHAnsi"/>
          <w:sz w:val="28"/>
          <w:szCs w:val="28"/>
        </w:rPr>
        <w:lastRenderedPageBreak/>
        <w:t>sposób zaopatrzenia w energię cieplną: zgodnie z przepisami odrębnymi,</w:t>
      </w:r>
    </w:p>
    <w:p w14:paraId="462A86EF" w14:textId="77777777" w:rsidR="004E397C" w:rsidRPr="004E397C" w:rsidRDefault="004E397C" w:rsidP="004E397C">
      <w:pPr>
        <w:numPr>
          <w:ilvl w:val="0"/>
          <w:numId w:val="21"/>
        </w:numPr>
        <w:tabs>
          <w:tab w:val="left" w:pos="709"/>
        </w:tabs>
        <w:spacing w:after="120" w:line="240" w:lineRule="auto"/>
        <w:contextualSpacing/>
        <w:jc w:val="both"/>
        <w:rPr>
          <w:rFonts w:cstheme="minorHAnsi"/>
          <w:sz w:val="28"/>
          <w:szCs w:val="28"/>
        </w:rPr>
      </w:pPr>
      <w:r w:rsidRPr="004E397C">
        <w:rPr>
          <w:rFonts w:cstheme="minorHAnsi"/>
          <w:sz w:val="28"/>
          <w:szCs w:val="28"/>
        </w:rPr>
        <w:t>odprowadzanie ścieków bytowych: sieć kanalizacji sanitarnej, z dopuszczeniem do czasu jej realizacji, korzystania z bezodpływowych zbiorników na nieczystości ciekłe o pojemności do 10 m</w:t>
      </w:r>
      <w:r w:rsidRPr="004E397C">
        <w:rPr>
          <w:rFonts w:cstheme="minorHAnsi"/>
          <w:sz w:val="28"/>
          <w:szCs w:val="28"/>
          <w:vertAlign w:val="superscript"/>
        </w:rPr>
        <w:t>3</w:t>
      </w:r>
      <w:r w:rsidRPr="004E397C">
        <w:rPr>
          <w:rFonts w:cstheme="minorHAnsi"/>
          <w:sz w:val="28"/>
          <w:szCs w:val="28"/>
        </w:rPr>
        <w:t xml:space="preserve"> lub przydomowych oczyszczalni ścieków o wydajności do 7,5 m</w:t>
      </w:r>
      <w:r w:rsidRPr="004E397C">
        <w:rPr>
          <w:rFonts w:cstheme="minorHAnsi"/>
          <w:sz w:val="28"/>
          <w:szCs w:val="28"/>
          <w:vertAlign w:val="superscript"/>
        </w:rPr>
        <w:t>3</w:t>
      </w:r>
      <w:r w:rsidRPr="004E397C">
        <w:rPr>
          <w:rFonts w:cstheme="minorHAnsi"/>
          <w:sz w:val="28"/>
          <w:szCs w:val="28"/>
        </w:rPr>
        <w:t xml:space="preserve"> na dobę (opinia Śremskich Wodociągów Sp. z o.o. z 25.08.2023 r.),</w:t>
      </w:r>
    </w:p>
    <w:p w14:paraId="68874900" w14:textId="77777777" w:rsidR="004E397C" w:rsidRPr="004E397C" w:rsidRDefault="004E397C" w:rsidP="004E397C">
      <w:pPr>
        <w:numPr>
          <w:ilvl w:val="0"/>
          <w:numId w:val="21"/>
        </w:numPr>
        <w:tabs>
          <w:tab w:val="left" w:pos="709"/>
        </w:tabs>
        <w:spacing w:after="120" w:line="240" w:lineRule="auto"/>
        <w:contextualSpacing/>
        <w:jc w:val="both"/>
        <w:rPr>
          <w:rFonts w:cstheme="minorHAnsi"/>
          <w:sz w:val="28"/>
          <w:szCs w:val="28"/>
        </w:rPr>
      </w:pPr>
      <w:r w:rsidRPr="004E397C">
        <w:rPr>
          <w:rFonts w:cstheme="minorHAnsi"/>
          <w:sz w:val="28"/>
          <w:szCs w:val="28"/>
        </w:rPr>
        <w:t>należy uwzględnić ograniczenia wynikające z występowania uzbrojenia technicznego, uzyskać stosowne oświadczenia i warunki od właściwych jednostek oraz wykonać inwestycję w sposób zapewniający zachowanie sprawności użytkowej urządzeń,</w:t>
      </w:r>
    </w:p>
    <w:p w14:paraId="29087E76" w14:textId="77777777" w:rsidR="004E397C" w:rsidRPr="004E397C" w:rsidRDefault="004E397C" w:rsidP="004E397C">
      <w:pPr>
        <w:numPr>
          <w:ilvl w:val="0"/>
          <w:numId w:val="21"/>
        </w:numPr>
        <w:tabs>
          <w:tab w:val="left" w:pos="709"/>
        </w:tabs>
        <w:spacing w:after="120" w:line="240" w:lineRule="auto"/>
        <w:contextualSpacing/>
        <w:jc w:val="both"/>
        <w:rPr>
          <w:rFonts w:cstheme="minorHAnsi"/>
          <w:sz w:val="28"/>
          <w:szCs w:val="28"/>
        </w:rPr>
      </w:pPr>
      <w:r w:rsidRPr="004E397C">
        <w:rPr>
          <w:rFonts w:cstheme="minorHAnsi"/>
          <w:sz w:val="28"/>
          <w:szCs w:val="28"/>
        </w:rPr>
        <w:t>gospodarowanie odpadami: zgodnie z przepisami odrębnymi,</w:t>
      </w:r>
    </w:p>
    <w:p w14:paraId="45E83934" w14:textId="77777777" w:rsidR="004E397C" w:rsidRPr="004E397C" w:rsidRDefault="004E397C" w:rsidP="004E397C">
      <w:pPr>
        <w:numPr>
          <w:ilvl w:val="0"/>
          <w:numId w:val="21"/>
        </w:numPr>
        <w:tabs>
          <w:tab w:val="left" w:pos="709"/>
        </w:tabs>
        <w:spacing w:after="120" w:line="240" w:lineRule="auto"/>
        <w:contextualSpacing/>
        <w:jc w:val="both"/>
        <w:rPr>
          <w:rFonts w:cstheme="minorHAnsi"/>
          <w:sz w:val="24"/>
          <w:szCs w:val="24"/>
        </w:rPr>
      </w:pPr>
      <w:r w:rsidRPr="004E397C">
        <w:rPr>
          <w:rFonts w:cstheme="minorHAnsi"/>
          <w:sz w:val="28"/>
          <w:szCs w:val="28"/>
        </w:rPr>
        <w:t xml:space="preserve">dostęp do drogi publicznej: dla nowo wydzielonych działek </w:t>
      </w:r>
      <w:r w:rsidRPr="004E397C">
        <w:rPr>
          <w:rFonts w:cstheme="minorHAnsi"/>
          <w:sz w:val="28"/>
        </w:rPr>
        <w:t xml:space="preserve">pośredni do drogi powiatowej – ul. Śremskiej (działki o nr ewid. 421, obręb Mórka) </w:t>
      </w:r>
      <w:r w:rsidRPr="004E397C">
        <w:rPr>
          <w:rFonts w:eastAsia="Times New Roman" w:cstheme="minorHAnsi"/>
          <w:sz w:val="28"/>
          <w:lang w:eastAsia="pl-PL"/>
        </w:rPr>
        <w:t>poprzez planowaną drogę wewnętrzną, oznaczoną symbolem D na załączniku nr 1 do decyzji</w:t>
      </w:r>
      <w:r w:rsidRPr="004E397C">
        <w:rPr>
          <w:rFonts w:cstheme="minorHAnsi"/>
          <w:sz w:val="28"/>
        </w:rPr>
        <w:t>,</w:t>
      </w:r>
    </w:p>
    <w:p w14:paraId="78E74C8A" w14:textId="77777777" w:rsidR="004E397C" w:rsidRPr="004E397C" w:rsidRDefault="004E397C" w:rsidP="004E397C">
      <w:pPr>
        <w:numPr>
          <w:ilvl w:val="0"/>
          <w:numId w:val="21"/>
        </w:numPr>
        <w:tabs>
          <w:tab w:val="left" w:pos="709"/>
        </w:tabs>
        <w:spacing w:after="120" w:line="240" w:lineRule="auto"/>
        <w:contextualSpacing/>
        <w:jc w:val="both"/>
        <w:rPr>
          <w:rFonts w:cstheme="minorHAnsi"/>
          <w:sz w:val="28"/>
          <w:szCs w:val="28"/>
        </w:rPr>
      </w:pPr>
      <w:r w:rsidRPr="004E397C">
        <w:rPr>
          <w:rFonts w:cstheme="minorHAnsi"/>
          <w:sz w:val="28"/>
          <w:szCs w:val="28"/>
        </w:rPr>
        <w:t>liczba miejsc parkingowych: nie mniej niż dwa na lokal mieszkalny zlokalizowane na terenie inwestycji, z wyłączeniem planowanej drogi wewnętrznej;</w:t>
      </w:r>
    </w:p>
    <w:p w14:paraId="5C70435E" w14:textId="77777777" w:rsidR="004E397C" w:rsidRPr="004E397C" w:rsidRDefault="004E397C" w:rsidP="004E397C">
      <w:pPr>
        <w:numPr>
          <w:ilvl w:val="0"/>
          <w:numId w:val="6"/>
        </w:numPr>
        <w:spacing w:after="120" w:line="240" w:lineRule="auto"/>
        <w:ind w:left="635" w:hanging="425"/>
        <w:contextualSpacing/>
        <w:jc w:val="both"/>
        <w:rPr>
          <w:rFonts w:cstheme="minorHAnsi"/>
          <w:sz w:val="28"/>
          <w:szCs w:val="28"/>
        </w:rPr>
      </w:pPr>
      <w:r w:rsidRPr="004E397C">
        <w:rPr>
          <w:rFonts w:cstheme="minorHAnsi"/>
          <w:sz w:val="28"/>
          <w:szCs w:val="28"/>
        </w:rPr>
        <w:t>wymagań dotyczących ochrony interesów osób trzecich:</w:t>
      </w:r>
    </w:p>
    <w:p w14:paraId="59D54317" w14:textId="77777777" w:rsidR="004E397C" w:rsidRPr="004E397C" w:rsidRDefault="004E397C" w:rsidP="004E397C">
      <w:pPr>
        <w:numPr>
          <w:ilvl w:val="0"/>
          <w:numId w:val="7"/>
        </w:numPr>
        <w:spacing w:after="120" w:line="240" w:lineRule="auto"/>
        <w:contextualSpacing/>
        <w:jc w:val="both"/>
        <w:rPr>
          <w:rFonts w:cstheme="minorHAnsi"/>
          <w:sz w:val="28"/>
          <w:szCs w:val="28"/>
        </w:rPr>
      </w:pPr>
      <w:r w:rsidRPr="004E397C">
        <w:rPr>
          <w:rFonts w:cstheme="minorHAnsi"/>
          <w:sz w:val="28"/>
          <w:szCs w:val="28"/>
        </w:rPr>
        <w:t xml:space="preserve">warunki ochrony przed pozbawieniem: </w:t>
      </w:r>
    </w:p>
    <w:p w14:paraId="657BB04E" w14:textId="77777777" w:rsidR="004E397C" w:rsidRPr="004E397C" w:rsidRDefault="004E397C" w:rsidP="004E397C">
      <w:pPr>
        <w:numPr>
          <w:ilvl w:val="0"/>
          <w:numId w:val="8"/>
        </w:numPr>
        <w:spacing w:after="120" w:line="240" w:lineRule="auto"/>
        <w:ind w:left="993" w:hanging="426"/>
        <w:contextualSpacing/>
        <w:jc w:val="both"/>
        <w:rPr>
          <w:rFonts w:cstheme="minorHAnsi"/>
          <w:sz w:val="28"/>
          <w:szCs w:val="28"/>
        </w:rPr>
      </w:pPr>
      <w:r w:rsidRPr="004E397C">
        <w:rPr>
          <w:rFonts w:cstheme="minorHAnsi"/>
          <w:sz w:val="28"/>
          <w:szCs w:val="28"/>
        </w:rPr>
        <w:t xml:space="preserve">dostępu do drogi publicznej, możliwości korzystania z wody, kanalizacji, energii elektrycznej i cieplnej oraz ze środków łączności – inwestycja nie może pozbawiać dostępu do drogi publicznej, ani możliwości korzystania z: wody, kanalizacji, energii elektrycznej i cieplnej oraz ze środków łączności osoby trzecie, </w:t>
      </w:r>
    </w:p>
    <w:p w14:paraId="55279034" w14:textId="77777777" w:rsidR="004E397C" w:rsidRPr="004E397C" w:rsidRDefault="004E397C" w:rsidP="004E397C">
      <w:pPr>
        <w:numPr>
          <w:ilvl w:val="0"/>
          <w:numId w:val="8"/>
        </w:numPr>
        <w:spacing w:after="120" w:line="240" w:lineRule="auto"/>
        <w:ind w:left="993" w:hanging="426"/>
        <w:contextualSpacing/>
        <w:jc w:val="both"/>
        <w:rPr>
          <w:rFonts w:cstheme="minorHAnsi"/>
          <w:sz w:val="28"/>
          <w:szCs w:val="28"/>
        </w:rPr>
      </w:pPr>
      <w:r w:rsidRPr="004E397C">
        <w:rPr>
          <w:rFonts w:cstheme="minorHAnsi"/>
          <w:sz w:val="28"/>
          <w:szCs w:val="28"/>
        </w:rPr>
        <w:t>dostępu światła dziennego do pomieszczeń przeznaczonych na pobyt ludzi – inwestycja i sposób zagospodarowania działki powinny spełniać wymogi zawarte w przepisach techniczno – budowlanych, a jednocześnie na etapie opracowania projektu budowlanego należy uwzględnić wymagania w zakresie ochrony uzasadnionych interesów osób trzecich,</w:t>
      </w:r>
    </w:p>
    <w:p w14:paraId="69D3FBFF" w14:textId="77777777" w:rsidR="004E397C" w:rsidRPr="004E397C" w:rsidRDefault="004E397C" w:rsidP="004E397C">
      <w:pPr>
        <w:numPr>
          <w:ilvl w:val="0"/>
          <w:numId w:val="7"/>
        </w:numPr>
        <w:spacing w:after="120" w:line="240" w:lineRule="auto"/>
        <w:contextualSpacing/>
        <w:jc w:val="both"/>
        <w:rPr>
          <w:rFonts w:cstheme="minorHAnsi"/>
          <w:sz w:val="28"/>
          <w:szCs w:val="28"/>
        </w:rPr>
      </w:pPr>
      <w:r w:rsidRPr="004E397C">
        <w:rPr>
          <w:rFonts w:cstheme="minorHAnsi"/>
          <w:sz w:val="28"/>
          <w:szCs w:val="28"/>
        </w:rPr>
        <w:t>warunki ochrony przed uciążliwościami powodowanymi przez hałas, wibracje, zakłócenia elektryczne i promieniowanie; a także zanieczyszczeniem powietrza, wody i gleby – zgodnie z przepisami z zakresu ochrony środowiska należy podjąć działania mające na celu zapobieganie ewentualnym negatywnym oddziaływaniom na środowisko.</w:t>
      </w:r>
    </w:p>
    <w:p w14:paraId="04774F11" w14:textId="77777777" w:rsidR="004E397C" w:rsidRPr="004E397C" w:rsidRDefault="004E397C" w:rsidP="004E397C">
      <w:pPr>
        <w:numPr>
          <w:ilvl w:val="0"/>
          <w:numId w:val="31"/>
        </w:numPr>
        <w:tabs>
          <w:tab w:val="left" w:pos="426"/>
        </w:tabs>
        <w:spacing w:after="120" w:line="240" w:lineRule="auto"/>
        <w:ind w:left="414" w:hanging="357"/>
        <w:contextualSpacing/>
        <w:jc w:val="both"/>
        <w:rPr>
          <w:rFonts w:cstheme="minorHAnsi"/>
          <w:sz w:val="28"/>
          <w:szCs w:val="28"/>
        </w:rPr>
      </w:pPr>
      <w:r w:rsidRPr="004E397C">
        <w:rPr>
          <w:rFonts w:cstheme="minorHAnsi"/>
          <w:sz w:val="28"/>
          <w:szCs w:val="28"/>
        </w:rPr>
        <w:t>Linie rozgraniczające teren inwestycji wyznaczone na mapie zasadniczej w skali 1:1000.</w:t>
      </w:r>
    </w:p>
    <w:p w14:paraId="7020E217" w14:textId="77777777" w:rsidR="004E397C" w:rsidRPr="004E397C" w:rsidRDefault="004E397C" w:rsidP="004E397C">
      <w:pPr>
        <w:spacing w:after="120" w:line="240" w:lineRule="auto"/>
        <w:jc w:val="center"/>
        <w:rPr>
          <w:rFonts w:cstheme="minorHAnsi"/>
          <w:sz w:val="28"/>
          <w:szCs w:val="28"/>
        </w:rPr>
      </w:pPr>
    </w:p>
    <w:p w14:paraId="388E7EEC" w14:textId="77777777" w:rsidR="004E397C" w:rsidRPr="004E397C" w:rsidRDefault="004E397C" w:rsidP="004E397C">
      <w:pPr>
        <w:spacing w:after="120" w:line="240" w:lineRule="auto"/>
        <w:jc w:val="center"/>
        <w:rPr>
          <w:rFonts w:cstheme="minorHAnsi"/>
          <w:sz w:val="28"/>
          <w:szCs w:val="28"/>
        </w:rPr>
      </w:pPr>
      <w:r w:rsidRPr="004E397C">
        <w:rPr>
          <w:rFonts w:cstheme="minorHAnsi"/>
          <w:sz w:val="28"/>
          <w:szCs w:val="28"/>
        </w:rPr>
        <w:t>Uzasadnienie</w:t>
      </w:r>
    </w:p>
    <w:p w14:paraId="4DA7F33C" w14:textId="77777777" w:rsidR="004E397C" w:rsidRPr="004E397C" w:rsidRDefault="004E397C" w:rsidP="004E397C">
      <w:pPr>
        <w:spacing w:after="120" w:line="240" w:lineRule="auto"/>
        <w:ind w:firstLine="567"/>
        <w:jc w:val="both"/>
        <w:rPr>
          <w:rFonts w:cstheme="minorHAnsi"/>
          <w:sz w:val="28"/>
          <w:szCs w:val="28"/>
        </w:rPr>
      </w:pPr>
      <w:r w:rsidRPr="004E397C">
        <w:rPr>
          <w:rFonts w:cstheme="minorHAnsi"/>
          <w:sz w:val="28"/>
          <w:szCs w:val="28"/>
        </w:rPr>
        <w:t>Stosownie do art. 59 ust. 2 ustawy z dnia 7 lipca 2023 r. o zmianie u.p.z.p. oraz niektórych innych ustaw (Dz. U. poz. 1688) do spraw dotyczących ustalenia lokalizacji inwestycji celu publicznego lub wydania decyzji o warunkach zabudowy, wszczętych od dnia wejścia w życie niniejszej ustawy i przed dniem utraty mocy studium uwarunkowań i kierunków zagospodarowania przestrzennego gminy w danej gminie:</w:t>
      </w:r>
    </w:p>
    <w:p w14:paraId="3F2B13EC" w14:textId="77777777" w:rsidR="004E397C" w:rsidRPr="004E397C" w:rsidRDefault="004E397C" w:rsidP="004E397C">
      <w:pPr>
        <w:numPr>
          <w:ilvl w:val="0"/>
          <w:numId w:val="35"/>
        </w:numPr>
        <w:spacing w:after="120" w:line="240" w:lineRule="auto"/>
        <w:ind w:firstLine="360"/>
        <w:contextualSpacing/>
        <w:jc w:val="both"/>
        <w:rPr>
          <w:rFonts w:cstheme="minorHAnsi"/>
          <w:sz w:val="28"/>
          <w:szCs w:val="28"/>
        </w:rPr>
      </w:pPr>
      <w:r w:rsidRPr="004E397C">
        <w:rPr>
          <w:rFonts w:cstheme="minorHAnsi"/>
          <w:sz w:val="28"/>
          <w:szCs w:val="28"/>
        </w:rPr>
        <w:t>stosuje się przepisy art. 54 oraz art. 61 ust. 1 pkt 1, ust. 2, 3 i 5a ustawy zmienianej w art. 1 w brzmieniu dotychczasowym;</w:t>
      </w:r>
    </w:p>
    <w:p w14:paraId="72A81761" w14:textId="77777777" w:rsidR="004E397C" w:rsidRPr="004E397C" w:rsidRDefault="004E397C" w:rsidP="004E397C">
      <w:pPr>
        <w:numPr>
          <w:ilvl w:val="0"/>
          <w:numId w:val="35"/>
        </w:numPr>
        <w:spacing w:after="120" w:line="240" w:lineRule="auto"/>
        <w:ind w:firstLine="360"/>
        <w:contextualSpacing/>
        <w:jc w:val="both"/>
        <w:rPr>
          <w:rFonts w:cstheme="minorHAnsi"/>
          <w:sz w:val="28"/>
          <w:szCs w:val="28"/>
        </w:rPr>
      </w:pPr>
      <w:r w:rsidRPr="004E397C">
        <w:rPr>
          <w:rFonts w:cstheme="minorHAnsi"/>
          <w:sz w:val="28"/>
          <w:szCs w:val="28"/>
        </w:rPr>
        <w:t>nie stosuje się przepisów art. 61 ust. 1 pkt 1a i ust. 1a ustawy zmienianej w art. 1.</w:t>
      </w:r>
    </w:p>
    <w:p w14:paraId="3595CB7E" w14:textId="77777777" w:rsidR="004E397C" w:rsidRPr="004E397C" w:rsidRDefault="004E397C" w:rsidP="004E397C">
      <w:pPr>
        <w:spacing w:after="120" w:line="240" w:lineRule="auto"/>
        <w:ind w:firstLine="567"/>
        <w:jc w:val="both"/>
        <w:rPr>
          <w:rFonts w:cstheme="minorHAnsi"/>
          <w:sz w:val="28"/>
          <w:szCs w:val="28"/>
        </w:rPr>
      </w:pPr>
      <w:r w:rsidRPr="004E397C">
        <w:rPr>
          <w:rFonts w:cstheme="minorHAnsi"/>
          <w:sz w:val="28"/>
          <w:szCs w:val="28"/>
        </w:rPr>
        <w:t>Stosownie do art. 4 ust. 2 pkt 2 u.p.z.p. w przypadku braku miejscowego planu zagospodarowania przestrzennego określenie sposobów zagospodarowania i warunków zabudowy terenu dla lokalizacji inwestycji innych niż celu publicznego następuje w drodze decyzji o warunkach zabudowy.</w:t>
      </w:r>
    </w:p>
    <w:p w14:paraId="4EAC5FF0" w14:textId="77777777" w:rsidR="004E397C" w:rsidRPr="004E397C" w:rsidRDefault="004E397C" w:rsidP="004E397C">
      <w:pPr>
        <w:spacing w:after="120" w:line="240" w:lineRule="auto"/>
        <w:ind w:firstLine="567"/>
        <w:jc w:val="both"/>
        <w:rPr>
          <w:sz w:val="28"/>
          <w:szCs w:val="28"/>
        </w:rPr>
      </w:pPr>
      <w:r w:rsidRPr="004E397C">
        <w:rPr>
          <w:sz w:val="28"/>
          <w:szCs w:val="28"/>
        </w:rPr>
        <w:t>W myśl art. 59 ust. 1 u.p.z.p. zmiana zagospodarowania terenu w przypadku braku planu miejscowego, a także zmiana sposobu użytkowania obiektu budowlanego lub jego części, z uwzględnieniem art. 50 ust. 1 i art. 86, wymaga ustalenia, w drodze decyzji, warunków zabudowy. Przepis art. 50 ust. 2 pkt 1 stosuje się odpowiednio.</w:t>
      </w:r>
    </w:p>
    <w:p w14:paraId="45E958BF" w14:textId="77777777" w:rsidR="004E397C" w:rsidRPr="004E397C" w:rsidRDefault="004E397C" w:rsidP="004E397C">
      <w:pPr>
        <w:widowControl w:val="0"/>
        <w:autoSpaceDE w:val="0"/>
        <w:autoSpaceDN w:val="0"/>
        <w:adjustRightInd w:val="0"/>
        <w:spacing w:after="120" w:line="240" w:lineRule="auto"/>
        <w:ind w:right="-1" w:firstLine="567"/>
        <w:jc w:val="both"/>
        <w:rPr>
          <w:sz w:val="28"/>
          <w:szCs w:val="28"/>
        </w:rPr>
      </w:pPr>
      <w:r w:rsidRPr="004E397C">
        <w:rPr>
          <w:sz w:val="28"/>
          <w:szCs w:val="28"/>
        </w:rPr>
        <w:t xml:space="preserve">Zgodnie z art. 60 ust. 1 u.p.z.p. decyzję o warunkach zabudowy wydaje (…) wójt, burmistrz albo prezydent miasta po uzgodnieniu z organami, o których mowa w art. 53 ust. 4, i uzyskaniu uzgodnień lub decyzji wymaganych przepisami odrębnymi. </w:t>
      </w:r>
    </w:p>
    <w:p w14:paraId="23FE7A12" w14:textId="77777777" w:rsidR="004E397C" w:rsidRPr="004E397C" w:rsidRDefault="004E397C" w:rsidP="004E397C">
      <w:pPr>
        <w:widowControl w:val="0"/>
        <w:autoSpaceDE w:val="0"/>
        <w:autoSpaceDN w:val="0"/>
        <w:adjustRightInd w:val="0"/>
        <w:spacing w:after="120" w:line="240" w:lineRule="auto"/>
        <w:ind w:right="-1" w:firstLine="567"/>
        <w:jc w:val="both"/>
        <w:rPr>
          <w:sz w:val="28"/>
          <w:szCs w:val="28"/>
        </w:rPr>
      </w:pPr>
      <w:r w:rsidRPr="004E397C">
        <w:rPr>
          <w:sz w:val="28"/>
          <w:szCs w:val="28"/>
        </w:rPr>
        <w:t>Stosownie do art. 104 § 1 i § 2 k.p.a. organ administracji publicznej załatwia sprawę przez wydanie decyzji, chyba że przepisy kodeksu stanowią inaczej. Decyzje rozstrzygają sprawę co do jej istoty w całości lub w części albo w inny sposób kończą sprawę w danej instancji.</w:t>
      </w:r>
    </w:p>
    <w:p w14:paraId="749DC07B" w14:textId="77777777" w:rsidR="004E397C" w:rsidRPr="004E397C" w:rsidRDefault="004E397C" w:rsidP="004E397C">
      <w:pPr>
        <w:tabs>
          <w:tab w:val="left" w:pos="993"/>
        </w:tabs>
        <w:spacing w:after="120" w:line="240" w:lineRule="auto"/>
        <w:ind w:firstLine="567"/>
        <w:jc w:val="both"/>
        <w:rPr>
          <w:rFonts w:cstheme="minorHAnsi"/>
          <w:sz w:val="28"/>
          <w:szCs w:val="28"/>
        </w:rPr>
      </w:pPr>
      <w:r w:rsidRPr="004E397C">
        <w:rPr>
          <w:rFonts w:cstheme="minorHAnsi"/>
          <w:sz w:val="28"/>
          <w:szCs w:val="28"/>
        </w:rPr>
        <w:t xml:space="preserve">Do wniosku o ustalenie warunków zabudowy Wnioskodawca załączył charakterystykę zabudowy i zagospodarowania terenu, w tym przeznaczenia i gabarytów projektowanego obiektu budowlanego oraz powierzchni terenu podlegającej przekształceniu, przedstawioną w formie opisowej i graficznej, która znajduje się w aktach sprawy. Treść wniosku oraz załącznik graficzny do wniosku są ze sobą spójne. W części graficznej Wnioskodawca wskazał </w:t>
      </w:r>
      <w:r w:rsidRPr="004E397C">
        <w:rPr>
          <w:rFonts w:cstheme="minorHAnsi"/>
          <w:sz w:val="28"/>
          <w:szCs w:val="28"/>
        </w:rPr>
        <w:lastRenderedPageBreak/>
        <w:t xml:space="preserve">również </w:t>
      </w:r>
      <w:r w:rsidRPr="004E397C">
        <w:rPr>
          <w:rFonts w:cstheme="minorHAnsi"/>
          <w:sz w:val="28"/>
        </w:rPr>
        <w:t>obszar, na który planowana inwestycja będzie oddziaływać</w:t>
      </w:r>
      <w:r w:rsidRPr="004E397C">
        <w:rPr>
          <w:rFonts w:cstheme="minorHAnsi"/>
          <w:sz w:val="28"/>
          <w:szCs w:val="28"/>
        </w:rPr>
        <w:t xml:space="preserve">. Wniosek zatem był kompletny. </w:t>
      </w:r>
    </w:p>
    <w:p w14:paraId="62EE1482" w14:textId="77777777" w:rsidR="004E397C" w:rsidRPr="004E397C" w:rsidRDefault="004E397C" w:rsidP="004E397C">
      <w:pPr>
        <w:tabs>
          <w:tab w:val="left" w:pos="993"/>
        </w:tabs>
        <w:spacing w:after="120" w:line="240" w:lineRule="auto"/>
        <w:ind w:firstLine="567"/>
        <w:jc w:val="both"/>
        <w:rPr>
          <w:rFonts w:cstheme="minorHAnsi"/>
          <w:sz w:val="28"/>
          <w:szCs w:val="28"/>
        </w:rPr>
      </w:pPr>
      <w:r w:rsidRPr="004E397C">
        <w:rPr>
          <w:rFonts w:cstheme="minorHAnsi"/>
          <w:sz w:val="28"/>
          <w:szCs w:val="28"/>
        </w:rPr>
        <w:t xml:space="preserve">Planowana inwestycja polega na budowie trzech budynków mieszkalnych jednorodzinnych wolno stojących oraz drogi wewnętrznej na terenie części działki o nr ewid. 214, obręb Mórka. Działka jest zlokalizowana we wsi Mórka, przy ulicy Śremskiej. </w:t>
      </w:r>
    </w:p>
    <w:p w14:paraId="6295B9BC" w14:textId="77777777" w:rsidR="004E397C" w:rsidRPr="004E397C" w:rsidRDefault="004E397C" w:rsidP="004E397C">
      <w:pPr>
        <w:tabs>
          <w:tab w:val="left" w:pos="993"/>
        </w:tabs>
        <w:spacing w:after="120" w:line="240" w:lineRule="auto"/>
        <w:ind w:firstLine="567"/>
        <w:jc w:val="both"/>
        <w:rPr>
          <w:rFonts w:cstheme="minorHAnsi"/>
          <w:sz w:val="28"/>
          <w:szCs w:val="28"/>
        </w:rPr>
      </w:pPr>
      <w:r w:rsidRPr="004E397C">
        <w:rPr>
          <w:rFonts w:cstheme="minorHAnsi"/>
          <w:sz w:val="28"/>
          <w:szCs w:val="28"/>
        </w:rPr>
        <w:t>Charakterystyka planowanej inwestycji na podstawie wniosku:</w:t>
      </w:r>
    </w:p>
    <w:p w14:paraId="25033A77" w14:textId="77777777" w:rsidR="004E397C" w:rsidRPr="004E397C" w:rsidRDefault="004E397C" w:rsidP="004E397C">
      <w:pPr>
        <w:numPr>
          <w:ilvl w:val="0"/>
          <w:numId w:val="30"/>
        </w:numPr>
        <w:tabs>
          <w:tab w:val="left" w:pos="993"/>
        </w:tabs>
        <w:spacing w:after="120" w:line="240" w:lineRule="auto"/>
        <w:contextualSpacing/>
        <w:jc w:val="both"/>
        <w:rPr>
          <w:rFonts w:cstheme="minorHAnsi"/>
          <w:sz w:val="28"/>
          <w:szCs w:val="28"/>
        </w:rPr>
      </w:pPr>
      <w:r w:rsidRPr="004E397C">
        <w:rPr>
          <w:rFonts w:cstheme="minorHAnsi"/>
          <w:sz w:val="28"/>
          <w:szCs w:val="28"/>
        </w:rPr>
        <w:t>powierzchnia zabudowy: od 100 m</w:t>
      </w:r>
      <w:r w:rsidRPr="004E397C">
        <w:rPr>
          <w:rFonts w:cstheme="minorHAnsi"/>
          <w:sz w:val="28"/>
          <w:szCs w:val="28"/>
          <w:vertAlign w:val="superscript"/>
        </w:rPr>
        <w:t>2</w:t>
      </w:r>
      <w:r w:rsidRPr="004E397C">
        <w:rPr>
          <w:rFonts w:cstheme="minorHAnsi"/>
          <w:sz w:val="28"/>
          <w:szCs w:val="28"/>
        </w:rPr>
        <w:t xml:space="preserve"> do 160 m</w:t>
      </w:r>
      <w:r w:rsidRPr="004E397C">
        <w:rPr>
          <w:rFonts w:cstheme="minorHAnsi"/>
          <w:sz w:val="28"/>
          <w:szCs w:val="28"/>
          <w:vertAlign w:val="superscript"/>
        </w:rPr>
        <w:t>2</w:t>
      </w:r>
      <w:r w:rsidRPr="004E397C">
        <w:rPr>
          <w:rFonts w:cstheme="minorHAnsi"/>
          <w:sz w:val="28"/>
          <w:szCs w:val="28"/>
        </w:rPr>
        <w:t xml:space="preserve"> każdy budynek,</w:t>
      </w:r>
    </w:p>
    <w:p w14:paraId="07E6A08E" w14:textId="77777777" w:rsidR="004E397C" w:rsidRPr="004E397C" w:rsidRDefault="004E397C" w:rsidP="004E397C">
      <w:pPr>
        <w:numPr>
          <w:ilvl w:val="0"/>
          <w:numId w:val="30"/>
        </w:numPr>
        <w:tabs>
          <w:tab w:val="left" w:pos="993"/>
        </w:tabs>
        <w:spacing w:after="120" w:line="240" w:lineRule="auto"/>
        <w:contextualSpacing/>
        <w:jc w:val="both"/>
        <w:rPr>
          <w:rFonts w:cstheme="minorHAnsi"/>
          <w:sz w:val="28"/>
          <w:szCs w:val="28"/>
        </w:rPr>
      </w:pPr>
      <w:r w:rsidRPr="004E397C">
        <w:rPr>
          <w:rFonts w:cstheme="minorHAnsi"/>
          <w:sz w:val="28"/>
          <w:szCs w:val="28"/>
        </w:rPr>
        <w:t>liczba kondygnacji nadziemnych: 2,</w:t>
      </w:r>
    </w:p>
    <w:p w14:paraId="35AA1957" w14:textId="77777777" w:rsidR="004E397C" w:rsidRPr="004E397C" w:rsidRDefault="004E397C" w:rsidP="004E397C">
      <w:pPr>
        <w:numPr>
          <w:ilvl w:val="0"/>
          <w:numId w:val="30"/>
        </w:numPr>
        <w:tabs>
          <w:tab w:val="left" w:pos="993"/>
        </w:tabs>
        <w:spacing w:after="120" w:line="240" w:lineRule="auto"/>
        <w:contextualSpacing/>
        <w:jc w:val="both"/>
        <w:rPr>
          <w:rFonts w:cstheme="minorHAnsi"/>
          <w:sz w:val="28"/>
          <w:szCs w:val="28"/>
        </w:rPr>
      </w:pPr>
      <w:r w:rsidRPr="004E397C">
        <w:rPr>
          <w:rFonts w:cstheme="minorHAnsi"/>
          <w:sz w:val="28"/>
          <w:szCs w:val="28"/>
        </w:rPr>
        <w:t>wysokość górnej krawędzi elewacji frontowej: od 3,0 m do 4,0 m,</w:t>
      </w:r>
    </w:p>
    <w:p w14:paraId="599AE975" w14:textId="77777777" w:rsidR="004E397C" w:rsidRPr="004E397C" w:rsidRDefault="004E397C" w:rsidP="004E397C">
      <w:pPr>
        <w:numPr>
          <w:ilvl w:val="0"/>
          <w:numId w:val="30"/>
        </w:numPr>
        <w:tabs>
          <w:tab w:val="left" w:pos="993"/>
        </w:tabs>
        <w:spacing w:after="120" w:line="240" w:lineRule="auto"/>
        <w:contextualSpacing/>
        <w:jc w:val="both"/>
        <w:rPr>
          <w:rFonts w:cstheme="minorHAnsi"/>
          <w:sz w:val="28"/>
          <w:szCs w:val="28"/>
        </w:rPr>
      </w:pPr>
      <w:r w:rsidRPr="004E397C">
        <w:rPr>
          <w:rFonts w:cstheme="minorHAnsi"/>
          <w:sz w:val="28"/>
          <w:szCs w:val="28"/>
        </w:rPr>
        <w:t>wysokość całkowita budynku: od 7,5 m do 8,5 m,</w:t>
      </w:r>
    </w:p>
    <w:p w14:paraId="26FB18F4" w14:textId="77777777" w:rsidR="004E397C" w:rsidRPr="004E397C" w:rsidRDefault="004E397C" w:rsidP="004E397C">
      <w:pPr>
        <w:numPr>
          <w:ilvl w:val="0"/>
          <w:numId w:val="30"/>
        </w:numPr>
        <w:tabs>
          <w:tab w:val="left" w:pos="993"/>
        </w:tabs>
        <w:spacing w:after="120" w:line="240" w:lineRule="auto"/>
        <w:contextualSpacing/>
        <w:jc w:val="both"/>
        <w:rPr>
          <w:rFonts w:cstheme="minorHAnsi"/>
          <w:sz w:val="28"/>
          <w:szCs w:val="28"/>
        </w:rPr>
      </w:pPr>
      <w:r w:rsidRPr="004E397C">
        <w:rPr>
          <w:rFonts w:cstheme="minorHAnsi"/>
          <w:sz w:val="28"/>
          <w:szCs w:val="28"/>
        </w:rPr>
        <w:t>szerokość elewacji: od 10,0 m do 15,0 m,</w:t>
      </w:r>
    </w:p>
    <w:p w14:paraId="09F90E41" w14:textId="77777777" w:rsidR="004E397C" w:rsidRPr="004E397C" w:rsidRDefault="004E397C" w:rsidP="004E397C">
      <w:pPr>
        <w:numPr>
          <w:ilvl w:val="0"/>
          <w:numId w:val="30"/>
        </w:numPr>
        <w:tabs>
          <w:tab w:val="left" w:pos="993"/>
        </w:tabs>
        <w:spacing w:after="120" w:line="240" w:lineRule="auto"/>
        <w:contextualSpacing/>
        <w:jc w:val="both"/>
        <w:rPr>
          <w:rFonts w:cstheme="minorHAnsi"/>
          <w:sz w:val="28"/>
          <w:szCs w:val="28"/>
        </w:rPr>
      </w:pPr>
      <w:r w:rsidRPr="004E397C">
        <w:rPr>
          <w:rFonts w:cstheme="minorHAnsi"/>
          <w:sz w:val="28"/>
          <w:szCs w:val="28"/>
        </w:rPr>
        <w:t>kąt nachylenia dachu: od 35° do 45°,</w:t>
      </w:r>
    </w:p>
    <w:p w14:paraId="32A47D46" w14:textId="77777777" w:rsidR="004E397C" w:rsidRPr="004E397C" w:rsidRDefault="004E397C" w:rsidP="004E397C">
      <w:pPr>
        <w:numPr>
          <w:ilvl w:val="0"/>
          <w:numId w:val="30"/>
        </w:numPr>
        <w:tabs>
          <w:tab w:val="left" w:pos="993"/>
        </w:tabs>
        <w:spacing w:after="120" w:line="240" w:lineRule="auto"/>
        <w:contextualSpacing/>
        <w:jc w:val="both"/>
        <w:rPr>
          <w:rFonts w:cstheme="minorHAnsi"/>
          <w:sz w:val="28"/>
          <w:szCs w:val="28"/>
        </w:rPr>
      </w:pPr>
      <w:r w:rsidRPr="004E397C">
        <w:rPr>
          <w:rFonts w:cstheme="minorHAnsi"/>
          <w:sz w:val="28"/>
          <w:szCs w:val="28"/>
        </w:rPr>
        <w:t>rodzaj dachu: dwuspadowy, kalenicowy.</w:t>
      </w:r>
    </w:p>
    <w:p w14:paraId="6B66BFF7" w14:textId="77777777" w:rsidR="004E397C" w:rsidRPr="004E397C" w:rsidRDefault="004E397C" w:rsidP="004E397C">
      <w:pPr>
        <w:tabs>
          <w:tab w:val="left" w:pos="993"/>
        </w:tabs>
        <w:spacing w:after="120" w:line="240" w:lineRule="auto"/>
        <w:ind w:firstLine="567"/>
        <w:jc w:val="both"/>
        <w:rPr>
          <w:rFonts w:cstheme="minorHAnsi"/>
          <w:sz w:val="28"/>
          <w:szCs w:val="28"/>
        </w:rPr>
      </w:pPr>
      <w:r w:rsidRPr="004E397C">
        <w:rPr>
          <w:rFonts w:cstheme="minorHAnsi"/>
          <w:sz w:val="28"/>
          <w:szCs w:val="28"/>
        </w:rPr>
        <w:t>Przedmiotowa działka o powierzchni 37042 m</w:t>
      </w:r>
      <w:r w:rsidRPr="004E397C">
        <w:rPr>
          <w:rFonts w:cstheme="minorHAnsi"/>
          <w:sz w:val="28"/>
          <w:szCs w:val="28"/>
          <w:vertAlign w:val="superscript"/>
        </w:rPr>
        <w:t>2</w:t>
      </w:r>
      <w:r w:rsidRPr="004E397C">
        <w:rPr>
          <w:rFonts w:cstheme="minorHAnsi"/>
          <w:sz w:val="28"/>
          <w:szCs w:val="28"/>
        </w:rPr>
        <w:t>, zgodnie z prowadzoną przez Starostę Śremskiego ewidencją gruntów i budynków, stanowi grunty orne IVa. Wnioskiem objęta jest część działki o powierzchni ca 3700 m</w:t>
      </w:r>
      <w:r w:rsidRPr="004E397C">
        <w:rPr>
          <w:rFonts w:cstheme="minorHAnsi"/>
          <w:sz w:val="28"/>
          <w:szCs w:val="28"/>
          <w:vertAlign w:val="superscript"/>
        </w:rPr>
        <w:t>2</w:t>
      </w:r>
      <w:r w:rsidRPr="004E397C">
        <w:rPr>
          <w:rFonts w:cstheme="minorHAnsi"/>
          <w:sz w:val="28"/>
          <w:szCs w:val="28"/>
        </w:rPr>
        <w:t xml:space="preserve">. Front terenu objętego wnioskiem o szerokości ca 76,4 m to część przylegająca do drogi powiatowej – ul. Śremskiej (działki o nr ewid. 421, obręb Mórka). Teren objęty wnioskiem </w:t>
      </w:r>
      <w:r w:rsidRPr="004E397C">
        <w:rPr>
          <w:rFonts w:cstheme="minorHAnsi"/>
          <w:sz w:val="28"/>
        </w:rPr>
        <w:t>od strony zachodniej graniczy z drogą, a od pozostałych stron graniczy z gruntami ornymi.</w:t>
      </w:r>
    </w:p>
    <w:p w14:paraId="5FDF6941" w14:textId="77777777" w:rsidR="004E397C" w:rsidRPr="004E397C" w:rsidRDefault="004E397C" w:rsidP="004E397C">
      <w:pPr>
        <w:tabs>
          <w:tab w:val="left" w:pos="993"/>
        </w:tabs>
        <w:spacing w:after="120" w:line="240" w:lineRule="auto"/>
        <w:ind w:firstLine="567"/>
        <w:jc w:val="both"/>
        <w:rPr>
          <w:rFonts w:cstheme="minorHAnsi"/>
          <w:sz w:val="28"/>
          <w:szCs w:val="28"/>
        </w:rPr>
      </w:pPr>
      <w:r w:rsidRPr="004E397C">
        <w:rPr>
          <w:rFonts w:cstheme="minorHAnsi"/>
          <w:sz w:val="28"/>
          <w:szCs w:val="28"/>
        </w:rPr>
        <w:t>Dla terenu projektowanej inwestycji nie został uchwalony miejscowy plan zagospodarowania przestrzennego ani nie została podjęta uchwała w sprawie przystąpienia do sporządzenia miejscowego planu zagospodarowania przestrzennego.</w:t>
      </w:r>
    </w:p>
    <w:p w14:paraId="18D5CCA4" w14:textId="77777777" w:rsidR="004E397C" w:rsidRPr="004E397C" w:rsidRDefault="004E397C" w:rsidP="004E397C">
      <w:pPr>
        <w:spacing w:after="120" w:line="240" w:lineRule="auto"/>
        <w:ind w:firstLine="567"/>
        <w:jc w:val="both"/>
        <w:rPr>
          <w:rFonts w:cstheme="minorHAnsi"/>
          <w:sz w:val="28"/>
          <w:szCs w:val="28"/>
        </w:rPr>
      </w:pPr>
      <w:r w:rsidRPr="004E397C">
        <w:rPr>
          <w:rFonts w:cstheme="minorHAnsi"/>
          <w:sz w:val="28"/>
          <w:szCs w:val="28"/>
        </w:rPr>
        <w:t>Stosownie do art. 53 ust. 3 w związku z art. 64 ust. 1 u.p.z.p. przeprowadzone zostały analizy: warunków i zasad zagospodarowania terenu oraz jego zabudowy, wynikających z przepisów odrębnych, oraz stanu faktycznego i prawnego terenu, na którym przewiduje się realizację inwestycji. Wyniki tych analiz znajdują się w aktach sprawy.</w:t>
      </w:r>
    </w:p>
    <w:p w14:paraId="5D1863E0" w14:textId="77777777" w:rsidR="004E397C" w:rsidRPr="004E397C" w:rsidRDefault="004E397C" w:rsidP="004E397C">
      <w:pPr>
        <w:spacing w:after="120" w:line="240" w:lineRule="auto"/>
        <w:ind w:firstLine="567"/>
        <w:jc w:val="both"/>
        <w:rPr>
          <w:rFonts w:cstheme="minorHAnsi"/>
          <w:sz w:val="28"/>
          <w:szCs w:val="28"/>
        </w:rPr>
      </w:pPr>
      <w:r w:rsidRPr="004E397C">
        <w:rPr>
          <w:rFonts w:cstheme="minorHAnsi"/>
          <w:sz w:val="28"/>
          <w:szCs w:val="28"/>
        </w:rPr>
        <w:t xml:space="preserve">Zgodnie z art. 60 ust. 4 u.p.z.p. sporządzenie projektu decyzji o warunków zabudowy powierzono osobie spełniającej warunki określone w art. 5 pkt 4. Projekt decyzji znajduje się w aktach sprawy. </w:t>
      </w:r>
    </w:p>
    <w:p w14:paraId="0BBC8057" w14:textId="77777777" w:rsidR="004E397C" w:rsidRPr="004E397C" w:rsidRDefault="004E397C" w:rsidP="004E397C">
      <w:pPr>
        <w:widowControl w:val="0"/>
        <w:autoSpaceDE w:val="0"/>
        <w:spacing w:after="120" w:line="240" w:lineRule="auto"/>
        <w:ind w:firstLine="567"/>
        <w:jc w:val="both"/>
        <w:rPr>
          <w:rFonts w:cstheme="minorHAnsi"/>
          <w:sz w:val="28"/>
          <w:szCs w:val="28"/>
        </w:rPr>
      </w:pPr>
      <w:r w:rsidRPr="004E397C">
        <w:rPr>
          <w:rFonts w:cstheme="minorHAnsi"/>
          <w:sz w:val="28"/>
          <w:szCs w:val="28"/>
        </w:rPr>
        <w:t>W decyzji nie ustalono warunków i szczegółowych zasad zagospodarowania terenu oraz jego zabudowy wynikających z przepisów odrębnych – w zakresie ochrony środowiska i zdrowia ludzi oraz dziedzictwa kulturowego i zabytków oraz dóbr kultury współczesnej, a związanych z:</w:t>
      </w:r>
    </w:p>
    <w:p w14:paraId="599435A9" w14:textId="77777777" w:rsidR="004E397C" w:rsidRPr="004E397C" w:rsidRDefault="004E397C" w:rsidP="004E397C">
      <w:pPr>
        <w:numPr>
          <w:ilvl w:val="0"/>
          <w:numId w:val="10"/>
        </w:numPr>
        <w:tabs>
          <w:tab w:val="left" w:pos="851"/>
        </w:tabs>
        <w:spacing w:after="120" w:line="240" w:lineRule="auto"/>
        <w:ind w:left="0" w:firstLine="567"/>
        <w:contextualSpacing/>
        <w:jc w:val="both"/>
        <w:rPr>
          <w:rFonts w:cstheme="minorHAnsi"/>
          <w:sz w:val="28"/>
          <w:szCs w:val="28"/>
        </w:rPr>
      </w:pPr>
      <w:r w:rsidRPr="004E397C">
        <w:rPr>
          <w:rFonts w:cstheme="minorHAnsi"/>
          <w:sz w:val="28"/>
          <w:szCs w:val="28"/>
        </w:rPr>
        <w:lastRenderedPageBreak/>
        <w:t>występowaniem złóż kopalin oraz obecnych i przyszłych potrzeb eksploatacji tych złóż;</w:t>
      </w:r>
    </w:p>
    <w:p w14:paraId="25DB8D1B" w14:textId="77777777" w:rsidR="004E397C" w:rsidRPr="004E397C" w:rsidRDefault="004E397C" w:rsidP="004E397C">
      <w:pPr>
        <w:numPr>
          <w:ilvl w:val="0"/>
          <w:numId w:val="10"/>
        </w:numPr>
        <w:tabs>
          <w:tab w:val="left" w:pos="851"/>
        </w:tabs>
        <w:spacing w:after="120" w:line="240" w:lineRule="auto"/>
        <w:ind w:left="0" w:firstLine="567"/>
        <w:contextualSpacing/>
        <w:jc w:val="both"/>
        <w:rPr>
          <w:rFonts w:cstheme="minorHAnsi"/>
          <w:sz w:val="28"/>
          <w:szCs w:val="28"/>
        </w:rPr>
      </w:pPr>
      <w:r w:rsidRPr="004E397C">
        <w:rPr>
          <w:rFonts w:cstheme="minorHAnsi"/>
          <w:sz w:val="28"/>
          <w:szCs w:val="28"/>
        </w:rPr>
        <w:t>ochroną wód, gleby i ziemi przed zanieczyszczeniem w związku z prowadzeniem gospodarki rolnej;</w:t>
      </w:r>
    </w:p>
    <w:p w14:paraId="72C1102F" w14:textId="77777777" w:rsidR="004E397C" w:rsidRPr="004E397C" w:rsidRDefault="004E397C" w:rsidP="004E397C">
      <w:pPr>
        <w:numPr>
          <w:ilvl w:val="0"/>
          <w:numId w:val="10"/>
        </w:numPr>
        <w:tabs>
          <w:tab w:val="left" w:pos="851"/>
        </w:tabs>
        <w:spacing w:after="120" w:line="240" w:lineRule="auto"/>
        <w:ind w:left="0" w:firstLine="567"/>
        <w:contextualSpacing/>
        <w:jc w:val="both"/>
        <w:rPr>
          <w:rFonts w:cstheme="minorHAnsi"/>
          <w:sz w:val="28"/>
          <w:szCs w:val="28"/>
        </w:rPr>
      </w:pPr>
      <w:r w:rsidRPr="004E397C">
        <w:rPr>
          <w:rFonts w:cstheme="minorHAnsi"/>
          <w:sz w:val="28"/>
          <w:szCs w:val="28"/>
        </w:rPr>
        <w:t>potrzebami w zakresie zapobiegania ruchom masowym ziemi i ich skutkom;</w:t>
      </w:r>
    </w:p>
    <w:p w14:paraId="7396D0EF" w14:textId="77777777" w:rsidR="004E397C" w:rsidRPr="004E397C" w:rsidRDefault="004E397C" w:rsidP="004E397C">
      <w:pPr>
        <w:numPr>
          <w:ilvl w:val="0"/>
          <w:numId w:val="10"/>
        </w:numPr>
        <w:tabs>
          <w:tab w:val="left" w:pos="851"/>
        </w:tabs>
        <w:spacing w:after="120" w:line="240" w:lineRule="auto"/>
        <w:ind w:left="0" w:firstLine="567"/>
        <w:contextualSpacing/>
        <w:jc w:val="both"/>
        <w:rPr>
          <w:rFonts w:cstheme="minorHAnsi"/>
          <w:sz w:val="28"/>
          <w:szCs w:val="28"/>
        </w:rPr>
      </w:pPr>
      <w:r w:rsidRPr="004E397C">
        <w:rPr>
          <w:rFonts w:cstheme="minorHAnsi"/>
          <w:sz w:val="28"/>
          <w:szCs w:val="28"/>
        </w:rPr>
        <w:t>innymi potrzebami w zakresie ochrony powietrza, wód, gleby, ziemi, ochrony przed hałasem, wibracjami i polami elektromagnetycznymi;</w:t>
      </w:r>
    </w:p>
    <w:p w14:paraId="7BDA5662" w14:textId="77777777" w:rsidR="004E397C" w:rsidRPr="004E397C" w:rsidRDefault="004E397C" w:rsidP="004E397C">
      <w:pPr>
        <w:numPr>
          <w:ilvl w:val="0"/>
          <w:numId w:val="10"/>
        </w:numPr>
        <w:tabs>
          <w:tab w:val="left" w:pos="851"/>
        </w:tabs>
        <w:spacing w:after="120" w:line="240" w:lineRule="auto"/>
        <w:ind w:left="0" w:firstLine="567"/>
        <w:contextualSpacing/>
        <w:jc w:val="both"/>
        <w:rPr>
          <w:rFonts w:cstheme="minorHAnsi"/>
          <w:sz w:val="28"/>
          <w:szCs w:val="28"/>
        </w:rPr>
      </w:pPr>
      <w:r w:rsidRPr="004E397C">
        <w:rPr>
          <w:rFonts w:cstheme="minorHAnsi"/>
          <w:sz w:val="28"/>
          <w:szCs w:val="28"/>
        </w:rPr>
        <w:t>ograniczeniami wynikającymi z ustanowienia w trybie ustawy z dnia 16 kwietnia 2004 r. o ochronie przyrody (Dz. U. z 2023 r. poz. 1336, 1688 i 1890, z 2022 r. poz. 2375) form ochrony przyrody oraz ustaleń obowiązujących planów ochrony;</w:t>
      </w:r>
    </w:p>
    <w:p w14:paraId="0230EDA8" w14:textId="77777777" w:rsidR="004E397C" w:rsidRPr="004E397C" w:rsidRDefault="004E397C" w:rsidP="004E397C">
      <w:pPr>
        <w:numPr>
          <w:ilvl w:val="0"/>
          <w:numId w:val="10"/>
        </w:numPr>
        <w:tabs>
          <w:tab w:val="left" w:pos="851"/>
        </w:tabs>
        <w:spacing w:after="120" w:line="240" w:lineRule="auto"/>
        <w:ind w:left="0" w:firstLine="567"/>
        <w:contextualSpacing/>
        <w:jc w:val="both"/>
        <w:rPr>
          <w:rFonts w:cstheme="minorHAnsi"/>
          <w:sz w:val="28"/>
          <w:szCs w:val="28"/>
        </w:rPr>
      </w:pPr>
      <w:r w:rsidRPr="004E397C">
        <w:rPr>
          <w:rFonts w:cstheme="minorHAnsi"/>
          <w:sz w:val="28"/>
          <w:szCs w:val="28"/>
        </w:rPr>
        <w:t>ograniczeniami wynikającymi z ustalenia w trybie przepisów ustawy z dnia 20 lipca 2017 r. – Prawo wodne (Dz. U. z 2023 r. poz. 1478, 1688, 1963, 1890 i 2029) warunków korzystania z wód regionu wodnego i zlewni oraz ustanowienia stref ochronnych ujęć wód, a także obszarów ochronnych zbiorników wód śródlądowych;</w:t>
      </w:r>
    </w:p>
    <w:p w14:paraId="2A1A09D8" w14:textId="77777777" w:rsidR="004E397C" w:rsidRPr="004E397C" w:rsidRDefault="004E397C" w:rsidP="004E397C">
      <w:pPr>
        <w:numPr>
          <w:ilvl w:val="0"/>
          <w:numId w:val="10"/>
        </w:numPr>
        <w:tabs>
          <w:tab w:val="left" w:pos="851"/>
        </w:tabs>
        <w:spacing w:after="120" w:line="240" w:lineRule="auto"/>
        <w:ind w:left="0" w:firstLine="567"/>
        <w:contextualSpacing/>
        <w:jc w:val="both"/>
        <w:rPr>
          <w:rFonts w:cstheme="minorHAnsi"/>
          <w:sz w:val="28"/>
          <w:szCs w:val="28"/>
        </w:rPr>
      </w:pPr>
      <w:r w:rsidRPr="004E397C">
        <w:rPr>
          <w:rFonts w:cstheme="minorHAnsi"/>
          <w:sz w:val="28"/>
          <w:szCs w:val="28"/>
        </w:rPr>
        <w:t>ograniczeniami w zabudowie i zagospodarowaniu terenu wynikających z lokalizacji terenu w strefie ochrony konserwatorskiej lub wykonywaniem robót budowlanych w budynku wpisanym do rejestru lub gminnej ewidencji zabytków,</w:t>
      </w:r>
    </w:p>
    <w:p w14:paraId="43F865B5" w14:textId="77777777" w:rsidR="004E397C" w:rsidRPr="004E397C" w:rsidRDefault="004E397C" w:rsidP="004E397C">
      <w:pPr>
        <w:tabs>
          <w:tab w:val="left" w:pos="851"/>
        </w:tabs>
        <w:spacing w:after="120" w:line="240" w:lineRule="auto"/>
        <w:ind w:firstLine="567"/>
        <w:jc w:val="both"/>
        <w:rPr>
          <w:rFonts w:cstheme="minorHAnsi"/>
          <w:sz w:val="28"/>
          <w:szCs w:val="28"/>
        </w:rPr>
      </w:pPr>
      <w:r w:rsidRPr="004E397C">
        <w:rPr>
          <w:rFonts w:cstheme="minorHAnsi"/>
          <w:sz w:val="28"/>
          <w:szCs w:val="28"/>
        </w:rPr>
        <w:t>oraz ochroną obiektów budowlanych na terenach górniczych, w zakresie granic i sposobów zagospodarowania terenów lub obiektów podlegających ochronie, ustalonych na podstawie odrębnych przepisów, w tym terenów górniczych, a także narażonych na niebezpieczeństwo powodzi oraz zagrożonych osuwaniem się mas ziemnych,</w:t>
      </w:r>
    </w:p>
    <w:p w14:paraId="2B62B11D" w14:textId="77777777" w:rsidR="004E397C" w:rsidRPr="004E397C" w:rsidRDefault="004E397C" w:rsidP="004E397C">
      <w:pPr>
        <w:widowControl w:val="0"/>
        <w:tabs>
          <w:tab w:val="left" w:pos="993"/>
        </w:tabs>
        <w:autoSpaceDE w:val="0"/>
        <w:spacing w:after="120" w:line="240" w:lineRule="auto"/>
        <w:jc w:val="both"/>
        <w:rPr>
          <w:rFonts w:cstheme="minorHAnsi"/>
          <w:sz w:val="28"/>
          <w:szCs w:val="28"/>
        </w:rPr>
      </w:pPr>
      <w:r w:rsidRPr="004E397C">
        <w:rPr>
          <w:rFonts w:cstheme="minorHAnsi"/>
          <w:sz w:val="28"/>
          <w:szCs w:val="28"/>
        </w:rPr>
        <w:t>ponieważ nie wynikały z nich żadne nakazy, zakazy i ograniczenia w zagospodarowaniu przedmiotowego terenu.</w:t>
      </w:r>
    </w:p>
    <w:p w14:paraId="04316FA5" w14:textId="77777777" w:rsidR="004E397C" w:rsidRPr="004E397C" w:rsidRDefault="004E397C" w:rsidP="004E397C">
      <w:pPr>
        <w:spacing w:after="120" w:line="240" w:lineRule="auto"/>
        <w:ind w:firstLine="567"/>
        <w:jc w:val="both"/>
        <w:rPr>
          <w:rFonts w:cstheme="minorHAnsi"/>
          <w:sz w:val="28"/>
          <w:szCs w:val="28"/>
        </w:rPr>
      </w:pPr>
      <w:r w:rsidRPr="004E397C">
        <w:rPr>
          <w:rFonts w:cstheme="minorHAnsi"/>
          <w:sz w:val="28"/>
          <w:szCs w:val="28"/>
        </w:rPr>
        <w:t>Wydanie decyzji o warunkach zabudowy jest możliwe jedynie w przypadku łącznego spełnienia warunków, o których mowa w art. 61 ust. 1 u.p.z.p., a mianowicie:</w:t>
      </w:r>
    </w:p>
    <w:p w14:paraId="7794B2B4" w14:textId="77777777" w:rsidR="004E397C" w:rsidRPr="004E397C" w:rsidRDefault="004E397C" w:rsidP="004E397C">
      <w:pPr>
        <w:numPr>
          <w:ilvl w:val="0"/>
          <w:numId w:val="32"/>
        </w:numPr>
        <w:tabs>
          <w:tab w:val="left" w:pos="851"/>
        </w:tabs>
        <w:spacing w:after="120" w:line="240" w:lineRule="auto"/>
        <w:ind w:left="0" w:firstLine="567"/>
        <w:contextualSpacing/>
        <w:jc w:val="both"/>
        <w:rPr>
          <w:rFonts w:cstheme="minorHAnsi"/>
          <w:sz w:val="28"/>
          <w:szCs w:val="28"/>
        </w:rPr>
      </w:pPr>
      <w:r w:rsidRPr="004E397C">
        <w:rPr>
          <w:rFonts w:cstheme="minorHAnsi"/>
          <w:sz w:val="28"/>
          <w:szCs w:val="28"/>
        </w:rPr>
        <w:t>co najmniej jedna działka sąsiednia, dostępna z tej samej drogi publicznej, jest zabudowana w sposób pozwalający na określenie wymagań dotyczących nowej zabudowy w zakresie kontynuacji funkcji, parametrów, cech i wskaźników kształtowania zabudowy oraz zagospodarowania terenu, w tym gabarytów i formy architektonicznej obiektów budowlanych, linii zabudowy oraz intensywności wykorzystania terenu;</w:t>
      </w:r>
    </w:p>
    <w:p w14:paraId="1E989236" w14:textId="77777777" w:rsidR="004E397C" w:rsidRPr="004E397C" w:rsidRDefault="004E397C" w:rsidP="004E397C">
      <w:pPr>
        <w:numPr>
          <w:ilvl w:val="0"/>
          <w:numId w:val="32"/>
        </w:numPr>
        <w:tabs>
          <w:tab w:val="left" w:pos="851"/>
        </w:tabs>
        <w:spacing w:after="120" w:line="240" w:lineRule="auto"/>
        <w:ind w:left="0" w:firstLine="567"/>
        <w:contextualSpacing/>
        <w:jc w:val="both"/>
        <w:rPr>
          <w:rFonts w:cstheme="minorHAnsi"/>
          <w:sz w:val="28"/>
          <w:szCs w:val="28"/>
        </w:rPr>
      </w:pPr>
      <w:r w:rsidRPr="004E397C">
        <w:rPr>
          <w:rFonts w:cstheme="minorHAnsi"/>
          <w:sz w:val="28"/>
          <w:szCs w:val="28"/>
        </w:rPr>
        <w:lastRenderedPageBreak/>
        <w:t>teren ma dostęp do drogi publicznej rozumiany jako bezpośredni dostęp do tej drogi albo dostęp do niej przez drogę wewnętrzną lub przez ustanowienie odpowiedniej służebności drogowej;</w:t>
      </w:r>
    </w:p>
    <w:p w14:paraId="5E2DEDF8" w14:textId="77777777" w:rsidR="004E397C" w:rsidRPr="004E397C" w:rsidRDefault="004E397C" w:rsidP="004E397C">
      <w:pPr>
        <w:numPr>
          <w:ilvl w:val="0"/>
          <w:numId w:val="32"/>
        </w:numPr>
        <w:tabs>
          <w:tab w:val="left" w:pos="851"/>
        </w:tabs>
        <w:spacing w:after="120" w:line="240" w:lineRule="auto"/>
        <w:ind w:left="0" w:firstLine="567"/>
        <w:contextualSpacing/>
        <w:jc w:val="both"/>
        <w:rPr>
          <w:rFonts w:cstheme="minorHAnsi"/>
          <w:sz w:val="28"/>
          <w:szCs w:val="28"/>
        </w:rPr>
      </w:pPr>
      <w:r w:rsidRPr="004E397C">
        <w:rPr>
          <w:rFonts w:cstheme="minorHAnsi"/>
          <w:sz w:val="28"/>
          <w:szCs w:val="28"/>
        </w:rPr>
        <w:t>istniejące lub projektowane uzbrojenie terenu jest wystarczające dla zamierzenia budowlanego, przy czym warunek uznaje się za spełniony, jeżeli wykonanie uzbrojenia terenu zostanie zagwarantowane w drodze umowy zawartej między właściwą jednostką organizacyjną a inwestorem;</w:t>
      </w:r>
    </w:p>
    <w:p w14:paraId="230F2075" w14:textId="77777777" w:rsidR="004E397C" w:rsidRPr="004E397C" w:rsidRDefault="004E397C" w:rsidP="004E397C">
      <w:pPr>
        <w:numPr>
          <w:ilvl w:val="0"/>
          <w:numId w:val="32"/>
        </w:numPr>
        <w:tabs>
          <w:tab w:val="left" w:pos="851"/>
        </w:tabs>
        <w:spacing w:after="120" w:line="240" w:lineRule="auto"/>
        <w:ind w:left="0" w:firstLine="567"/>
        <w:contextualSpacing/>
        <w:jc w:val="both"/>
        <w:rPr>
          <w:rFonts w:cstheme="minorHAnsi"/>
          <w:sz w:val="28"/>
          <w:szCs w:val="28"/>
        </w:rPr>
      </w:pPr>
      <w:r w:rsidRPr="004E397C">
        <w:rPr>
          <w:rFonts w:cstheme="minorHAnsi"/>
          <w:sz w:val="28"/>
          <w:szCs w:val="28"/>
        </w:rPr>
        <w:t>teren nie wymaga uzyskania zgody na zmianę przeznaczenia gruntów rolnych i leśnych na cele nierolnicze i nieleśne albo jest objęty zgodą uzyskaną przy sporządzaniu miejscowych planów, które utraciły moc na podstawie art. 67 ustawy, o której mowa w art. 88 ust. 1;</w:t>
      </w:r>
    </w:p>
    <w:p w14:paraId="165CE86C" w14:textId="77777777" w:rsidR="004E397C" w:rsidRPr="004E397C" w:rsidRDefault="004E397C" w:rsidP="004E397C">
      <w:pPr>
        <w:numPr>
          <w:ilvl w:val="0"/>
          <w:numId w:val="32"/>
        </w:numPr>
        <w:tabs>
          <w:tab w:val="left" w:pos="851"/>
        </w:tabs>
        <w:spacing w:after="120" w:line="240" w:lineRule="auto"/>
        <w:ind w:left="0" w:firstLine="567"/>
        <w:contextualSpacing/>
        <w:jc w:val="both"/>
        <w:rPr>
          <w:rFonts w:cstheme="minorHAnsi"/>
          <w:sz w:val="28"/>
          <w:szCs w:val="28"/>
        </w:rPr>
      </w:pPr>
      <w:r w:rsidRPr="004E397C">
        <w:rPr>
          <w:rFonts w:cstheme="minorHAnsi"/>
          <w:sz w:val="28"/>
          <w:szCs w:val="28"/>
        </w:rPr>
        <w:t>decyzja jest zgodna z przepisami odrębnymi;</w:t>
      </w:r>
    </w:p>
    <w:p w14:paraId="054D2864" w14:textId="77777777" w:rsidR="004E397C" w:rsidRPr="004E397C" w:rsidRDefault="004E397C" w:rsidP="004E397C">
      <w:pPr>
        <w:numPr>
          <w:ilvl w:val="0"/>
          <w:numId w:val="32"/>
        </w:numPr>
        <w:tabs>
          <w:tab w:val="left" w:pos="851"/>
        </w:tabs>
        <w:spacing w:after="120" w:line="240" w:lineRule="auto"/>
        <w:ind w:left="0" w:firstLine="567"/>
        <w:contextualSpacing/>
        <w:jc w:val="both"/>
        <w:rPr>
          <w:rFonts w:cstheme="minorHAnsi"/>
          <w:sz w:val="28"/>
          <w:szCs w:val="28"/>
        </w:rPr>
      </w:pPr>
      <w:r w:rsidRPr="004E397C">
        <w:rPr>
          <w:rFonts w:cstheme="minorHAnsi"/>
          <w:sz w:val="28"/>
          <w:szCs w:val="28"/>
          <w:shd w:val="clear" w:color="auto" w:fill="FFFFFF"/>
        </w:rPr>
        <w:t>zamierzenie budowlane nie znajdzie się w obszarze</w:t>
      </w:r>
      <w:r w:rsidRPr="004E397C">
        <w:rPr>
          <w:rFonts w:cstheme="minorHAnsi"/>
          <w:sz w:val="28"/>
          <w:szCs w:val="28"/>
          <w:lang w:eastAsia="pl-PL"/>
        </w:rPr>
        <w:t xml:space="preserve">: </w:t>
      </w:r>
    </w:p>
    <w:p w14:paraId="7C133DCB" w14:textId="77777777" w:rsidR="004E397C" w:rsidRPr="004E397C" w:rsidRDefault="004E397C" w:rsidP="004E397C">
      <w:pPr>
        <w:numPr>
          <w:ilvl w:val="0"/>
          <w:numId w:val="22"/>
        </w:numPr>
        <w:tabs>
          <w:tab w:val="left" w:pos="1134"/>
        </w:tabs>
        <w:spacing w:after="120" w:line="240" w:lineRule="auto"/>
        <w:ind w:left="1134"/>
        <w:contextualSpacing/>
        <w:jc w:val="both"/>
        <w:rPr>
          <w:rFonts w:cstheme="minorHAnsi"/>
          <w:sz w:val="28"/>
          <w:szCs w:val="28"/>
        </w:rPr>
      </w:pPr>
      <w:r w:rsidRPr="004E397C">
        <w:rPr>
          <w:rFonts w:cstheme="minorHAnsi"/>
          <w:sz w:val="28"/>
          <w:szCs w:val="28"/>
        </w:rPr>
        <w:t>w stosunku do którego decyzją o ustaleniu lokalizacji strategicznej inwestycji w zakresie sieci przesyłowej, o której mowa w art. 5 ust. 1 ustawy z dnia 24 lipca 2015 r. o przygotowaniu i realizacji strategicznych inwestycji w zakresie sieci przesyłowych (Dz.U. z 2023 r. poz. 1680, 1506, 1688 i 2029), ustanowiony został zakaz, o którym mowa w art. 22 ust. 2 pkt 1 tej ustawy,</w:t>
      </w:r>
    </w:p>
    <w:p w14:paraId="0936A12A" w14:textId="77777777" w:rsidR="004E397C" w:rsidRPr="004E397C" w:rsidRDefault="004E397C" w:rsidP="004E397C">
      <w:pPr>
        <w:numPr>
          <w:ilvl w:val="0"/>
          <w:numId w:val="22"/>
        </w:numPr>
        <w:tabs>
          <w:tab w:val="left" w:pos="1134"/>
        </w:tabs>
        <w:spacing w:after="120" w:line="240" w:lineRule="auto"/>
        <w:ind w:left="1134"/>
        <w:contextualSpacing/>
        <w:jc w:val="both"/>
        <w:rPr>
          <w:rFonts w:cstheme="minorHAnsi"/>
          <w:sz w:val="28"/>
          <w:szCs w:val="28"/>
        </w:rPr>
      </w:pPr>
      <w:r w:rsidRPr="004E397C">
        <w:rPr>
          <w:rFonts w:cstheme="minorHAnsi"/>
          <w:sz w:val="28"/>
          <w:szCs w:val="28"/>
          <w:lang w:eastAsia="pl-PL"/>
        </w:rPr>
        <w:t xml:space="preserve">strefy kontrolowanej wyznaczonej po obu stronach gazociągu, </w:t>
      </w:r>
    </w:p>
    <w:p w14:paraId="0FD18B06" w14:textId="77777777" w:rsidR="004E397C" w:rsidRPr="004E397C" w:rsidRDefault="004E397C" w:rsidP="004E397C">
      <w:pPr>
        <w:numPr>
          <w:ilvl w:val="0"/>
          <w:numId w:val="22"/>
        </w:numPr>
        <w:tabs>
          <w:tab w:val="left" w:pos="1134"/>
        </w:tabs>
        <w:spacing w:after="120" w:line="240" w:lineRule="auto"/>
        <w:ind w:left="1134"/>
        <w:contextualSpacing/>
        <w:jc w:val="both"/>
        <w:rPr>
          <w:rFonts w:cstheme="minorHAnsi"/>
          <w:sz w:val="28"/>
          <w:szCs w:val="28"/>
        </w:rPr>
      </w:pPr>
      <w:r w:rsidRPr="004E397C">
        <w:rPr>
          <w:rFonts w:cstheme="minorHAnsi"/>
          <w:sz w:val="28"/>
          <w:szCs w:val="28"/>
          <w:lang w:eastAsia="pl-PL"/>
        </w:rPr>
        <w:t>strefy bezpieczeństwa wyznaczonej po obu stronach rurociągu.</w:t>
      </w:r>
    </w:p>
    <w:p w14:paraId="74CF1295" w14:textId="77777777" w:rsidR="004E397C" w:rsidRPr="004E397C" w:rsidRDefault="004E397C" w:rsidP="004E397C">
      <w:pPr>
        <w:tabs>
          <w:tab w:val="left" w:pos="993"/>
        </w:tabs>
        <w:spacing w:after="120" w:line="240" w:lineRule="auto"/>
        <w:ind w:firstLine="567"/>
        <w:jc w:val="both"/>
        <w:rPr>
          <w:sz w:val="28"/>
        </w:rPr>
      </w:pPr>
      <w:r w:rsidRPr="004E397C">
        <w:rPr>
          <w:rFonts w:cs="Times New Roman"/>
          <w:sz w:val="28"/>
          <w:szCs w:val="28"/>
        </w:rPr>
        <w:t>Stosownie do art. 61 ust. 5a u.p.z.p. Burmistrz Śremu wyz</w:t>
      </w:r>
      <w:r w:rsidRPr="004E397C">
        <w:rPr>
          <w:sz w:val="28"/>
        </w:rPr>
        <w:t>naczył wokół działki budowlanej, której dotyczy wniosek o ustalenie warunków zabudowy, obszar analizowany i przeprowadził na nim analizę funkcji oraz cech zabudowy i zagospodarowania terenu w zakresie warunków, o których mowa w art. 61 ust. 1 – 5 u.p.z.p.</w:t>
      </w:r>
    </w:p>
    <w:p w14:paraId="4708E12E" w14:textId="77777777" w:rsidR="004E397C" w:rsidRPr="004E397C" w:rsidRDefault="004E397C" w:rsidP="004E397C">
      <w:pPr>
        <w:tabs>
          <w:tab w:val="left" w:pos="993"/>
        </w:tabs>
        <w:spacing w:after="120" w:line="240" w:lineRule="auto"/>
        <w:ind w:firstLine="567"/>
        <w:jc w:val="both"/>
        <w:rPr>
          <w:sz w:val="28"/>
        </w:rPr>
      </w:pPr>
      <w:r w:rsidRPr="004E397C">
        <w:rPr>
          <w:rFonts w:cstheme="minorHAnsi"/>
          <w:sz w:val="28"/>
        </w:rPr>
        <w:t xml:space="preserve">Front terenu objętego wnioskiem przylega do ul. Śremskiej (działki o nr ewid.  421, obręb Mórka) i wynosi ca 76,4 m. Trzykrotna szerokość frontu terenu objętego wnioskiem wynosi 229,2 m, czyli nie mniej niż 50 m. </w:t>
      </w:r>
    </w:p>
    <w:p w14:paraId="3AB36FB6" w14:textId="77777777" w:rsidR="004E397C" w:rsidRPr="004E397C" w:rsidRDefault="004E397C" w:rsidP="004E397C">
      <w:pPr>
        <w:tabs>
          <w:tab w:val="left" w:pos="993"/>
        </w:tabs>
        <w:spacing w:after="120" w:line="240" w:lineRule="auto"/>
        <w:ind w:firstLine="567"/>
        <w:jc w:val="both"/>
        <w:rPr>
          <w:sz w:val="28"/>
        </w:rPr>
      </w:pPr>
      <w:r w:rsidRPr="004E397C">
        <w:rPr>
          <w:rFonts w:cstheme="minorHAnsi"/>
          <w:sz w:val="28"/>
        </w:rPr>
        <w:t>Granice obszaru analizowanego wyznaczone zostały w następujący sposób: w odległości wynoszącej 229,2 m, wokół terenu objętego wnioskiem, spełniając tym samym wymóg, o którym mowa w art. 61 ust. 5a u.p.z.p. Sposób wyznaczenia granic obszaru analizowanego został przedstawiony w formie graficznej, stanowiącej załącznik nr 1 do analizy i załącznik nr 3 do decyzji.</w:t>
      </w:r>
    </w:p>
    <w:p w14:paraId="10D17655" w14:textId="77777777" w:rsidR="004E397C" w:rsidRPr="004E397C" w:rsidRDefault="004E397C" w:rsidP="004E397C">
      <w:pPr>
        <w:tabs>
          <w:tab w:val="left" w:pos="993"/>
        </w:tabs>
        <w:spacing w:after="120" w:line="240" w:lineRule="auto"/>
        <w:ind w:firstLine="567"/>
        <w:jc w:val="both"/>
        <w:rPr>
          <w:sz w:val="28"/>
        </w:rPr>
      </w:pPr>
      <w:r w:rsidRPr="004E397C">
        <w:rPr>
          <w:rFonts w:cstheme="minorHAnsi"/>
          <w:sz w:val="28"/>
        </w:rPr>
        <w:t>Wyznaczając granice obszaru analizowanego Burmistrz Śremu ograniczył się do zastosowania odległości standardowej, zgodnie z regułą opisaną powyżej, gdyż wielkość tego obszaru jest wystarczająca dla zadośćuczynienia ustawowemu wymogowi zachowania ładu przestrzennego i tej zasadzie służy.</w:t>
      </w:r>
    </w:p>
    <w:p w14:paraId="4EB54CDB" w14:textId="77777777" w:rsidR="004E397C" w:rsidRPr="004E397C" w:rsidRDefault="004E397C" w:rsidP="004E397C">
      <w:pPr>
        <w:tabs>
          <w:tab w:val="left" w:pos="993"/>
        </w:tabs>
        <w:spacing w:after="120" w:line="240" w:lineRule="auto"/>
        <w:ind w:firstLine="567"/>
        <w:jc w:val="both"/>
        <w:rPr>
          <w:rFonts w:cstheme="minorHAnsi"/>
          <w:color w:val="FF0000"/>
          <w:sz w:val="28"/>
          <w:szCs w:val="28"/>
        </w:rPr>
      </w:pPr>
      <w:r w:rsidRPr="004E397C">
        <w:rPr>
          <w:rFonts w:cstheme="minorHAnsi"/>
          <w:sz w:val="28"/>
          <w:szCs w:val="28"/>
        </w:rPr>
        <w:lastRenderedPageBreak/>
        <w:t xml:space="preserve">W tak wyznaczonym obszarze analizowanym znajdują się działki zabudowane, które pozwoliły na ustalenie wymagań dla nowej zabudowy, zgodnie z zasadą określoną w art. 61 ust. 1 pkt 1 u.p.z.p. </w:t>
      </w:r>
    </w:p>
    <w:p w14:paraId="1C524D52" w14:textId="77777777" w:rsidR="004E397C" w:rsidRPr="004E397C" w:rsidRDefault="004E397C" w:rsidP="004E397C">
      <w:pPr>
        <w:tabs>
          <w:tab w:val="left" w:pos="993"/>
        </w:tabs>
        <w:spacing w:after="120" w:line="240" w:lineRule="auto"/>
        <w:ind w:firstLine="567"/>
        <w:jc w:val="both"/>
        <w:rPr>
          <w:rFonts w:cstheme="minorHAnsi"/>
          <w:sz w:val="28"/>
          <w:szCs w:val="28"/>
        </w:rPr>
      </w:pPr>
      <w:r w:rsidRPr="004E397C">
        <w:rPr>
          <w:rFonts w:cstheme="minorHAnsi"/>
          <w:sz w:val="28"/>
          <w:szCs w:val="28"/>
        </w:rPr>
        <w:t>Analiza warunków, o których mowa w art. 61 ust. 1 u.p.z.p. dokonana w trakcie prowadzonego postępowania potwierdziła, że zostały</w:t>
      </w:r>
      <w:r w:rsidRPr="004E397C">
        <w:rPr>
          <w:rFonts w:cstheme="minorHAnsi"/>
          <w:b/>
          <w:bCs/>
          <w:sz w:val="28"/>
          <w:szCs w:val="28"/>
        </w:rPr>
        <w:t xml:space="preserve"> </w:t>
      </w:r>
      <w:r w:rsidRPr="004E397C">
        <w:rPr>
          <w:rFonts w:cstheme="minorHAnsi"/>
          <w:sz w:val="28"/>
          <w:szCs w:val="28"/>
        </w:rPr>
        <w:t>one spełnione, bowiem:</w:t>
      </w:r>
    </w:p>
    <w:p w14:paraId="1C6CFB83" w14:textId="77777777" w:rsidR="004E397C" w:rsidRPr="004E397C" w:rsidRDefault="004E397C" w:rsidP="004E397C">
      <w:pPr>
        <w:numPr>
          <w:ilvl w:val="0"/>
          <w:numId w:val="33"/>
        </w:numPr>
        <w:tabs>
          <w:tab w:val="left" w:pos="993"/>
        </w:tabs>
        <w:spacing w:after="120" w:line="240" w:lineRule="auto"/>
        <w:ind w:left="0" w:firstLine="567"/>
        <w:contextualSpacing/>
        <w:jc w:val="both"/>
        <w:rPr>
          <w:rFonts w:cstheme="minorHAnsi"/>
          <w:sz w:val="28"/>
          <w:szCs w:val="28"/>
        </w:rPr>
      </w:pPr>
      <w:r w:rsidRPr="004E397C">
        <w:rPr>
          <w:rFonts w:cstheme="minorHAnsi"/>
          <w:sz w:val="28"/>
          <w:szCs w:val="28"/>
        </w:rPr>
        <w:t>zabudowa działek sąsiednich, które wraz z terenem planowanej inwestycji tworzą urbanistyczną całość (działki o nr ewid.: 146; 144/7; 420; 418/2; 418/1; 414/1, 415/1, 413/3, 414/4; 215/3; 412; 410; 216/1; 217/1; 217/3; 409; 408), pozwala na określenie wymagań dla nowej zabudowy pod względem kontynuacji funkcji oraz parametrów i cech zabudowy. Działki o nr ewid.: 414/1, 415/1, 413/3, 414/4, zostały połączone z uwagi na tego samego właściciela;</w:t>
      </w:r>
    </w:p>
    <w:p w14:paraId="1BF99753" w14:textId="77777777" w:rsidR="004E397C" w:rsidRPr="004E397C" w:rsidRDefault="004E397C" w:rsidP="004E397C">
      <w:pPr>
        <w:numPr>
          <w:ilvl w:val="0"/>
          <w:numId w:val="33"/>
        </w:numPr>
        <w:tabs>
          <w:tab w:val="left" w:pos="993"/>
        </w:tabs>
        <w:spacing w:after="120" w:line="240" w:lineRule="auto"/>
        <w:ind w:left="0" w:firstLine="567"/>
        <w:contextualSpacing/>
        <w:jc w:val="both"/>
        <w:rPr>
          <w:rFonts w:cstheme="minorHAnsi"/>
          <w:sz w:val="28"/>
          <w:szCs w:val="28"/>
        </w:rPr>
      </w:pPr>
      <w:r w:rsidRPr="004E397C">
        <w:rPr>
          <w:rFonts w:cstheme="minorHAnsi"/>
          <w:sz w:val="28"/>
          <w:szCs w:val="28"/>
        </w:rPr>
        <w:t xml:space="preserve">teren działki objętej wnioskiem ma zapewniony bezpośredni dostęp </w:t>
      </w:r>
      <w:r w:rsidRPr="004E397C">
        <w:rPr>
          <w:rFonts w:cstheme="minorHAnsi"/>
          <w:sz w:val="28"/>
        </w:rPr>
        <w:t>do drogi powiatowej – ul. Śremskiej, jednak dla nowo wydzielanych działek budowlanych (tereny: A, B, C) dostęp zostanie zapewniony w sposób pośredni za</w:t>
      </w:r>
      <w:r w:rsidRPr="004E397C">
        <w:rPr>
          <w:rFonts w:eastAsia="Times New Roman" w:cstheme="minorHAnsi"/>
          <w:sz w:val="28"/>
          <w:lang w:eastAsia="pl-PL"/>
        </w:rPr>
        <w:t xml:space="preserve"> pomocą projektowanej drogi wewnętrznej, stanowiącej teren oznaczony symbolem D</w:t>
      </w:r>
      <w:r w:rsidRPr="004E397C">
        <w:rPr>
          <w:rFonts w:cstheme="minorHAnsi"/>
          <w:sz w:val="28"/>
          <w:szCs w:val="28"/>
        </w:rPr>
        <w:t>;</w:t>
      </w:r>
    </w:p>
    <w:p w14:paraId="512F109C" w14:textId="77777777" w:rsidR="004E397C" w:rsidRPr="004E397C" w:rsidRDefault="004E397C" w:rsidP="004E397C">
      <w:pPr>
        <w:numPr>
          <w:ilvl w:val="0"/>
          <w:numId w:val="33"/>
        </w:numPr>
        <w:tabs>
          <w:tab w:val="left" w:pos="993"/>
        </w:tabs>
        <w:spacing w:after="120" w:line="240" w:lineRule="auto"/>
        <w:ind w:left="0" w:firstLine="567"/>
        <w:contextualSpacing/>
        <w:jc w:val="both"/>
        <w:rPr>
          <w:rFonts w:cstheme="minorHAnsi"/>
          <w:sz w:val="28"/>
          <w:szCs w:val="28"/>
        </w:rPr>
      </w:pPr>
      <w:r w:rsidRPr="004E397C">
        <w:rPr>
          <w:rFonts w:cstheme="minorHAnsi"/>
          <w:sz w:val="28"/>
          <w:szCs w:val="28"/>
        </w:rPr>
        <w:t>istniejące (sieć wodociągowa) i projektowane uzbrojenie terenu (sieć kanalizacji sanitarnej lub rozwiązanie indywidualne, sieć elektroenergetyczna) jest wystarczające dla zamierzenia budowlanego;</w:t>
      </w:r>
    </w:p>
    <w:p w14:paraId="159D1920" w14:textId="77777777" w:rsidR="004E397C" w:rsidRPr="004E397C" w:rsidRDefault="004E397C" w:rsidP="004E397C">
      <w:pPr>
        <w:numPr>
          <w:ilvl w:val="0"/>
          <w:numId w:val="33"/>
        </w:numPr>
        <w:tabs>
          <w:tab w:val="left" w:pos="993"/>
        </w:tabs>
        <w:spacing w:after="120" w:line="240" w:lineRule="auto"/>
        <w:ind w:left="0" w:firstLine="567"/>
        <w:contextualSpacing/>
        <w:jc w:val="both"/>
        <w:rPr>
          <w:rFonts w:cstheme="minorHAnsi"/>
          <w:sz w:val="28"/>
          <w:szCs w:val="28"/>
        </w:rPr>
      </w:pPr>
      <w:r w:rsidRPr="004E397C">
        <w:rPr>
          <w:rFonts w:cstheme="minorHAnsi"/>
          <w:sz w:val="28"/>
          <w:szCs w:val="28"/>
        </w:rPr>
        <w:t>teren inwestycji nie wymaga uzyskania zgody na zmianę przeznaczenia gruntów rolnych i leśnych na cele nierolnicze i nieleśne, bowiem inwestycja planowana jest na działkach, która zgodnie z ewidencją gruntów i budynków prowadzoną przez Starostę Śremskiego stanowi grunty orne klasy IVa, które nie podlegają ochronie;</w:t>
      </w:r>
    </w:p>
    <w:p w14:paraId="46D99C0B" w14:textId="77777777" w:rsidR="004E397C" w:rsidRPr="004E397C" w:rsidRDefault="004E397C" w:rsidP="004E397C">
      <w:pPr>
        <w:numPr>
          <w:ilvl w:val="0"/>
          <w:numId w:val="33"/>
        </w:numPr>
        <w:tabs>
          <w:tab w:val="left" w:pos="993"/>
        </w:tabs>
        <w:spacing w:after="120" w:line="240" w:lineRule="auto"/>
        <w:ind w:left="0" w:firstLine="567"/>
        <w:contextualSpacing/>
        <w:jc w:val="both"/>
        <w:rPr>
          <w:rFonts w:cstheme="minorHAnsi"/>
          <w:sz w:val="28"/>
          <w:szCs w:val="28"/>
        </w:rPr>
      </w:pPr>
      <w:r w:rsidRPr="004E397C">
        <w:rPr>
          <w:rFonts w:cstheme="minorHAnsi"/>
          <w:sz w:val="28"/>
          <w:szCs w:val="28"/>
        </w:rPr>
        <w:t>decyzja jest zgodna z przepisami odrębnymi;</w:t>
      </w:r>
    </w:p>
    <w:p w14:paraId="25442D69" w14:textId="77777777" w:rsidR="004E397C" w:rsidRPr="004E397C" w:rsidRDefault="004E397C" w:rsidP="004E397C">
      <w:pPr>
        <w:numPr>
          <w:ilvl w:val="0"/>
          <w:numId w:val="33"/>
        </w:numPr>
        <w:tabs>
          <w:tab w:val="left" w:pos="993"/>
        </w:tabs>
        <w:spacing w:after="120" w:line="240" w:lineRule="auto"/>
        <w:ind w:left="0" w:firstLine="567"/>
        <w:contextualSpacing/>
        <w:jc w:val="both"/>
        <w:rPr>
          <w:rFonts w:cstheme="minorHAnsi"/>
          <w:sz w:val="28"/>
          <w:szCs w:val="28"/>
        </w:rPr>
      </w:pPr>
      <w:r w:rsidRPr="004E397C">
        <w:rPr>
          <w:rFonts w:cstheme="minorHAnsi"/>
          <w:sz w:val="28"/>
          <w:szCs w:val="28"/>
        </w:rPr>
        <w:t>zamierzenie budowlane nie znajdzie się w obszarze:</w:t>
      </w:r>
    </w:p>
    <w:p w14:paraId="438EDFB3" w14:textId="77777777" w:rsidR="004E397C" w:rsidRPr="004E397C" w:rsidRDefault="004E397C" w:rsidP="004E397C">
      <w:pPr>
        <w:numPr>
          <w:ilvl w:val="0"/>
          <w:numId w:val="23"/>
        </w:numPr>
        <w:tabs>
          <w:tab w:val="left" w:pos="1134"/>
        </w:tabs>
        <w:spacing w:after="120" w:line="240" w:lineRule="auto"/>
        <w:ind w:left="1134"/>
        <w:contextualSpacing/>
        <w:jc w:val="both"/>
        <w:rPr>
          <w:rFonts w:cstheme="minorHAnsi"/>
          <w:sz w:val="28"/>
          <w:szCs w:val="28"/>
        </w:rPr>
      </w:pPr>
      <w:r w:rsidRPr="004E397C">
        <w:rPr>
          <w:rFonts w:cstheme="minorHAnsi"/>
          <w:sz w:val="28"/>
          <w:szCs w:val="28"/>
          <w:shd w:val="clear" w:color="auto" w:fill="FFFFFF"/>
        </w:rPr>
        <w:t>objętym zakazem wznoszenia i utrzymywania obiektów budowlanych przeznaczonych na pobyt ludzi związanym z lokalizacją sieci przesyłowej,</w:t>
      </w:r>
    </w:p>
    <w:p w14:paraId="5B28A59A" w14:textId="77777777" w:rsidR="004E397C" w:rsidRPr="004E397C" w:rsidRDefault="004E397C" w:rsidP="004E397C">
      <w:pPr>
        <w:numPr>
          <w:ilvl w:val="0"/>
          <w:numId w:val="23"/>
        </w:numPr>
        <w:tabs>
          <w:tab w:val="left" w:pos="1134"/>
        </w:tabs>
        <w:spacing w:after="120" w:line="240" w:lineRule="auto"/>
        <w:ind w:left="1134"/>
        <w:contextualSpacing/>
        <w:jc w:val="both"/>
        <w:rPr>
          <w:rFonts w:cstheme="minorHAnsi"/>
          <w:sz w:val="28"/>
          <w:szCs w:val="28"/>
        </w:rPr>
      </w:pPr>
      <w:r w:rsidRPr="004E397C">
        <w:rPr>
          <w:rFonts w:cstheme="minorHAnsi"/>
          <w:sz w:val="28"/>
          <w:szCs w:val="28"/>
          <w:lang w:eastAsia="pl-PL"/>
        </w:rPr>
        <w:t xml:space="preserve">strefy kontrolowanej wyznaczonej po obu stronach gazociągu, </w:t>
      </w:r>
    </w:p>
    <w:p w14:paraId="4165DB0A" w14:textId="77777777" w:rsidR="004E397C" w:rsidRPr="004E397C" w:rsidRDefault="004E397C" w:rsidP="004E397C">
      <w:pPr>
        <w:numPr>
          <w:ilvl w:val="0"/>
          <w:numId w:val="23"/>
        </w:numPr>
        <w:tabs>
          <w:tab w:val="left" w:pos="1134"/>
        </w:tabs>
        <w:spacing w:after="120" w:line="240" w:lineRule="auto"/>
        <w:ind w:left="1134"/>
        <w:contextualSpacing/>
        <w:jc w:val="both"/>
        <w:rPr>
          <w:rFonts w:cstheme="minorHAnsi"/>
          <w:sz w:val="28"/>
          <w:szCs w:val="28"/>
        </w:rPr>
      </w:pPr>
      <w:r w:rsidRPr="004E397C">
        <w:rPr>
          <w:rFonts w:cstheme="minorHAnsi"/>
          <w:sz w:val="28"/>
          <w:szCs w:val="28"/>
          <w:lang w:eastAsia="pl-PL"/>
        </w:rPr>
        <w:t>strefy bezpieczeństwa wyznaczonej po obu stronach rurociągu.</w:t>
      </w:r>
    </w:p>
    <w:p w14:paraId="7B90DD28" w14:textId="77777777" w:rsidR="004E397C" w:rsidRPr="004E397C" w:rsidRDefault="004E397C" w:rsidP="004E397C">
      <w:pPr>
        <w:spacing w:after="120" w:line="240" w:lineRule="auto"/>
        <w:ind w:firstLine="567"/>
        <w:jc w:val="both"/>
        <w:rPr>
          <w:rFonts w:cstheme="minorHAnsi"/>
          <w:sz w:val="28"/>
          <w:szCs w:val="28"/>
        </w:rPr>
      </w:pPr>
    </w:p>
    <w:p w14:paraId="7F812F27" w14:textId="77777777" w:rsidR="004E397C" w:rsidRPr="004E397C" w:rsidRDefault="004E397C" w:rsidP="004E397C">
      <w:pPr>
        <w:spacing w:after="120" w:line="240" w:lineRule="auto"/>
        <w:ind w:firstLine="567"/>
        <w:jc w:val="both"/>
        <w:rPr>
          <w:rFonts w:cstheme="minorHAnsi"/>
          <w:sz w:val="28"/>
          <w:szCs w:val="28"/>
        </w:rPr>
      </w:pPr>
    </w:p>
    <w:p w14:paraId="19FAF377" w14:textId="77777777" w:rsidR="004E397C" w:rsidRPr="004E397C" w:rsidRDefault="004E397C" w:rsidP="004E397C">
      <w:pPr>
        <w:spacing w:after="120" w:line="240" w:lineRule="auto"/>
        <w:ind w:firstLine="567"/>
        <w:jc w:val="both"/>
        <w:rPr>
          <w:rFonts w:cstheme="minorHAnsi"/>
          <w:sz w:val="28"/>
          <w:szCs w:val="28"/>
        </w:rPr>
      </w:pPr>
    </w:p>
    <w:p w14:paraId="4B5ADF4A" w14:textId="77777777" w:rsidR="004E397C" w:rsidRPr="004E397C" w:rsidRDefault="004E397C" w:rsidP="004E397C">
      <w:pPr>
        <w:spacing w:after="120" w:line="240" w:lineRule="auto"/>
        <w:ind w:firstLine="567"/>
        <w:jc w:val="both"/>
        <w:rPr>
          <w:rFonts w:cstheme="minorHAnsi"/>
          <w:sz w:val="28"/>
          <w:szCs w:val="28"/>
        </w:rPr>
      </w:pPr>
    </w:p>
    <w:p w14:paraId="78350986" w14:textId="77777777" w:rsidR="004E397C" w:rsidRPr="004E397C" w:rsidRDefault="004E397C" w:rsidP="004E397C">
      <w:pPr>
        <w:spacing w:after="120" w:line="240" w:lineRule="auto"/>
        <w:ind w:firstLine="567"/>
        <w:jc w:val="both"/>
        <w:rPr>
          <w:rFonts w:cstheme="minorHAnsi"/>
          <w:sz w:val="28"/>
          <w:szCs w:val="28"/>
        </w:rPr>
      </w:pPr>
      <w:r w:rsidRPr="004E397C">
        <w:rPr>
          <w:rFonts w:cstheme="minorHAnsi"/>
          <w:sz w:val="28"/>
          <w:szCs w:val="28"/>
        </w:rPr>
        <w:lastRenderedPageBreak/>
        <w:t>W związku z tym, że sąsiednie działki dostępne z tej samej drogi publicznej, położone w granicach obszaru analizowanego, zabudowane są w sposób pozwalający na określenie wymagań dotyczących nowej zabudowy w zakresie kontynuacji funkcji, ale także parametrów cech i wskaźników kształtowania zabudowy oraz zagospodarowania terenu, w tym gabarytów i formy architektonicznej obiektu oraz intensywności wykorzystania terenu, poczynione zostały ustalenia dotyczące warunków i wymagań kształtowania ładu przestrzennego dotyczące: określenia linii zabudowy, wielkości powierzchni zabudowy w stosunku do powierzchni działki lub terenu, udziału powierzchni biologicznie czynnej, a także gabaryty i wysokości projektowanej zabudowy, w tym szerokości elewacji frontowej oraz geometrii dachu. Powyższe ustalenia znalazły odzwierciedlenie w analizie funkcji oraz cech zabudowy i zagospodarowania terenu. Natomiast wyniki tej analizy, zawierające część tekstową i graficzną, stanowią załączniki nr 2 i 3 do decyzji.</w:t>
      </w:r>
    </w:p>
    <w:p w14:paraId="25BB4C3F" w14:textId="77777777" w:rsidR="004E397C" w:rsidRPr="004E397C" w:rsidRDefault="004E397C" w:rsidP="004E397C">
      <w:pPr>
        <w:spacing w:after="120" w:line="240" w:lineRule="auto"/>
        <w:ind w:firstLine="567"/>
        <w:jc w:val="both"/>
        <w:rPr>
          <w:rFonts w:cstheme="minorHAnsi"/>
          <w:sz w:val="28"/>
          <w:szCs w:val="28"/>
        </w:rPr>
      </w:pPr>
      <w:r w:rsidRPr="004E397C">
        <w:rPr>
          <w:rFonts w:cstheme="minorHAnsi"/>
          <w:sz w:val="28"/>
          <w:szCs w:val="28"/>
        </w:rPr>
        <w:t>Planowana inwestycja (zabudowa mieszkaniowa) stanowi kontynuację funkcji mieszkaniowej terenów znajdujących się w obszarze analizowanym oraz nie koliduje z zabudową zagrodową występującą w obszarze analizowanym.</w:t>
      </w:r>
    </w:p>
    <w:p w14:paraId="1D68DC63" w14:textId="77777777" w:rsidR="004E397C" w:rsidRPr="004E397C" w:rsidRDefault="004E397C" w:rsidP="004E397C">
      <w:pPr>
        <w:spacing w:after="120" w:line="240" w:lineRule="auto"/>
        <w:ind w:firstLine="567"/>
        <w:jc w:val="both"/>
        <w:rPr>
          <w:rFonts w:cstheme="minorHAnsi"/>
          <w:sz w:val="28"/>
          <w:szCs w:val="28"/>
        </w:rPr>
      </w:pPr>
      <w:r w:rsidRPr="004E397C">
        <w:rPr>
          <w:rFonts w:cstheme="minorHAnsi"/>
          <w:sz w:val="28"/>
          <w:szCs w:val="28"/>
        </w:rPr>
        <w:t xml:space="preserve">Ustalenia zawarte w niniejszej decyzji odpowiadają wymogom rozporządzenia Ministra Infrastruktury z dnia 26 sierpnia 2003 r. w sprawie sposobu ustalania wymagań dotyczących nowej zabudowy i zagospodarowania terenu w przypadku braku miejscowego planu zagospodarowania przestrzennego (Dz. U. Nr 164, poz. 1588, z 2021 r. poz. 2399), zwanego dalej rozporządzeniem. </w:t>
      </w:r>
    </w:p>
    <w:p w14:paraId="5ADB9116" w14:textId="77777777" w:rsidR="004E397C" w:rsidRPr="004E397C" w:rsidRDefault="004E397C" w:rsidP="004E397C">
      <w:pPr>
        <w:spacing w:after="120" w:line="240" w:lineRule="auto"/>
        <w:ind w:firstLine="567"/>
        <w:jc w:val="both"/>
        <w:rPr>
          <w:rFonts w:cstheme="minorHAnsi"/>
          <w:sz w:val="28"/>
          <w:szCs w:val="28"/>
        </w:rPr>
      </w:pPr>
      <w:r w:rsidRPr="004E397C">
        <w:rPr>
          <w:rFonts w:cstheme="minorHAnsi"/>
          <w:sz w:val="28"/>
          <w:szCs w:val="28"/>
        </w:rPr>
        <w:t>Linia zabudowy (linia regulacyjna) w rozumieniu § 1 pkt 1 w zw. z § 4 ust. 1 i 3 rozporządzenia określa nieprzekraczalną granicę terenu potencjalnej inwestycji, znajdującego się po przeciwnej stronie linii zabudowy niż pas drogowy. Jest to zaledwie granica obszaru, ale niekoniecznie linia, do której budynki muszą przylegać. Budynki mogą pozostawać w zróżnicowanej relacji przestrzennej (odległości) do linii zabudowy. Wyznaczenie linii zabudowy powoduje wytyczenie na nieruchomości inwestora obszaru, na którym może odbywać się zabudowa (wyrok WSA w Warszawie z dnia 11.01.2017 r. sygn. akt IV SA/Wa 2123/16).</w:t>
      </w:r>
    </w:p>
    <w:p w14:paraId="3459F201" w14:textId="77777777" w:rsidR="004E397C" w:rsidRPr="004E397C" w:rsidRDefault="004E397C" w:rsidP="004E397C">
      <w:pPr>
        <w:spacing w:after="120" w:line="240" w:lineRule="auto"/>
        <w:ind w:firstLine="567"/>
        <w:jc w:val="both"/>
        <w:rPr>
          <w:rFonts w:cstheme="minorHAnsi"/>
          <w:sz w:val="28"/>
          <w:szCs w:val="28"/>
        </w:rPr>
      </w:pPr>
      <w:r w:rsidRPr="004E397C">
        <w:rPr>
          <w:rFonts w:cstheme="minorHAnsi"/>
          <w:sz w:val="28"/>
          <w:szCs w:val="28"/>
        </w:rPr>
        <w:t>W orzecznictwie sądów administracyjnych co do zasady dominuje pogląd, że w decyzji o warunkach zabudowy nie określa się dokładnego usytuowania planowanego obiektu na działce inwestycyjnej, za wyjątkiem wyznaczenia linii zabudowy – obowiązującej bądź nieprzekraczalnej (wyrok WSA w Poznaniu z dnia 31.01.2019 r. sygn. akt II SA/Po 731/18).</w:t>
      </w:r>
    </w:p>
    <w:p w14:paraId="79A5D13F" w14:textId="77777777" w:rsidR="004E397C" w:rsidRPr="004E397C" w:rsidRDefault="004E397C" w:rsidP="004E397C">
      <w:pPr>
        <w:spacing w:after="120" w:line="240" w:lineRule="auto"/>
        <w:ind w:firstLine="567"/>
        <w:jc w:val="both"/>
        <w:rPr>
          <w:rFonts w:cstheme="minorHAnsi"/>
          <w:sz w:val="28"/>
          <w:szCs w:val="28"/>
        </w:rPr>
      </w:pPr>
      <w:r w:rsidRPr="004E397C">
        <w:rPr>
          <w:rFonts w:cstheme="minorHAnsi"/>
          <w:sz w:val="28"/>
          <w:szCs w:val="28"/>
        </w:rPr>
        <w:lastRenderedPageBreak/>
        <w:t xml:space="preserve">Dla planowanej inwestycji ustalono nieprzekraczalną linię zabudowy wyznaczoną w odległości 7,0 m od granicy planowanej drogi wewnętrznej, oznaczonej symbolem D na załączniku nr 1 do decyzji, oznaczoną jako linię ciągłą, </w:t>
      </w:r>
      <w:r w:rsidRPr="004E397C">
        <w:rPr>
          <w:sz w:val="28"/>
        </w:rPr>
        <w:t>z umieszczonymi</w:t>
      </w:r>
      <w:r w:rsidRPr="004E397C">
        <w:rPr>
          <w:rFonts w:cstheme="minorHAnsi"/>
          <w:sz w:val="28"/>
          <w:szCs w:val="28"/>
        </w:rPr>
        <w:t xml:space="preserve"> stycznie niewypełnionymi trójkątami. Stosownie bowiem do § 3 ust. 3 rozporządzenia Ministra Infrastruktury z dnia 26 sierpnia 2003 r. w sprawie oznaczeń i nazewnictwa stosowanych w decyzji o ustaleniu lokalizacji inwestycji celu publicznego oraz w decyzji o warunkach zabudowy „podstawowe jednobarwne oznaczenia graficzne dotyczące granic i linii regulacyjnych, a także elementów zagospodarowania przestrzennego, przeznaczone do stosowania w części graficznej decyzji, o których mowa w ust. 1, stosuje się zgodnie z Polską Normą PN-B-01027 z dnia 11 lipca 2002 r. Skoro Norma rozróżnia obowiązującą i nieprzekraczalną linię zabudowy, to nie sposób takich rozróżnień nie stosować przy ustalaniu warunków zabudowy w zakresie obowiązku wyznaczenia linii zabudowy (adekwatnie w miejscowym planie zagospodarowania przestrzennego). </w:t>
      </w:r>
    </w:p>
    <w:p w14:paraId="695969A0" w14:textId="77777777" w:rsidR="004E397C" w:rsidRPr="004E397C" w:rsidRDefault="004E397C" w:rsidP="004E397C">
      <w:pPr>
        <w:spacing w:after="120" w:line="240" w:lineRule="auto"/>
        <w:ind w:firstLine="567"/>
        <w:jc w:val="both"/>
        <w:rPr>
          <w:rFonts w:cstheme="minorHAnsi"/>
          <w:sz w:val="28"/>
          <w:szCs w:val="28"/>
        </w:rPr>
      </w:pPr>
      <w:r w:rsidRPr="004E397C">
        <w:rPr>
          <w:rFonts w:cstheme="minorHAnsi"/>
          <w:sz w:val="28"/>
          <w:szCs w:val="28"/>
        </w:rPr>
        <w:t>Wyznaczona w niniejszej decyzji linia zabudowy ma charakter nieprzekraczalnej, co oznacza, że określa ona jedynie maksymalny zasięg położenia planowanej zabudowy względem planowanej drogi wewnętrznej i drogi powiatowej</w:t>
      </w:r>
      <w:r w:rsidRPr="004E397C">
        <w:rPr>
          <w:rFonts w:cstheme="minorHAnsi"/>
          <w:color w:val="1F497D" w:themeColor="text2"/>
          <w:sz w:val="28"/>
          <w:szCs w:val="28"/>
        </w:rPr>
        <w:t xml:space="preserve">, </w:t>
      </w:r>
      <w:r w:rsidRPr="004E397C">
        <w:rPr>
          <w:rFonts w:cstheme="minorHAnsi"/>
          <w:sz w:val="28"/>
          <w:szCs w:val="28"/>
        </w:rPr>
        <w:t>nie przesądzając jednak o ostatecznej lokalizacji samych budynków na działce.</w:t>
      </w:r>
    </w:p>
    <w:p w14:paraId="26361630" w14:textId="77777777" w:rsidR="004E397C" w:rsidRPr="004E397C" w:rsidRDefault="004E397C" w:rsidP="004E397C">
      <w:pPr>
        <w:spacing w:after="120" w:line="240" w:lineRule="auto"/>
        <w:ind w:firstLine="567"/>
        <w:jc w:val="both"/>
        <w:rPr>
          <w:rFonts w:cstheme="minorHAnsi"/>
          <w:sz w:val="28"/>
          <w:szCs w:val="28"/>
        </w:rPr>
      </w:pPr>
      <w:r w:rsidRPr="004E397C">
        <w:rPr>
          <w:rFonts w:cstheme="minorHAnsi"/>
          <w:sz w:val="28"/>
          <w:szCs w:val="28"/>
        </w:rPr>
        <w:t>Zgodnie z wyrokiem NSA z dnia 09.09.2020 r. sygn. akt II OSK 1184/20 „Organ ustalający warunki zabudowy jest związany wnioskiem inwestora co do rodzaju inwestycji, natomiast nie jest bezwzględnie związany poszczególnymi parametrami technicznymi, opisującymi planowany obiekt budowlany. Nie jest także wymagane by inwestor modyfikował wniosek w zależności od ustaleń analizy. Wydający ją organ ocenia dopuszczalność zmiany zagospodarowania terenu w świetle przepisów prawa oraz wskazuje warunki i zasady, którym planowana inwestycja powinna odpowiadać. To rzeczą organu administracji jest dokonanie, w oparciu o obowiązujące przepisy, ustaleń i określenie wymogów dla nowej zabudowy, przy czym wyniki tak przeprowadzonej analizy mogą doprowadzić do określenia warunków inwestycji w sposób odmienny od wstępnie proponowanej przez inwestora.”</w:t>
      </w:r>
    </w:p>
    <w:p w14:paraId="03FDFAF8" w14:textId="77777777" w:rsidR="004E397C" w:rsidRPr="004E397C" w:rsidRDefault="004E397C" w:rsidP="004E397C">
      <w:pPr>
        <w:spacing w:after="120" w:line="240" w:lineRule="auto"/>
        <w:ind w:firstLine="567"/>
        <w:jc w:val="both"/>
        <w:rPr>
          <w:rFonts w:cstheme="minorHAnsi"/>
          <w:sz w:val="28"/>
          <w:szCs w:val="28"/>
        </w:rPr>
      </w:pPr>
      <w:r w:rsidRPr="004E397C">
        <w:rPr>
          <w:rFonts w:cstheme="minorHAnsi"/>
          <w:sz w:val="28"/>
          <w:szCs w:val="28"/>
        </w:rPr>
        <w:t xml:space="preserve">Poniższe ustalenia zostały odniesione dla terenów, oznaczonych symbolami: A, B i C, które w przyszłości staną się działkami budowlanymi. </w:t>
      </w:r>
    </w:p>
    <w:p w14:paraId="4191B32B" w14:textId="77777777" w:rsidR="004E397C" w:rsidRPr="004E397C" w:rsidRDefault="004E397C" w:rsidP="004E397C">
      <w:pPr>
        <w:spacing w:after="120" w:line="240" w:lineRule="auto"/>
        <w:ind w:firstLine="567"/>
        <w:jc w:val="both"/>
        <w:rPr>
          <w:rFonts w:cstheme="minorHAnsi"/>
          <w:sz w:val="28"/>
          <w:szCs w:val="28"/>
        </w:rPr>
      </w:pPr>
    </w:p>
    <w:p w14:paraId="0D933F82" w14:textId="77777777" w:rsidR="004E397C" w:rsidRPr="004E397C" w:rsidRDefault="004E397C" w:rsidP="004E397C">
      <w:pPr>
        <w:spacing w:after="120" w:line="240" w:lineRule="auto"/>
        <w:ind w:firstLine="567"/>
        <w:jc w:val="both"/>
        <w:rPr>
          <w:rFonts w:cstheme="minorHAnsi"/>
          <w:sz w:val="28"/>
          <w:szCs w:val="28"/>
        </w:rPr>
      </w:pPr>
    </w:p>
    <w:p w14:paraId="64F80B42" w14:textId="77777777" w:rsidR="004E397C" w:rsidRPr="004E397C" w:rsidRDefault="004E397C" w:rsidP="004E397C">
      <w:pPr>
        <w:spacing w:after="120" w:line="240" w:lineRule="auto"/>
        <w:ind w:firstLine="567"/>
        <w:jc w:val="both"/>
        <w:rPr>
          <w:rFonts w:cstheme="minorHAnsi"/>
          <w:sz w:val="28"/>
          <w:szCs w:val="28"/>
        </w:rPr>
      </w:pPr>
    </w:p>
    <w:p w14:paraId="1AD4C330" w14:textId="77777777" w:rsidR="004E397C" w:rsidRPr="004E397C" w:rsidRDefault="004E397C" w:rsidP="004E397C">
      <w:pPr>
        <w:spacing w:after="120" w:line="240" w:lineRule="auto"/>
        <w:ind w:firstLine="567"/>
        <w:jc w:val="both"/>
        <w:rPr>
          <w:rFonts w:cstheme="minorHAnsi"/>
          <w:sz w:val="28"/>
          <w:szCs w:val="28"/>
        </w:rPr>
      </w:pPr>
      <w:r w:rsidRPr="004E397C">
        <w:rPr>
          <w:rFonts w:cstheme="minorHAnsi"/>
          <w:sz w:val="28"/>
          <w:szCs w:val="28"/>
        </w:rPr>
        <w:lastRenderedPageBreak/>
        <w:t xml:space="preserve">Wskaźnik wielkości powierzchni nowej zabudowy, oznaczający łączną powierzchnię terenu wyznaczoną przez rzuty pionowe nadziemnych zewnętrznych ścian wszystkich budynków w stanie wykończonym na powierzchnię działki budowlanej, nie został wyznaczony na podstawie średniego wskaźnika tej wielkości dla obszaru analizowanego. </w:t>
      </w:r>
      <w:r w:rsidRPr="004E397C">
        <w:rPr>
          <w:rFonts w:cs="Times New Roman"/>
          <w:sz w:val="28"/>
          <w:szCs w:val="28"/>
        </w:rPr>
        <w:t xml:space="preserve">Średni wskaźnik w obszarze analizowanym wynosi 14,9 %, przy czym w obszarze analizowanym waha się pomiędzy </w:t>
      </w:r>
      <w:r w:rsidRPr="004E397C">
        <w:rPr>
          <w:sz w:val="28"/>
        </w:rPr>
        <w:t xml:space="preserve">2,0 % a 26,6 %. </w:t>
      </w:r>
      <w:r w:rsidRPr="004E397C">
        <w:rPr>
          <w:rFonts w:cstheme="minorHAnsi"/>
          <w:sz w:val="28"/>
          <w:szCs w:val="28"/>
        </w:rPr>
        <w:t>Planowana inwestycja charakteryzuje się wskaźnikiem dla nowo wydzielonych działek na poziomie od 9,3 % do 16,1 %. Wskaźniki te są pośrednimi wśród wskaźników istniejących w obszarze analizowanym, bowiem wskaźnik na działkach o nr ewid.: 146; 144/7; 420; 418/2; 418/1; 414/1, 415/1, 413/3, 414/4; 215/3; 412; 410; 216/1; 217/1; 217/3; 409; 408, wynosi odpowiednio: 15,8 %, 2,0 %, 19,4 %, 8,2 %, 7,8 %, 17,8 %, 11,1 %, 14,3 %, 13,5 %, 16,7 %, 17,1 %, 22,0 %, 26,6 %, 16,8 %. Powierzchnia działek w obszarze analizowanym waha się od 598 m</w:t>
      </w:r>
      <w:r w:rsidRPr="004E397C">
        <w:rPr>
          <w:rFonts w:cstheme="minorHAnsi"/>
          <w:sz w:val="28"/>
          <w:szCs w:val="28"/>
          <w:vertAlign w:val="superscript"/>
        </w:rPr>
        <w:t>2</w:t>
      </w:r>
      <w:r w:rsidRPr="004E397C">
        <w:rPr>
          <w:rFonts w:cstheme="minorHAnsi"/>
          <w:sz w:val="28"/>
          <w:szCs w:val="28"/>
        </w:rPr>
        <w:t xml:space="preserve"> do 6396 m</w:t>
      </w:r>
      <w:r w:rsidRPr="004E397C">
        <w:rPr>
          <w:rFonts w:cstheme="minorHAnsi"/>
          <w:sz w:val="28"/>
          <w:szCs w:val="28"/>
          <w:vertAlign w:val="superscript"/>
        </w:rPr>
        <w:t>2</w:t>
      </w:r>
      <w:r w:rsidRPr="004E397C">
        <w:rPr>
          <w:rFonts w:cstheme="minorHAnsi"/>
          <w:sz w:val="28"/>
          <w:szCs w:val="28"/>
        </w:rPr>
        <w:t xml:space="preserve">, zatem powierzchnie są zróżnicowane. W obszarze analizowanym występuje zabudowa zagrodowa, która co do zasady charakteryzuje się niższymi wskaźnikami powierzchni zabudowy oraz zabudowa mieszkaniowa (jednorodzinna). Stąd wynikają różnice w wartości wskaźnika powierzchni zabudowy. W dalszym etapie Wnioskodawca planuje podział terenu objętego wnioskiem na trzy działki </w:t>
      </w:r>
      <w:r w:rsidRPr="004E397C">
        <w:rPr>
          <w:sz w:val="28"/>
          <w:szCs w:val="28"/>
        </w:rPr>
        <w:t xml:space="preserve">budowlane oraz drogę wewnętrzną. </w:t>
      </w:r>
      <w:r w:rsidRPr="004E397C">
        <w:rPr>
          <w:rFonts w:cstheme="minorHAnsi"/>
          <w:sz w:val="28"/>
          <w:szCs w:val="28"/>
        </w:rPr>
        <w:t>Projektowane działki pod zabudowę mają mieć powierzchnie ca 1000 m</w:t>
      </w:r>
      <w:r w:rsidRPr="004E397C">
        <w:rPr>
          <w:rFonts w:cstheme="minorHAnsi"/>
          <w:sz w:val="28"/>
          <w:szCs w:val="28"/>
          <w:vertAlign w:val="superscript"/>
        </w:rPr>
        <w:t>2</w:t>
      </w:r>
      <w:r w:rsidRPr="004E397C">
        <w:rPr>
          <w:rFonts w:cstheme="minorHAnsi"/>
          <w:sz w:val="28"/>
          <w:szCs w:val="28"/>
        </w:rPr>
        <w:t xml:space="preserve">, co wynika z załącznika graficznego. Zdaniem Naczelnego Sądu Administracyjnego (wyrok z dnia 11.06.2014 r., sygn. akt II OSK 95/13) możliwe jest w zakresie wskaźnika powierzchni zabudowy, w konkretnym przypadku, rozstrzygnięcie specyficzne, uwzględniające uwarunkowania zaistniałe na terenie obszaru urbanistycznego, w kontekście zamierzenia przedstawionego we wniosku. Wnioski do przyjęcia takiego rozstrzygnięcia muszą przy tym wynikać z analizy urbanistycznej. W omawianym przypadku wynikają. Ponadto Naczelny Sąd Administracyjny wyrokiem z 25.02.2011 r. (sygn. akt II OSK 1857/10) orzekł, że „Zgodnie z § 5 ust. 1 rozporządzenia chodzi o to, aby wielkość powierzchni nowej zabudowy, nie odbiegała drastycznie od wielkości powierzchni zabudowy na innych działkach (zabudowanych), znajdujących się w obszarze analizowanym”. </w:t>
      </w:r>
    </w:p>
    <w:p w14:paraId="6F50C49A" w14:textId="77777777" w:rsidR="004E397C" w:rsidRPr="004E397C" w:rsidRDefault="004E397C" w:rsidP="004E397C">
      <w:pPr>
        <w:spacing w:after="120" w:line="240" w:lineRule="auto"/>
        <w:jc w:val="both"/>
        <w:rPr>
          <w:rFonts w:cstheme="minorHAnsi"/>
          <w:sz w:val="28"/>
          <w:szCs w:val="28"/>
        </w:rPr>
      </w:pPr>
    </w:p>
    <w:p w14:paraId="089342AE" w14:textId="77777777" w:rsidR="004E397C" w:rsidRPr="004E397C" w:rsidRDefault="004E397C" w:rsidP="004E397C">
      <w:pPr>
        <w:spacing w:after="120" w:line="240" w:lineRule="auto"/>
        <w:jc w:val="both"/>
        <w:rPr>
          <w:rFonts w:cstheme="minorHAnsi"/>
          <w:sz w:val="28"/>
          <w:szCs w:val="28"/>
        </w:rPr>
      </w:pPr>
    </w:p>
    <w:p w14:paraId="1471D512" w14:textId="77777777" w:rsidR="004E397C" w:rsidRPr="004E397C" w:rsidRDefault="004E397C" w:rsidP="004E397C">
      <w:pPr>
        <w:spacing w:after="120" w:line="240" w:lineRule="auto"/>
        <w:jc w:val="both"/>
        <w:rPr>
          <w:rFonts w:cstheme="minorHAnsi"/>
          <w:sz w:val="28"/>
          <w:szCs w:val="28"/>
        </w:rPr>
      </w:pPr>
    </w:p>
    <w:p w14:paraId="6E07CE6E" w14:textId="77777777" w:rsidR="004E397C" w:rsidRPr="004E397C" w:rsidRDefault="004E397C" w:rsidP="004E397C">
      <w:pPr>
        <w:spacing w:after="120" w:line="240" w:lineRule="auto"/>
        <w:jc w:val="both"/>
        <w:rPr>
          <w:rFonts w:cstheme="minorHAnsi"/>
          <w:sz w:val="28"/>
          <w:szCs w:val="28"/>
        </w:rPr>
      </w:pPr>
    </w:p>
    <w:p w14:paraId="3C874952" w14:textId="77777777" w:rsidR="004E397C" w:rsidRPr="004E397C" w:rsidRDefault="004E397C" w:rsidP="004E397C">
      <w:pPr>
        <w:spacing w:after="120" w:line="240" w:lineRule="auto"/>
        <w:jc w:val="both"/>
        <w:rPr>
          <w:rFonts w:cstheme="minorHAnsi"/>
          <w:sz w:val="28"/>
          <w:szCs w:val="28"/>
        </w:rPr>
      </w:pPr>
      <w:r w:rsidRPr="004E397C">
        <w:rPr>
          <w:rFonts w:cstheme="minorHAnsi"/>
          <w:sz w:val="28"/>
          <w:szCs w:val="28"/>
        </w:rPr>
        <w:lastRenderedPageBreak/>
        <w:t>Planowane budynki o powierzchni ca 100-160 m</w:t>
      </w:r>
      <w:r w:rsidRPr="004E397C">
        <w:rPr>
          <w:rFonts w:cstheme="minorHAnsi"/>
          <w:sz w:val="28"/>
          <w:szCs w:val="28"/>
          <w:vertAlign w:val="superscript"/>
        </w:rPr>
        <w:t xml:space="preserve">2 </w:t>
      </w:r>
      <w:r w:rsidRPr="004E397C">
        <w:rPr>
          <w:rFonts w:cstheme="minorHAnsi"/>
          <w:sz w:val="28"/>
          <w:szCs w:val="28"/>
        </w:rPr>
        <w:t>są budynkami zbliżonymi powierzchnią do występujących w obszarze analizowanym, np. na działkach o nr ewid.: 146; 144/7; 418/2; 418/1; 414/1, 415/1, 413/3, 414/4; 412; 410; 216/1; 217/1; 409; 408 budynki mieszkalne mają powierzchnie odpowiednio: 136 m</w:t>
      </w:r>
      <w:r w:rsidRPr="004E397C">
        <w:rPr>
          <w:rFonts w:cstheme="minorHAnsi"/>
          <w:sz w:val="28"/>
          <w:szCs w:val="28"/>
          <w:vertAlign w:val="superscript"/>
        </w:rPr>
        <w:t>2</w:t>
      </w:r>
      <w:r w:rsidRPr="004E397C">
        <w:rPr>
          <w:rFonts w:cstheme="minorHAnsi"/>
          <w:sz w:val="28"/>
          <w:szCs w:val="28"/>
        </w:rPr>
        <w:t>, 102 m</w:t>
      </w:r>
      <w:r w:rsidRPr="004E397C">
        <w:rPr>
          <w:rFonts w:cstheme="minorHAnsi"/>
          <w:sz w:val="28"/>
          <w:szCs w:val="28"/>
          <w:vertAlign w:val="superscript"/>
        </w:rPr>
        <w:t>2</w:t>
      </w:r>
      <w:r w:rsidRPr="004E397C">
        <w:rPr>
          <w:rFonts w:cstheme="minorHAnsi"/>
          <w:sz w:val="28"/>
          <w:szCs w:val="28"/>
        </w:rPr>
        <w:t>, 108 m</w:t>
      </w:r>
      <w:r w:rsidRPr="004E397C">
        <w:rPr>
          <w:rFonts w:cstheme="minorHAnsi"/>
          <w:sz w:val="28"/>
          <w:szCs w:val="28"/>
          <w:vertAlign w:val="superscript"/>
        </w:rPr>
        <w:t>2</w:t>
      </w:r>
      <w:r w:rsidRPr="004E397C">
        <w:rPr>
          <w:rFonts w:cstheme="minorHAnsi"/>
          <w:sz w:val="28"/>
          <w:szCs w:val="28"/>
        </w:rPr>
        <w:t>, 105 m</w:t>
      </w:r>
      <w:r w:rsidRPr="004E397C">
        <w:rPr>
          <w:rFonts w:cstheme="minorHAnsi"/>
          <w:sz w:val="28"/>
          <w:szCs w:val="28"/>
          <w:vertAlign w:val="superscript"/>
        </w:rPr>
        <w:t>2</w:t>
      </w:r>
      <w:r w:rsidRPr="004E397C">
        <w:rPr>
          <w:rFonts w:cstheme="minorHAnsi"/>
          <w:sz w:val="28"/>
          <w:szCs w:val="28"/>
        </w:rPr>
        <w:t>, 137 m</w:t>
      </w:r>
      <w:r w:rsidRPr="004E397C">
        <w:rPr>
          <w:rFonts w:cstheme="minorHAnsi"/>
          <w:sz w:val="28"/>
          <w:szCs w:val="28"/>
          <w:vertAlign w:val="superscript"/>
        </w:rPr>
        <w:t>2</w:t>
      </w:r>
      <w:r w:rsidRPr="004E397C">
        <w:rPr>
          <w:rFonts w:cstheme="minorHAnsi"/>
          <w:sz w:val="28"/>
          <w:szCs w:val="28"/>
        </w:rPr>
        <w:t>, 153 m</w:t>
      </w:r>
      <w:r w:rsidRPr="004E397C">
        <w:rPr>
          <w:rFonts w:cstheme="minorHAnsi"/>
          <w:sz w:val="28"/>
          <w:szCs w:val="28"/>
          <w:vertAlign w:val="superscript"/>
        </w:rPr>
        <w:t>2</w:t>
      </w:r>
      <w:r w:rsidRPr="004E397C">
        <w:rPr>
          <w:rFonts w:cstheme="minorHAnsi"/>
          <w:sz w:val="28"/>
          <w:szCs w:val="28"/>
        </w:rPr>
        <w:t>, 111 m</w:t>
      </w:r>
      <w:r w:rsidRPr="004E397C">
        <w:rPr>
          <w:rFonts w:cstheme="minorHAnsi"/>
          <w:sz w:val="28"/>
          <w:szCs w:val="28"/>
          <w:vertAlign w:val="superscript"/>
        </w:rPr>
        <w:t>2</w:t>
      </w:r>
      <w:r w:rsidRPr="004E397C">
        <w:rPr>
          <w:rFonts w:cstheme="minorHAnsi"/>
          <w:sz w:val="28"/>
          <w:szCs w:val="28"/>
        </w:rPr>
        <w:t>, 156 m</w:t>
      </w:r>
      <w:r w:rsidRPr="004E397C">
        <w:rPr>
          <w:rFonts w:cstheme="minorHAnsi"/>
          <w:sz w:val="28"/>
          <w:szCs w:val="28"/>
          <w:vertAlign w:val="superscript"/>
        </w:rPr>
        <w:t>2</w:t>
      </w:r>
      <w:r w:rsidRPr="004E397C">
        <w:rPr>
          <w:rFonts w:cstheme="minorHAnsi"/>
          <w:sz w:val="28"/>
          <w:szCs w:val="28"/>
        </w:rPr>
        <w:t>, 105 m</w:t>
      </w:r>
      <w:r w:rsidRPr="004E397C">
        <w:rPr>
          <w:rFonts w:cstheme="minorHAnsi"/>
          <w:sz w:val="28"/>
          <w:szCs w:val="28"/>
          <w:vertAlign w:val="superscript"/>
        </w:rPr>
        <w:t>2</w:t>
      </w:r>
      <w:r w:rsidRPr="004E397C">
        <w:rPr>
          <w:rFonts w:cstheme="minorHAnsi"/>
          <w:sz w:val="28"/>
          <w:szCs w:val="28"/>
        </w:rPr>
        <w:t>, 102 m</w:t>
      </w:r>
      <w:r w:rsidRPr="004E397C">
        <w:rPr>
          <w:rFonts w:cstheme="minorHAnsi"/>
          <w:sz w:val="28"/>
          <w:szCs w:val="28"/>
          <w:vertAlign w:val="superscript"/>
        </w:rPr>
        <w:t>2</w:t>
      </w:r>
      <w:r w:rsidRPr="004E397C">
        <w:rPr>
          <w:rFonts w:cstheme="minorHAnsi"/>
          <w:sz w:val="28"/>
          <w:szCs w:val="28"/>
        </w:rPr>
        <w:t>, 189 m</w:t>
      </w:r>
      <w:r w:rsidRPr="004E397C">
        <w:rPr>
          <w:rFonts w:cstheme="minorHAnsi"/>
          <w:sz w:val="28"/>
          <w:szCs w:val="28"/>
          <w:vertAlign w:val="superscript"/>
        </w:rPr>
        <w:t>2</w:t>
      </w:r>
      <w:r w:rsidRPr="004E397C">
        <w:rPr>
          <w:rFonts w:cstheme="minorHAnsi"/>
          <w:sz w:val="28"/>
          <w:szCs w:val="28"/>
        </w:rPr>
        <w:t>, 102 m</w:t>
      </w:r>
      <w:r w:rsidRPr="004E397C">
        <w:rPr>
          <w:rFonts w:cstheme="minorHAnsi"/>
          <w:sz w:val="28"/>
          <w:szCs w:val="28"/>
          <w:vertAlign w:val="superscript"/>
        </w:rPr>
        <w:t>2</w:t>
      </w:r>
      <w:r w:rsidRPr="004E397C">
        <w:rPr>
          <w:rFonts w:cstheme="minorHAnsi"/>
          <w:sz w:val="28"/>
          <w:szCs w:val="28"/>
        </w:rPr>
        <w:t>. Z tego względu, przy uwzględnieniu uwarunkowań zaistniałych w obszarze poddanym analizie, wskaźnik powierzchni nowej zabudowy ustalono na poziomie od 11,1 % do 13,5 % powierzchni każdego z terenów oznaczonych symbolami: A, B i C.</w:t>
      </w:r>
    </w:p>
    <w:p w14:paraId="2D14B644" w14:textId="77777777" w:rsidR="004E397C" w:rsidRPr="004E397C" w:rsidRDefault="004E397C" w:rsidP="004E397C">
      <w:pPr>
        <w:spacing w:after="120" w:line="240" w:lineRule="auto"/>
        <w:ind w:firstLine="567"/>
        <w:jc w:val="both"/>
        <w:rPr>
          <w:rFonts w:cstheme="minorHAnsi"/>
          <w:sz w:val="28"/>
          <w:szCs w:val="28"/>
          <w:highlight w:val="yellow"/>
        </w:rPr>
      </w:pPr>
      <w:r w:rsidRPr="004E397C">
        <w:rPr>
          <w:rFonts w:cstheme="minorHAnsi"/>
          <w:sz w:val="28"/>
          <w:szCs w:val="28"/>
        </w:rPr>
        <w:t xml:space="preserve">Szerokość elewacji frontowej planowanego budynku wyznaczono na podstawie średniej szerokości elewacji dla obszaru analizowanego z tolerancją ±20 %, przy średniej szerokości elewacji wynoszącej 11,6 m. Wnioskowana szerokość elewacji (od 10,0 m do 15,0 m) nie mieści się w ramach standardowo wyznaczonej wielkości, ale mieści się w przedziale szerokości występujących w obszarze analizowanym: od 3,5 m do 32,2 m. Szerokości elewacji budynków mieszkalnych na działkach w obszarze analizowanym o nr ewid.: 146; 144/7; 420; 418/2; 418/1; 414/1, 415/1, 413/3, 414/4; 412; 410; 216/1; 217/1; 409; 408,  wynoszą odpowiednio: 14,1 m i 8,6 m, 9,2 m, 9,9 m, 8,1 m, 8,0 m, 13,5 m, 17,0 m, 11,3 m, 12,1 m, 10,1 m, 10,7 m, 14,0 m, 11,8 m. Szerokość projektowanego budynku ze względu na zróżnicowanie istniejącej zabudowy oraz na fakt, iż powinien charakteryzować się szerokością pośrednią wśród budynków występujących w sąsiedztwie, ustalono na poziomie 11,6 m ± 20 % (czyli od 9,3 m do 13,9 m) dla każdego z terenów oznaczonych symbolami A, B, C. </w:t>
      </w:r>
    </w:p>
    <w:p w14:paraId="0EA122A0" w14:textId="77777777" w:rsidR="004E397C" w:rsidRPr="004E397C" w:rsidRDefault="004E397C" w:rsidP="004E397C">
      <w:pPr>
        <w:spacing w:after="120" w:line="240" w:lineRule="auto"/>
        <w:ind w:firstLine="567"/>
        <w:jc w:val="both"/>
        <w:rPr>
          <w:rFonts w:cstheme="minorHAnsi"/>
          <w:sz w:val="28"/>
          <w:szCs w:val="28"/>
        </w:rPr>
      </w:pPr>
      <w:r w:rsidRPr="004E397C">
        <w:rPr>
          <w:rFonts w:cs="Times New Roman"/>
          <w:sz w:val="28"/>
          <w:szCs w:val="28"/>
        </w:rPr>
        <w:t xml:space="preserve">Wysokość górnej krawędzi elewacji frontowej, jej gzymsu lub attyki wyznacza się dla nowej zabudowy jako przedłużenie tych krawędzi odpowiednio do istniejącej zabudowy na działkach sąsiednich. Dopuszcza się wyznaczenie innej wysokości górnej krawędzi elewacji frontowej, jeżeli wynika to z analizy. </w:t>
      </w:r>
      <w:r w:rsidRPr="004E397C">
        <w:rPr>
          <w:sz w:val="28"/>
          <w:szCs w:val="28"/>
        </w:rPr>
        <w:t xml:space="preserve">Wysokość górnej krawędzi elewacji frontowej budynków mieszkalnych z dachami dwuspadowymi usytuowanych kalenicowo do frontu działki występująca na działce o nr ewid. 144/7 wynosi 3,0 m, na działkach o nr ewid. 414/1, 415/1, 413/3, 414/4; 215/3; 412 wynoszą 3,5 m, na działce o nr ewid. 408 wynosi 4,5 m, na działce o nr ewid. </w:t>
      </w:r>
      <w:r w:rsidRPr="004E397C">
        <w:rPr>
          <w:rFonts w:cstheme="minorHAnsi"/>
          <w:sz w:val="28"/>
          <w:szCs w:val="28"/>
        </w:rPr>
        <w:t xml:space="preserve">216/1 wynosi 6,5 m, a na działkach o nr ewid. 418/1, 418/2 wynoszą 7,0 m. Wysokość górnej krawędzi elewacji frontowej budynków mieszkalnych z dachami dwuspadowymi usytuowanych szczytowo do frontu działki występująca na działkach o nr ewid. 420 i 410, wynoszą odpowiednio 6,5 m i 8,0 m. W przypadku tych budynków wysokość elewacji frontowej jest równa wysokości głównej kalenicy. </w:t>
      </w:r>
    </w:p>
    <w:p w14:paraId="56BA1862" w14:textId="77777777" w:rsidR="004E397C" w:rsidRPr="004E397C" w:rsidRDefault="004E397C" w:rsidP="004E397C">
      <w:pPr>
        <w:spacing w:after="120" w:line="240" w:lineRule="auto"/>
        <w:jc w:val="both"/>
        <w:rPr>
          <w:rFonts w:cs="Times New Roman"/>
          <w:sz w:val="28"/>
          <w:szCs w:val="28"/>
        </w:rPr>
      </w:pPr>
      <w:r w:rsidRPr="004E397C">
        <w:rPr>
          <w:rFonts w:cstheme="minorHAnsi"/>
          <w:sz w:val="28"/>
          <w:szCs w:val="28"/>
        </w:rPr>
        <w:lastRenderedPageBreak/>
        <w:t xml:space="preserve">Natomiast wysokość górnej krawędzi elewacji frontowej budynku mieszkalnego z dachem tzw. płaskimi (do 12°) na działce o nr ewid. 146 wynosi 6,0 m. W obszarze analizowanym występują również budynki gospodarcze i gospodarczo-garażowe, których wysokość górnej krawędzi elewacji frontowej oscyluje od 2,5 m do 8,0 m </w:t>
      </w:r>
      <w:r w:rsidRPr="004E397C">
        <w:rPr>
          <w:rFonts w:cs="Times New Roman"/>
          <w:sz w:val="28"/>
          <w:szCs w:val="28"/>
        </w:rPr>
        <w:t xml:space="preserve">Projektowany budynek, z wysokością elewacji frontowej od 3,0 m do 4,0 m, charakteryzuje się wysokością zbliżoną do występujących w obszarze analizowanym. Ponadto budynek na działce o nr ewid. 215/3, obręb Mórka, który położony jest przy tej samej ulicy charakteryzuje się wysokością 3,5 m. W związku z powyższym wysokość górnej krawędzi elewacji frontowej ustalono na podstawie wysokości występujących w obszarze analizowanym, czyli od 3,0 m do 4,0 m, </w:t>
      </w:r>
      <w:r w:rsidRPr="004E397C">
        <w:rPr>
          <w:rFonts w:cstheme="minorHAnsi"/>
          <w:sz w:val="28"/>
          <w:szCs w:val="28"/>
        </w:rPr>
        <w:t>dla każdego z terenów oznaczonych symbolami A, B, C.</w:t>
      </w:r>
    </w:p>
    <w:p w14:paraId="3C4653A6" w14:textId="77777777" w:rsidR="004E397C" w:rsidRPr="004E397C" w:rsidRDefault="004E397C" w:rsidP="004E397C">
      <w:pPr>
        <w:spacing w:after="120" w:line="240" w:lineRule="auto"/>
        <w:ind w:firstLine="567"/>
        <w:jc w:val="both"/>
        <w:rPr>
          <w:sz w:val="28"/>
          <w:szCs w:val="28"/>
        </w:rPr>
      </w:pPr>
      <w:r w:rsidRPr="004E397C">
        <w:rPr>
          <w:rFonts w:cs="Times New Roman"/>
          <w:sz w:val="28"/>
          <w:szCs w:val="28"/>
        </w:rPr>
        <w:t>Geometrię dachu projektowanego budynku ustalono odpowiednio do geometrii dachów występujących na obszarze analizowanym, w którym występują budynki z dachami jedno- i dwuspadowymi o nachyleniu od 12</w:t>
      </w:r>
      <w:r w:rsidRPr="004E397C">
        <w:rPr>
          <w:rFonts w:cstheme="minorHAnsi"/>
          <w:sz w:val="28"/>
          <w:szCs w:val="28"/>
        </w:rPr>
        <w:t>°</w:t>
      </w:r>
      <w:r w:rsidRPr="004E397C">
        <w:rPr>
          <w:rFonts w:cs="Times New Roman"/>
          <w:sz w:val="28"/>
          <w:szCs w:val="28"/>
        </w:rPr>
        <w:t xml:space="preserve"> do 45</w:t>
      </w:r>
      <w:r w:rsidRPr="004E397C">
        <w:rPr>
          <w:rFonts w:cstheme="minorHAnsi"/>
          <w:sz w:val="28"/>
          <w:szCs w:val="28"/>
        </w:rPr>
        <w:t>°</w:t>
      </w:r>
      <w:r w:rsidRPr="004E397C">
        <w:rPr>
          <w:rFonts w:cs="Times New Roman"/>
          <w:sz w:val="28"/>
          <w:szCs w:val="28"/>
        </w:rPr>
        <w:t xml:space="preserve">, </w:t>
      </w:r>
      <w:r w:rsidRPr="004E397C">
        <w:rPr>
          <w:rFonts w:cstheme="minorHAnsi"/>
          <w:sz w:val="28"/>
          <w:szCs w:val="28"/>
        </w:rPr>
        <w:t>o wysokości głównej kalenicy budynków w obszarze analizowanym od 3,0 m do 9,0 m oraz budynki z dachem tzw. płaskimi (o kącie nachylenia do 12°) i wysokości budynku od 2,5 m do 6,5 m</w:t>
      </w:r>
      <w:r w:rsidRPr="004E397C">
        <w:rPr>
          <w:sz w:val="28"/>
          <w:szCs w:val="28"/>
        </w:rPr>
        <w:t xml:space="preserve">. W obszarze analizowanym występują dachy o kalenicowym (równoległym lub zbliżonym do równoległego) do frontu działki i szczytowym (prostopadłym lub zbliżonym do prostopadłego) kierunku kalenicy w stosunku do frontu działki. </w:t>
      </w:r>
      <w:r w:rsidRPr="004E397C">
        <w:rPr>
          <w:rFonts w:cstheme="minorHAnsi"/>
          <w:sz w:val="28"/>
          <w:szCs w:val="28"/>
        </w:rPr>
        <w:t xml:space="preserve">Po dokonaniu analizy stwierdzono, że wnioskowana geometria dachu: dach dwuspadowy o kącie nachylenia od </w:t>
      </w:r>
      <w:r w:rsidRPr="004E397C">
        <w:rPr>
          <w:rFonts w:cs="Times New Roman"/>
          <w:sz w:val="28"/>
          <w:szCs w:val="28"/>
        </w:rPr>
        <w:t>35</w:t>
      </w:r>
      <w:r w:rsidRPr="004E397C">
        <w:rPr>
          <w:rFonts w:cstheme="minorHAnsi"/>
          <w:sz w:val="28"/>
          <w:szCs w:val="28"/>
        </w:rPr>
        <w:t>°</w:t>
      </w:r>
      <w:r w:rsidRPr="004E397C">
        <w:rPr>
          <w:rFonts w:cs="Times New Roman"/>
          <w:sz w:val="28"/>
          <w:szCs w:val="28"/>
        </w:rPr>
        <w:t xml:space="preserve"> do 45</w:t>
      </w:r>
      <w:r w:rsidRPr="004E397C">
        <w:rPr>
          <w:rFonts w:cstheme="minorHAnsi"/>
          <w:sz w:val="28"/>
          <w:szCs w:val="28"/>
        </w:rPr>
        <w:t>°, o kalenicowym kierunku głównej kalenicy dachu w stosunku do frontu działki oraz o wysokości głównej kalenicy od 7,5 m do 8,5 m, odpowiada parametrom budynków w obszarze analizowanym. Możliwe jest ustalenie geometrii dachu dla każdego z terenów oznaczonych symbolami A, B, C na wnioskowanym poziomie, bowiem taka geometria dachu harmonijnie wpisze się w sąsiadującą zabudowę.</w:t>
      </w:r>
    </w:p>
    <w:p w14:paraId="7103DE4B" w14:textId="77777777" w:rsidR="004E397C" w:rsidRPr="004E397C" w:rsidRDefault="004E397C" w:rsidP="004E397C">
      <w:pPr>
        <w:spacing w:after="120" w:line="240" w:lineRule="auto"/>
        <w:ind w:firstLine="567"/>
        <w:jc w:val="both"/>
        <w:rPr>
          <w:rFonts w:cstheme="minorHAnsi"/>
          <w:sz w:val="28"/>
          <w:szCs w:val="28"/>
        </w:rPr>
      </w:pPr>
      <w:r w:rsidRPr="004E397C">
        <w:rPr>
          <w:rFonts w:cstheme="minorHAnsi"/>
          <w:sz w:val="28"/>
          <w:szCs w:val="28"/>
        </w:rPr>
        <w:t xml:space="preserve">Wnioskodawca w pkt 8.2 wniosku określił przewidywaną dla planowanej inwestycji liczbę miejsc postojowych. Stosownie do § 2 pkt 6 rozporządzenia Ministra Infrastruktury z dnia 26 sierpnia 2003 r. w sprawie oznaczeń i nazewnictwa stosowanych w decyzji o ustaleniu lokalizacji inwestycji celu publicznego oraz w decyzji o warunkach zabudowy (Dz. U. Nr 64, poz. 1589) ustalony został sposób zapisywania ustaleń decyzji o warunkach zabudowy dotyczących obsługi w zakresie komunikacji i infrastruktury technicznej m.in. w zakresie wymaganej ilości miejsc parkingowych. Jak wskazuje Naczelny Sąd Administracyjny w wyroku z dnia 7 maja 2019 r. sygn. akt II OSK 1534/17 decyzja o warunkach zabudowy określać ma zasady (warunki). </w:t>
      </w:r>
    </w:p>
    <w:p w14:paraId="3C73DF07" w14:textId="77777777" w:rsidR="004E397C" w:rsidRPr="004E397C" w:rsidRDefault="004E397C" w:rsidP="004E397C">
      <w:pPr>
        <w:spacing w:after="120" w:line="240" w:lineRule="auto"/>
        <w:jc w:val="both"/>
        <w:rPr>
          <w:rFonts w:cstheme="minorHAnsi"/>
          <w:sz w:val="28"/>
          <w:szCs w:val="28"/>
        </w:rPr>
      </w:pPr>
      <w:r w:rsidRPr="004E397C">
        <w:rPr>
          <w:rFonts w:cstheme="minorHAnsi"/>
          <w:sz w:val="28"/>
          <w:szCs w:val="28"/>
        </w:rPr>
        <w:lastRenderedPageBreak/>
        <w:t xml:space="preserve">„Takimi zasadami wpływającymi na liczbę miejsc postojowych i urządzenie parkingu będzie np. powierzchnia zabudowy, ilość kondygnacji czy zasady komunikacji dla tej inwestycji. (…) Wymagana ilość miejsc postojowych zależy m.in. od ilości samochodów użytkowników przebywających w budynku stale lub okresowo, która to ilość jest z kolei determinowana takimi cechami budynku, jak liczba lokali mieszkalnych, ich powierzchnia, czy powierzchnia usług. Te wielkości ustalane są natomiast szczegółowo na etapie uzyskiwania pozwolenia na budowę. Zatem szczegółowe określenie ilości miejsc postojowych i sposobu ich zorganizowania (rozmieszczenia) przez organ właściwy do wydania decyzji o warunkach zabudowy stanowiłoby niedopuszczalną ingerencję w kompetencje organu administracji architektoniczno-budowlanej.”. </w:t>
      </w:r>
    </w:p>
    <w:p w14:paraId="443FEC14" w14:textId="77777777" w:rsidR="004E397C" w:rsidRPr="004E397C" w:rsidRDefault="004E397C" w:rsidP="004E397C">
      <w:pPr>
        <w:spacing w:after="120" w:line="240" w:lineRule="auto"/>
        <w:ind w:firstLine="567"/>
        <w:jc w:val="both"/>
        <w:rPr>
          <w:rFonts w:cstheme="minorHAnsi"/>
          <w:sz w:val="28"/>
          <w:szCs w:val="28"/>
        </w:rPr>
      </w:pPr>
      <w:r w:rsidRPr="004E397C">
        <w:rPr>
          <w:rFonts w:cstheme="minorHAnsi"/>
          <w:sz w:val="28"/>
          <w:szCs w:val="28"/>
        </w:rPr>
        <w:t>W niniejszej decyzji Burmistrz Śremu określił zasady związane z lokalizacją miejsc parkingowych na terenie inwestycji, a mianowicie: liczbę miejsc parkingowych (nie mniej niż dwa na lokal mieszkalny), które mają zostać zlokalizowane na terenie inwestycji, poza terenem planowanej drogi wewnętrznej (ust. 2 pkt 3 lit. h decyzji).</w:t>
      </w:r>
    </w:p>
    <w:p w14:paraId="6350A19E" w14:textId="77777777" w:rsidR="004E397C" w:rsidRPr="004E397C" w:rsidRDefault="004E397C" w:rsidP="004E397C">
      <w:pPr>
        <w:spacing w:after="120" w:line="240" w:lineRule="auto"/>
        <w:ind w:firstLine="567"/>
        <w:jc w:val="both"/>
        <w:rPr>
          <w:rFonts w:cstheme="minorHAnsi"/>
          <w:sz w:val="28"/>
          <w:szCs w:val="28"/>
        </w:rPr>
      </w:pPr>
      <w:r w:rsidRPr="004E397C">
        <w:rPr>
          <w:rFonts w:cstheme="minorHAnsi"/>
          <w:sz w:val="28"/>
          <w:szCs w:val="28"/>
        </w:rPr>
        <w:t>Planowane przedsięwzięcie nie zostało zakwalifikowane do przedsięwzięć mogących potencjalnie albo zawsze znacząco oddziaływać na środowisko, o których mowa w rozporządzeniu Rady Ministrów z dnia 10 września 2019 r. w sprawie przedsięwzięć mogących znacząco oddziaływać na środowisko (Dz. U. poz. 1839, z 2022 r. poz. 1071, z 2023 r. poz. 1724). W związku z tym nie zachodził obowiązek uzyskania decyzji o środowiskowych uwarunkowaniach określającej środowiskowe uwarunkowania realizacji przedsięwzięcia.</w:t>
      </w:r>
    </w:p>
    <w:p w14:paraId="275508E3" w14:textId="77777777" w:rsidR="004E397C" w:rsidRPr="004E397C" w:rsidRDefault="004E397C" w:rsidP="004E397C">
      <w:pPr>
        <w:spacing w:after="120" w:line="240" w:lineRule="auto"/>
        <w:ind w:firstLine="567"/>
        <w:jc w:val="both"/>
        <w:rPr>
          <w:rFonts w:cstheme="minorHAnsi"/>
          <w:sz w:val="28"/>
          <w:szCs w:val="28"/>
        </w:rPr>
      </w:pPr>
      <w:r w:rsidRPr="004E397C">
        <w:rPr>
          <w:rFonts w:cstheme="minorHAnsi"/>
          <w:sz w:val="28"/>
          <w:szCs w:val="28"/>
        </w:rPr>
        <w:t xml:space="preserve">Biorąc powyższe pod uwagę, stosownie do art. 96 ust. 1 ustawy z dnia 3 października 2008 r. o udostępnianiu informacji o środowisku i jego ochronie, udziale społeczeństwa w ochronie środowiska oraz o ocenach oddziaływania na środowisko (Dz. U. z 2023 r. poz. 1094, 1113, 1501, 1506, 1719, 1890, 1688, 1906, 1890 i 2029) tutejszy organ rozważył, przed wydaniem niniejszej decyzji, czy analizowane przedsięwzięcie, </w:t>
      </w:r>
      <w:r w:rsidRPr="004E397C">
        <w:rPr>
          <w:rFonts w:eastAsia="Times New Roman" w:cstheme="minorHAnsi"/>
          <w:sz w:val="28"/>
          <w:szCs w:val="28"/>
          <w:lang w:eastAsia="pl-PL"/>
        </w:rPr>
        <w:t>inne niż przedsięwzięcie mogące znacząco oddziaływać na środowisko</w:t>
      </w:r>
      <w:r w:rsidRPr="004E397C">
        <w:rPr>
          <w:rFonts w:cstheme="minorHAnsi"/>
          <w:sz w:val="28"/>
        </w:rPr>
        <w:t>, które nie jest bezpośrednio związane z ochroną obszaru Natura 2000 lub nie wynika z tej ochrony, może potencjalnie znacząco oddziaływać na obszar Natura 2000. Otóż planowana inwestycja:</w:t>
      </w:r>
      <w:bookmarkStart w:id="2" w:name="_Hlk84408696"/>
    </w:p>
    <w:bookmarkEnd w:id="2"/>
    <w:p w14:paraId="0442A1D1" w14:textId="77777777" w:rsidR="004E397C" w:rsidRPr="004E397C" w:rsidRDefault="004E397C" w:rsidP="004E397C">
      <w:pPr>
        <w:widowControl w:val="0"/>
        <w:numPr>
          <w:ilvl w:val="0"/>
          <w:numId w:val="14"/>
        </w:numPr>
        <w:tabs>
          <w:tab w:val="left" w:pos="993"/>
        </w:tabs>
        <w:autoSpaceDE w:val="0"/>
        <w:spacing w:after="120" w:line="240" w:lineRule="auto"/>
        <w:ind w:left="0" w:firstLine="567"/>
        <w:contextualSpacing/>
        <w:jc w:val="both"/>
        <w:rPr>
          <w:rFonts w:cstheme="minorHAnsi"/>
          <w:sz w:val="28"/>
        </w:rPr>
      </w:pPr>
      <w:r w:rsidRPr="004E397C">
        <w:rPr>
          <w:rFonts w:cstheme="minorHAnsi"/>
          <w:sz w:val="28"/>
        </w:rPr>
        <w:t>położona jest w sąsiedztwie zabudowy mieszkaniowej i zabudowy zagrodowej, na niezabudowanej działce użytkowanej rolniczo;</w:t>
      </w:r>
    </w:p>
    <w:p w14:paraId="0B468EFE" w14:textId="77777777" w:rsidR="004E397C" w:rsidRPr="004E397C" w:rsidRDefault="004E397C" w:rsidP="004E397C">
      <w:pPr>
        <w:widowControl w:val="0"/>
        <w:tabs>
          <w:tab w:val="left" w:pos="993"/>
        </w:tabs>
        <w:autoSpaceDE w:val="0"/>
        <w:spacing w:after="120" w:line="240" w:lineRule="auto"/>
        <w:ind w:left="567"/>
        <w:contextualSpacing/>
        <w:jc w:val="both"/>
        <w:rPr>
          <w:rFonts w:cstheme="minorHAnsi"/>
          <w:sz w:val="28"/>
        </w:rPr>
      </w:pPr>
    </w:p>
    <w:p w14:paraId="2CE8655D" w14:textId="77777777" w:rsidR="004E397C" w:rsidRPr="004E397C" w:rsidRDefault="004E397C" w:rsidP="004E397C">
      <w:pPr>
        <w:widowControl w:val="0"/>
        <w:numPr>
          <w:ilvl w:val="0"/>
          <w:numId w:val="14"/>
        </w:numPr>
        <w:tabs>
          <w:tab w:val="left" w:pos="993"/>
        </w:tabs>
        <w:autoSpaceDE w:val="0"/>
        <w:spacing w:after="120" w:line="240" w:lineRule="auto"/>
        <w:ind w:left="0" w:firstLine="567"/>
        <w:contextualSpacing/>
        <w:jc w:val="both"/>
        <w:rPr>
          <w:rFonts w:cstheme="minorHAnsi"/>
          <w:sz w:val="28"/>
        </w:rPr>
      </w:pPr>
      <w:r w:rsidRPr="004E397C">
        <w:rPr>
          <w:rFonts w:cstheme="minorHAnsi"/>
          <w:sz w:val="28"/>
        </w:rPr>
        <w:lastRenderedPageBreak/>
        <w:t>odległa jest od najbliższego obszaru Natura 2000 (pomiar w linii prostej) o ca 9,4 km;</w:t>
      </w:r>
    </w:p>
    <w:p w14:paraId="6A857860" w14:textId="77777777" w:rsidR="004E397C" w:rsidRPr="004E397C" w:rsidRDefault="004E397C" w:rsidP="004E397C">
      <w:pPr>
        <w:widowControl w:val="0"/>
        <w:numPr>
          <w:ilvl w:val="0"/>
          <w:numId w:val="14"/>
        </w:numPr>
        <w:tabs>
          <w:tab w:val="left" w:pos="993"/>
        </w:tabs>
        <w:autoSpaceDE w:val="0"/>
        <w:spacing w:after="120" w:line="240" w:lineRule="auto"/>
        <w:ind w:left="0" w:firstLine="567"/>
        <w:contextualSpacing/>
        <w:jc w:val="both"/>
        <w:rPr>
          <w:rFonts w:cstheme="minorHAnsi"/>
          <w:sz w:val="28"/>
        </w:rPr>
      </w:pPr>
      <w:r w:rsidRPr="004E397C">
        <w:rPr>
          <w:rFonts w:cstheme="minorHAnsi"/>
          <w:sz w:val="28"/>
        </w:rPr>
        <w:t>nie wiąże się z generowaniem jakichkolwiek emisji do środowiska (hałas, pola elektromagnetyczne, substancje).</w:t>
      </w:r>
    </w:p>
    <w:p w14:paraId="1D67E1AE" w14:textId="77777777" w:rsidR="004E397C" w:rsidRPr="004E397C" w:rsidRDefault="004E397C" w:rsidP="004E397C">
      <w:pPr>
        <w:widowControl w:val="0"/>
        <w:autoSpaceDE w:val="0"/>
        <w:spacing w:after="120" w:line="240" w:lineRule="auto"/>
        <w:ind w:firstLine="567"/>
        <w:jc w:val="both"/>
        <w:rPr>
          <w:rFonts w:cstheme="minorHAnsi"/>
          <w:sz w:val="28"/>
        </w:rPr>
      </w:pPr>
      <w:r w:rsidRPr="004E397C">
        <w:rPr>
          <w:rFonts w:cstheme="minorHAnsi"/>
          <w:sz w:val="28"/>
        </w:rPr>
        <w:t>W efekcie tych rozważań uznał, że planowane przedsięwzięcie ze względu na zakres przewidywanego oddziaływania, skalę oraz odległość od obszarów Natura 2000, a także brak oddziaływania na elementy środowiska przyrodniczego, z uwagi na występowanie których obszary te zostały wyznaczone, nie będzie potencjalnie znacząco oddziaływać na te obszary.</w:t>
      </w:r>
    </w:p>
    <w:p w14:paraId="35498BC8" w14:textId="77777777" w:rsidR="004E397C" w:rsidRPr="004E397C" w:rsidRDefault="004E397C" w:rsidP="004E397C">
      <w:pPr>
        <w:widowControl w:val="0"/>
        <w:autoSpaceDE w:val="0"/>
        <w:spacing w:after="120" w:line="240" w:lineRule="auto"/>
        <w:ind w:firstLine="567"/>
        <w:jc w:val="both"/>
        <w:rPr>
          <w:rFonts w:cstheme="minorHAnsi"/>
          <w:sz w:val="28"/>
        </w:rPr>
      </w:pPr>
      <w:r w:rsidRPr="004E397C">
        <w:rPr>
          <w:rFonts w:cs="Times New Roman"/>
          <w:sz w:val="28"/>
          <w:szCs w:val="28"/>
        </w:rPr>
        <w:t>Projekt decyzji został uzgodniony z organami, o których mowa w art. 53 ust. 4 pkt 2a, pkt 6 i pkt 9 oraz zaopiniowania z organem, o którym mowa w art. 53 ust. 5e pkt 2 lit. a w związku z art. 64 ust. 1 u.p.z.p., a mianowicie z:</w:t>
      </w:r>
    </w:p>
    <w:p w14:paraId="61843AA4" w14:textId="77777777" w:rsidR="004E397C" w:rsidRPr="004E397C" w:rsidRDefault="004E397C" w:rsidP="004E397C">
      <w:pPr>
        <w:widowControl w:val="0"/>
        <w:numPr>
          <w:ilvl w:val="0"/>
          <w:numId w:val="16"/>
        </w:numPr>
        <w:autoSpaceDE w:val="0"/>
        <w:spacing w:after="120" w:line="240" w:lineRule="auto"/>
        <w:ind w:left="720"/>
        <w:contextualSpacing/>
        <w:jc w:val="both"/>
        <w:rPr>
          <w:rFonts w:cs="Times New Roman"/>
          <w:sz w:val="28"/>
          <w:szCs w:val="28"/>
        </w:rPr>
      </w:pPr>
      <w:r w:rsidRPr="004E397C">
        <w:rPr>
          <w:rFonts w:cs="Times New Roman"/>
          <w:sz w:val="28"/>
          <w:szCs w:val="28"/>
        </w:rPr>
        <w:t>Państwowym Powiatowym Inspektorem Sanitarnym w Śremie,</w:t>
      </w:r>
    </w:p>
    <w:p w14:paraId="28CA8E41" w14:textId="77777777" w:rsidR="004E397C" w:rsidRPr="004E397C" w:rsidRDefault="004E397C" w:rsidP="004E397C">
      <w:pPr>
        <w:widowControl w:val="0"/>
        <w:numPr>
          <w:ilvl w:val="0"/>
          <w:numId w:val="16"/>
        </w:numPr>
        <w:autoSpaceDE w:val="0"/>
        <w:spacing w:after="120" w:line="240" w:lineRule="auto"/>
        <w:ind w:left="720"/>
        <w:contextualSpacing/>
        <w:jc w:val="both"/>
        <w:rPr>
          <w:rFonts w:cs="Times New Roman"/>
          <w:sz w:val="28"/>
          <w:szCs w:val="28"/>
        </w:rPr>
      </w:pPr>
      <w:r w:rsidRPr="004E397C">
        <w:rPr>
          <w:rFonts w:cs="Times New Roman"/>
          <w:sz w:val="28"/>
          <w:szCs w:val="28"/>
        </w:rPr>
        <w:t>Starostą Śremskim i Dyrektorem Zarządu Zlewni Państwowego Gospodarstwa Wodnego Wody Polskie w Poznaniu,</w:t>
      </w:r>
    </w:p>
    <w:p w14:paraId="7DC023EF" w14:textId="77777777" w:rsidR="004E397C" w:rsidRPr="004E397C" w:rsidRDefault="004E397C" w:rsidP="004E397C">
      <w:pPr>
        <w:widowControl w:val="0"/>
        <w:numPr>
          <w:ilvl w:val="0"/>
          <w:numId w:val="16"/>
        </w:numPr>
        <w:autoSpaceDE w:val="0"/>
        <w:spacing w:after="120" w:line="240" w:lineRule="auto"/>
        <w:ind w:left="720"/>
        <w:contextualSpacing/>
        <w:jc w:val="both"/>
        <w:rPr>
          <w:rFonts w:cs="Times New Roman"/>
          <w:sz w:val="28"/>
          <w:szCs w:val="28"/>
        </w:rPr>
      </w:pPr>
      <w:r w:rsidRPr="004E397C">
        <w:rPr>
          <w:rFonts w:cs="Times New Roman"/>
          <w:sz w:val="28"/>
          <w:szCs w:val="28"/>
        </w:rPr>
        <w:t>Dyrektorem Powiatowego Zarządu Dróg w Śremie</w:t>
      </w:r>
    </w:p>
    <w:p w14:paraId="4F2F7D3C" w14:textId="77777777" w:rsidR="004E397C" w:rsidRPr="004E397C" w:rsidRDefault="004E397C" w:rsidP="004E397C">
      <w:pPr>
        <w:widowControl w:val="0"/>
        <w:numPr>
          <w:ilvl w:val="0"/>
          <w:numId w:val="16"/>
        </w:numPr>
        <w:autoSpaceDE w:val="0"/>
        <w:spacing w:after="120" w:line="240" w:lineRule="auto"/>
        <w:ind w:left="720"/>
        <w:contextualSpacing/>
        <w:jc w:val="both"/>
        <w:rPr>
          <w:rFonts w:cs="Times New Roman"/>
          <w:sz w:val="28"/>
          <w:szCs w:val="28"/>
        </w:rPr>
      </w:pPr>
      <w:r w:rsidRPr="004E397C">
        <w:rPr>
          <w:rFonts w:cs="Times New Roman"/>
          <w:sz w:val="28"/>
          <w:szCs w:val="28"/>
        </w:rPr>
        <w:t xml:space="preserve">operatorem sieci gazowej w/c relacji Kościan-Drzonek – </w:t>
      </w:r>
      <w:bookmarkStart w:id="3" w:name="_Hlk151459494"/>
      <w:r w:rsidRPr="004E397C">
        <w:rPr>
          <w:rFonts w:cs="Times New Roman"/>
          <w:sz w:val="28"/>
          <w:szCs w:val="28"/>
        </w:rPr>
        <w:t>Polskim Koncernem Naftowym ORLEN S.A. PGNiG w Zielonej Górze</w:t>
      </w:r>
      <w:bookmarkEnd w:id="3"/>
      <w:r w:rsidRPr="004E397C">
        <w:rPr>
          <w:rFonts w:cs="Times New Roman"/>
          <w:sz w:val="28"/>
          <w:szCs w:val="28"/>
        </w:rPr>
        <w:t>.</w:t>
      </w:r>
    </w:p>
    <w:p w14:paraId="6BE458E9" w14:textId="77777777" w:rsidR="004E397C" w:rsidRPr="004E397C" w:rsidRDefault="004E397C" w:rsidP="004E397C">
      <w:pPr>
        <w:widowControl w:val="0"/>
        <w:autoSpaceDE w:val="0"/>
        <w:spacing w:after="120" w:line="240" w:lineRule="auto"/>
        <w:ind w:firstLine="567"/>
        <w:jc w:val="both"/>
        <w:rPr>
          <w:rFonts w:cstheme="minorHAnsi"/>
          <w:sz w:val="28"/>
          <w:szCs w:val="28"/>
        </w:rPr>
      </w:pPr>
      <w:r w:rsidRPr="004E397C">
        <w:rPr>
          <w:rFonts w:cstheme="minorHAnsi"/>
          <w:sz w:val="28"/>
          <w:szCs w:val="28"/>
        </w:rPr>
        <w:t>Ponadto, decyzja nie wymagała wcześniejszego uzyskania decyzji wymaganych przepisami odrębnymi.</w:t>
      </w:r>
    </w:p>
    <w:p w14:paraId="3233D4FC" w14:textId="77777777" w:rsidR="004E397C" w:rsidRPr="004E397C" w:rsidRDefault="004E397C" w:rsidP="004E397C">
      <w:pPr>
        <w:widowControl w:val="0"/>
        <w:autoSpaceDE w:val="0"/>
        <w:spacing w:after="120" w:line="240" w:lineRule="auto"/>
        <w:ind w:firstLine="567"/>
        <w:jc w:val="both"/>
        <w:rPr>
          <w:rFonts w:cstheme="minorHAnsi"/>
          <w:sz w:val="28"/>
        </w:rPr>
      </w:pPr>
      <w:r w:rsidRPr="004E397C">
        <w:rPr>
          <w:rFonts w:cstheme="minorHAnsi"/>
          <w:sz w:val="28"/>
        </w:rPr>
        <w:t xml:space="preserve">Zgodnie z utrwaloną linią orzecznictwa sądowo-administracyjnego (vide: wyrok NSA z dnia 12.03.2019 r. sygn. akt II OSK 1024/17; wyrok WSA w Poznaniu z dnia 19.09.2019 r. sygn. akt IV SA/Po 417/19) stronami w postępowaniu o ustalenie warunków zabudowy i zagospodarowania terenu mogą być właściciele lub użytkownicy wieczyści działek sąsiednich. Stronami tego postępowania mogą być także, w zależności od okoliczności, właściciele działek niesąsiadujących bezpośrednio z terenem planowanej inwestycji. O interesie prawnym właściciela działki leżącej w sąsiedztwie działki, której dotyczy postępowanie o wydanie warunków zabudowy, decyduje nie charakter tego sąsiedztwa (bezpośredni, pośredni), ale zasięg oddziaływania danej inwestycji na nieruchomości sąsiednie oraz stopień jej uciążliwości dla tych nieruchomości. Organ prowadzący postępowanie w sprawie warunków zabudowy ma obowiązek zbadać rodzaj inwestycji, jej rozmiary oraz stopień i zakres jej uciążliwości dla otoczenia, a następnie ustalić, jak daleko sięgać będzie oddziaływanie planowanej inwestycji. </w:t>
      </w:r>
    </w:p>
    <w:p w14:paraId="097EA895" w14:textId="77777777" w:rsidR="004E397C" w:rsidRPr="004E397C" w:rsidRDefault="004E397C" w:rsidP="004E397C">
      <w:pPr>
        <w:widowControl w:val="0"/>
        <w:autoSpaceDE w:val="0"/>
        <w:spacing w:after="120" w:line="240" w:lineRule="auto"/>
        <w:ind w:firstLine="567"/>
        <w:jc w:val="both"/>
        <w:rPr>
          <w:rFonts w:cstheme="minorHAnsi"/>
          <w:sz w:val="28"/>
        </w:rPr>
      </w:pPr>
    </w:p>
    <w:p w14:paraId="5B161838" w14:textId="77777777" w:rsidR="004E397C" w:rsidRDefault="004E397C" w:rsidP="004E397C">
      <w:pPr>
        <w:widowControl w:val="0"/>
        <w:autoSpaceDE w:val="0"/>
        <w:spacing w:after="120" w:line="240" w:lineRule="auto"/>
        <w:jc w:val="both"/>
        <w:rPr>
          <w:rFonts w:cstheme="minorHAnsi"/>
          <w:sz w:val="28"/>
        </w:rPr>
      </w:pPr>
    </w:p>
    <w:p w14:paraId="0A2C50DB" w14:textId="77777777" w:rsidR="004E397C" w:rsidRPr="004E397C" w:rsidRDefault="004E397C" w:rsidP="004E397C">
      <w:pPr>
        <w:widowControl w:val="0"/>
        <w:autoSpaceDE w:val="0"/>
        <w:spacing w:after="120" w:line="240" w:lineRule="auto"/>
        <w:jc w:val="both"/>
        <w:rPr>
          <w:rFonts w:cstheme="minorHAnsi"/>
          <w:sz w:val="28"/>
        </w:rPr>
      </w:pPr>
    </w:p>
    <w:p w14:paraId="79AC101B" w14:textId="77777777" w:rsidR="004E397C" w:rsidRPr="004E397C" w:rsidRDefault="004E397C" w:rsidP="004E397C">
      <w:pPr>
        <w:widowControl w:val="0"/>
        <w:autoSpaceDE w:val="0"/>
        <w:spacing w:after="120" w:line="240" w:lineRule="auto"/>
        <w:ind w:firstLine="567"/>
        <w:jc w:val="both"/>
        <w:rPr>
          <w:rFonts w:cstheme="minorHAnsi"/>
          <w:sz w:val="28"/>
        </w:rPr>
      </w:pPr>
      <w:r w:rsidRPr="004E397C">
        <w:rPr>
          <w:rFonts w:cstheme="minorHAnsi"/>
          <w:sz w:val="28"/>
        </w:rPr>
        <w:lastRenderedPageBreak/>
        <w:t>Zakres tego oddziaływania pozwala na ustalenie kręgu osób, które mają interes prawny w sprawie. W myśl wyroku Wojewódzkiego Sądu Administracyjnego w Poznaniu z dnia 17.01.2019 r. sygn. akt II SA/Po 671/18: „Tylko ograniczenia w zagospodarowaniu nieruchomości wynikające z konkretnego przepisu prawa dają podstawę do uczestnictwa w charakterze strony w postępowaniu administracyjnym dotyczącym konkretnej inwestycji. Natomiast ograniczenia, które nie są wynikiem istnienia przepisów prawnych nie dają podstawy do uznania danego podmiotu za stronę postępowania w tego typu sprawie, wówczas bowiem istnieje interes faktyczny, a nie interes prawny”.</w:t>
      </w:r>
      <w:bookmarkStart w:id="4" w:name="_Hlk92801010"/>
    </w:p>
    <w:p w14:paraId="58F2CE00" w14:textId="77777777" w:rsidR="004E397C" w:rsidRPr="004E397C" w:rsidRDefault="004E397C" w:rsidP="004E397C">
      <w:pPr>
        <w:widowControl w:val="0"/>
        <w:autoSpaceDE w:val="0"/>
        <w:spacing w:after="120" w:line="240" w:lineRule="auto"/>
        <w:ind w:firstLine="567"/>
        <w:jc w:val="both"/>
        <w:rPr>
          <w:rFonts w:cstheme="minorHAnsi"/>
          <w:sz w:val="28"/>
        </w:rPr>
      </w:pPr>
      <w:r w:rsidRPr="004E397C">
        <w:rPr>
          <w:rFonts w:cstheme="minorHAnsi"/>
          <w:sz w:val="28"/>
        </w:rPr>
        <w:t>Ze względu na charakter i skalę inwestycji oraz przewidywane oddziaływania planowanej inwestycji na nieruchomości sąsiednie zakresem oddziaływania planowanej inwestycji objęty jest teren: działki o nr ewid. 214 i 213/2, obręb Mórka.</w:t>
      </w:r>
    </w:p>
    <w:p w14:paraId="75D5A8F1" w14:textId="77777777" w:rsidR="004E397C" w:rsidRPr="004E397C" w:rsidRDefault="004E397C" w:rsidP="004E397C">
      <w:pPr>
        <w:widowControl w:val="0"/>
        <w:autoSpaceDE w:val="0"/>
        <w:spacing w:after="120" w:line="240" w:lineRule="auto"/>
        <w:ind w:firstLine="567"/>
        <w:jc w:val="both"/>
        <w:rPr>
          <w:rFonts w:cstheme="minorHAnsi"/>
          <w:sz w:val="28"/>
        </w:rPr>
      </w:pPr>
      <w:r w:rsidRPr="004E397C">
        <w:rPr>
          <w:rFonts w:cstheme="minorHAnsi"/>
          <w:sz w:val="28"/>
        </w:rPr>
        <w:t>Biorąc powyższe pod uwagę za strony postępowania zostali uznani Wnioskodawca, będący jednocześnie właścicielem działki objętej wnioskiem oraz właściciel działki o nr ewid. 213/2, obręb Mórka.</w:t>
      </w:r>
      <w:bookmarkEnd w:id="4"/>
    </w:p>
    <w:p w14:paraId="20BF28AD" w14:textId="77777777" w:rsidR="004E397C" w:rsidRPr="004E397C" w:rsidRDefault="004E397C" w:rsidP="004E397C">
      <w:pPr>
        <w:tabs>
          <w:tab w:val="left" w:pos="851"/>
        </w:tabs>
        <w:spacing w:after="120" w:line="240" w:lineRule="auto"/>
        <w:ind w:firstLine="567"/>
        <w:jc w:val="both"/>
        <w:rPr>
          <w:rFonts w:cstheme="minorHAnsi"/>
          <w:sz w:val="28"/>
          <w:szCs w:val="28"/>
        </w:rPr>
      </w:pPr>
      <w:r w:rsidRPr="004E397C">
        <w:rPr>
          <w:rFonts w:cstheme="minorHAnsi"/>
          <w:sz w:val="28"/>
          <w:szCs w:val="28"/>
        </w:rPr>
        <w:t>Stosownie do art. 53 ust. 1a, ust. 1b i ust. 1c u.p.z.p. prawa rzeczowe do nieruchomości oraz dane dotyczące osób, którym te prawa przysługują, ustala się na podstawie ksiąg wieczystych, ewidencji gruntów i budynków, zbioru dokumentów albo innych dokumentów urzędowych. Adresy osób, którym przysługują prawa rzeczowe do nieruchomości, ustala się na podstawie wszelkich okoliczności, jeżeli są one znane organowi z urzędu lub zostały wskazane przez stronę, w tym również na podstawie ewidencji gruntów i budynków. Doręczenie na tak ustalony adres jest skuteczne. W przypadku nieruchomości o nieuregulowanym stanie prawnym lub nieuzyskania danych pozwalających na ustalenie adresu właściciela lub użytkownika wieczystego nieruchomości w sposób określony w ust. 1b, zawiadomienia dokonuje się w sposób, o którym mowa w art. 49 k.p.a. Przepisu art. 34 § 1 k.p.a. nie stosuje się.</w:t>
      </w:r>
    </w:p>
    <w:p w14:paraId="608849E4" w14:textId="77777777" w:rsidR="004E397C" w:rsidRPr="004E397C" w:rsidRDefault="004E397C" w:rsidP="004E397C">
      <w:pPr>
        <w:tabs>
          <w:tab w:val="left" w:pos="851"/>
        </w:tabs>
        <w:spacing w:after="120" w:line="240" w:lineRule="auto"/>
        <w:jc w:val="both"/>
        <w:rPr>
          <w:rFonts w:cstheme="minorHAnsi"/>
          <w:sz w:val="28"/>
          <w:szCs w:val="28"/>
        </w:rPr>
      </w:pPr>
      <w:r w:rsidRPr="004E397C">
        <w:rPr>
          <w:rFonts w:cstheme="minorHAnsi"/>
          <w:sz w:val="28"/>
          <w:szCs w:val="28"/>
        </w:rPr>
        <w:br w:type="page"/>
      </w:r>
    </w:p>
    <w:p w14:paraId="67878FE2" w14:textId="77777777" w:rsidR="004E397C" w:rsidRPr="004E397C" w:rsidRDefault="004E397C" w:rsidP="004E397C">
      <w:pPr>
        <w:tabs>
          <w:tab w:val="left" w:pos="851"/>
        </w:tabs>
        <w:spacing w:after="120" w:line="240" w:lineRule="auto"/>
        <w:ind w:firstLine="567"/>
        <w:jc w:val="both"/>
        <w:rPr>
          <w:rFonts w:cstheme="minorHAnsi"/>
          <w:sz w:val="28"/>
          <w:szCs w:val="28"/>
        </w:rPr>
      </w:pPr>
      <w:r w:rsidRPr="004E397C">
        <w:rPr>
          <w:rFonts w:cstheme="minorHAnsi"/>
          <w:sz w:val="28"/>
          <w:szCs w:val="28"/>
        </w:rPr>
        <w:lastRenderedPageBreak/>
        <w:t>W myśl art. 2 pkt 24 u.p.z.p. nieruchomością o nieuregulowanym stanie prawnym jest nieruchomość, o której mowa w art. 113 ust. 6 i 7 ustawy z dnia 21 sierpnia 1997 r. o gospodarce nieruchomościami. Zgodnie z art. 113 ust. 6 i ust. 7 ustawy z dnia 21 sierpnia 1997 r. o gospodarce nieruchomościami</w:t>
      </w:r>
      <w:r w:rsidRPr="004E397C">
        <w:rPr>
          <w:rFonts w:cstheme="minorHAnsi"/>
          <w:sz w:val="28"/>
          <w:szCs w:val="28"/>
        </w:rPr>
        <w:br/>
        <w:t>(Dz. U. z 2023 r. poz. 344, 1113, 1463, 1506, 1688, 1762, 1906 i 2029) nieruchomością taką jest nieruchomość w stosunku do której nie można ustalić osób, którym przysługują do niej prawa rzeczowe lub jeżeli właściciel lub użytkownik wieczysty nieruchomości nie żyje i nie przeprowadzono lub nie zostało zakończone postępowanie spadkowe.</w:t>
      </w:r>
    </w:p>
    <w:p w14:paraId="56A7CC0F" w14:textId="77777777" w:rsidR="004E397C" w:rsidRPr="004E397C" w:rsidRDefault="004E397C" w:rsidP="004E397C">
      <w:pPr>
        <w:tabs>
          <w:tab w:val="left" w:pos="851"/>
        </w:tabs>
        <w:spacing w:after="120" w:line="240" w:lineRule="auto"/>
        <w:ind w:firstLine="567"/>
        <w:jc w:val="both"/>
        <w:rPr>
          <w:rFonts w:cstheme="minorHAnsi"/>
          <w:sz w:val="28"/>
          <w:szCs w:val="28"/>
        </w:rPr>
      </w:pPr>
      <w:r w:rsidRPr="004E397C">
        <w:rPr>
          <w:rFonts w:cstheme="minorHAnsi"/>
          <w:sz w:val="28"/>
          <w:szCs w:val="28"/>
        </w:rPr>
        <w:t xml:space="preserve">W postępowaniu ustalono, że właściciel działki o nr ewid. 213/2, obręb Mórka, nie żyje. Burmistrz Śremu wystąpił do właściwego sądu o udzielenie informacji czy postępowanie spadkowe zostało przeprowadzone. Sąd Rejonowy w Śremie I Wydział Cywilny poinformował o braku postępowania spadkowego. </w:t>
      </w:r>
    </w:p>
    <w:p w14:paraId="7E4C380F" w14:textId="77777777" w:rsidR="004E397C" w:rsidRPr="004E397C" w:rsidRDefault="004E397C" w:rsidP="004E397C">
      <w:pPr>
        <w:tabs>
          <w:tab w:val="left" w:pos="851"/>
        </w:tabs>
        <w:spacing w:after="120" w:line="240" w:lineRule="auto"/>
        <w:ind w:firstLine="567"/>
        <w:jc w:val="both"/>
        <w:rPr>
          <w:rFonts w:cstheme="minorHAnsi"/>
          <w:sz w:val="28"/>
          <w:szCs w:val="28"/>
        </w:rPr>
      </w:pPr>
      <w:r w:rsidRPr="004E397C">
        <w:rPr>
          <w:rFonts w:cstheme="minorHAnsi"/>
          <w:sz w:val="28"/>
          <w:szCs w:val="28"/>
        </w:rPr>
        <w:t>Biorąc powyższe pod uwagę Burmistrz Śremu zawiadamiał strony o podejmowanych czynnościach w formie publicznego obwieszczenia.</w:t>
      </w:r>
    </w:p>
    <w:p w14:paraId="4D0F84C5" w14:textId="77777777" w:rsidR="004E397C" w:rsidRPr="004E397C" w:rsidRDefault="004E397C" w:rsidP="004E397C">
      <w:pPr>
        <w:tabs>
          <w:tab w:val="left" w:pos="851"/>
        </w:tabs>
        <w:spacing w:after="120" w:line="240" w:lineRule="auto"/>
        <w:ind w:firstLine="567"/>
        <w:jc w:val="both"/>
        <w:rPr>
          <w:rFonts w:cstheme="minorHAnsi"/>
          <w:sz w:val="28"/>
        </w:rPr>
      </w:pPr>
      <w:r w:rsidRPr="004E397C">
        <w:rPr>
          <w:rFonts w:cstheme="minorHAnsi"/>
          <w:sz w:val="28"/>
        </w:rPr>
        <w:t>Ustalając warunki zabudowy i zagospodarowania terenu dla nowej zabudowy, w rozpatrywanej sprawie, dostosowano je do cech i parametrów architektonicznych i urbanistycznych wyznaczonych przez stan dotychczasowej zabudowy, uwzględniając wymogi ładu przestrzennego.</w:t>
      </w:r>
    </w:p>
    <w:p w14:paraId="67655401" w14:textId="77777777" w:rsidR="004E397C" w:rsidRPr="004E397C" w:rsidRDefault="004E397C" w:rsidP="004E397C">
      <w:pPr>
        <w:tabs>
          <w:tab w:val="left" w:pos="851"/>
        </w:tabs>
        <w:spacing w:after="120" w:line="240" w:lineRule="auto"/>
        <w:ind w:firstLine="567"/>
        <w:jc w:val="both"/>
        <w:rPr>
          <w:rFonts w:cstheme="minorHAnsi"/>
          <w:sz w:val="28"/>
          <w:szCs w:val="28"/>
        </w:rPr>
      </w:pPr>
      <w:r w:rsidRPr="004E397C">
        <w:rPr>
          <w:rFonts w:cstheme="minorHAnsi"/>
          <w:sz w:val="28"/>
          <w:szCs w:val="28"/>
        </w:rPr>
        <w:t xml:space="preserve">Stosownie do art. 56, w związku z art. 64 u.p.z.p. nie można odmówić ustalenia warunków zabudowy, jeżeli zamierzenie inwestycyjne jest zgodne z przepisami odrębnymi. </w:t>
      </w:r>
    </w:p>
    <w:p w14:paraId="35548D6B" w14:textId="77777777" w:rsidR="004E397C" w:rsidRPr="004E397C" w:rsidRDefault="004E397C" w:rsidP="004E397C">
      <w:pPr>
        <w:tabs>
          <w:tab w:val="left" w:pos="851"/>
        </w:tabs>
        <w:spacing w:after="120" w:line="240" w:lineRule="auto"/>
        <w:ind w:firstLine="567"/>
        <w:jc w:val="both"/>
        <w:rPr>
          <w:rFonts w:cstheme="minorHAnsi"/>
          <w:sz w:val="28"/>
          <w:szCs w:val="28"/>
        </w:rPr>
      </w:pPr>
      <w:r w:rsidRPr="004E397C">
        <w:rPr>
          <w:rFonts w:cstheme="minorHAnsi"/>
          <w:sz w:val="28"/>
          <w:szCs w:val="28"/>
        </w:rPr>
        <w:t>Reasumując, Burmistrz Śremu jako organ właściwy do wydania decyzji o warunkach zabudowy jest zobowiązany wydać pozytywne rozstrzygnięcie, jeśli wnioskowane zamierzenie inwestycyjne czyni zadość wszystkim wymogom wynikającym z przepisów prawa powszechnie obowiązującego, co miało miejsce w analizowanej sprawie. Nadto wnioskowana inwestycja spełnia łącznie ustawowe przesłanki, o których mowa w u.p.z.p.</w:t>
      </w:r>
    </w:p>
    <w:p w14:paraId="07C220A9" w14:textId="77777777" w:rsidR="004E397C" w:rsidRPr="004E397C" w:rsidRDefault="004E397C" w:rsidP="004E397C">
      <w:pPr>
        <w:spacing w:after="120" w:line="240" w:lineRule="auto"/>
        <w:jc w:val="center"/>
        <w:rPr>
          <w:rFonts w:cstheme="minorHAnsi"/>
          <w:sz w:val="28"/>
          <w:szCs w:val="28"/>
        </w:rPr>
      </w:pPr>
      <w:r w:rsidRPr="004E397C">
        <w:rPr>
          <w:rFonts w:cstheme="minorHAnsi"/>
          <w:sz w:val="28"/>
          <w:szCs w:val="28"/>
        </w:rPr>
        <w:t>W związku z powyższym orzeczono jak w sentencji.</w:t>
      </w:r>
    </w:p>
    <w:p w14:paraId="3D6B9E41" w14:textId="77777777" w:rsidR="004E397C" w:rsidRPr="004E397C" w:rsidRDefault="004E397C" w:rsidP="004E397C">
      <w:pPr>
        <w:spacing w:after="0" w:line="240" w:lineRule="auto"/>
        <w:rPr>
          <w:rFonts w:cstheme="minorHAnsi"/>
          <w:sz w:val="28"/>
          <w:szCs w:val="28"/>
        </w:rPr>
      </w:pPr>
      <w:r w:rsidRPr="004E397C">
        <w:rPr>
          <w:rFonts w:cstheme="minorHAnsi"/>
          <w:sz w:val="28"/>
          <w:szCs w:val="28"/>
        </w:rPr>
        <w:br w:type="page"/>
      </w:r>
    </w:p>
    <w:p w14:paraId="64A2F98E" w14:textId="77777777" w:rsidR="004E397C" w:rsidRPr="004E397C" w:rsidRDefault="004E397C" w:rsidP="004E397C">
      <w:pPr>
        <w:spacing w:after="120" w:line="240" w:lineRule="auto"/>
        <w:jc w:val="center"/>
        <w:rPr>
          <w:rFonts w:cstheme="minorHAnsi"/>
          <w:sz w:val="28"/>
          <w:szCs w:val="28"/>
        </w:rPr>
      </w:pPr>
      <w:r w:rsidRPr="004E397C">
        <w:rPr>
          <w:rFonts w:cstheme="minorHAnsi"/>
          <w:sz w:val="28"/>
          <w:szCs w:val="28"/>
        </w:rPr>
        <w:lastRenderedPageBreak/>
        <w:t>Pouczenie</w:t>
      </w:r>
    </w:p>
    <w:p w14:paraId="5B4CA389" w14:textId="77777777" w:rsidR="004E397C" w:rsidRPr="004E397C" w:rsidRDefault="004E397C" w:rsidP="004E397C">
      <w:pPr>
        <w:spacing w:after="120" w:line="240" w:lineRule="auto"/>
        <w:ind w:firstLine="567"/>
        <w:jc w:val="both"/>
        <w:rPr>
          <w:rFonts w:cstheme="minorHAnsi"/>
          <w:sz w:val="28"/>
          <w:szCs w:val="28"/>
        </w:rPr>
      </w:pPr>
      <w:r w:rsidRPr="004E397C">
        <w:rPr>
          <w:rFonts w:cstheme="minorHAnsi"/>
          <w:sz w:val="28"/>
          <w:szCs w:val="28"/>
        </w:rPr>
        <w:t>Stosownie do art. 63 pkt 2 u.p.z.p. decyzja o warunkach zabudowy nie rodzi praw do terenu oraz nie narusza prawa własności i uprawnień osób trzecich.</w:t>
      </w:r>
    </w:p>
    <w:p w14:paraId="262AAEA4" w14:textId="77777777" w:rsidR="004E397C" w:rsidRPr="004E397C" w:rsidRDefault="004E397C" w:rsidP="004E397C">
      <w:pPr>
        <w:spacing w:after="120" w:line="240" w:lineRule="auto"/>
        <w:ind w:firstLine="567"/>
        <w:jc w:val="both"/>
        <w:rPr>
          <w:rFonts w:cstheme="minorHAnsi"/>
          <w:sz w:val="28"/>
          <w:szCs w:val="28"/>
        </w:rPr>
      </w:pPr>
      <w:r w:rsidRPr="004E397C">
        <w:rPr>
          <w:rFonts w:cstheme="minorHAnsi"/>
          <w:sz w:val="28"/>
          <w:szCs w:val="28"/>
        </w:rPr>
        <w:t>Od niniejszej decyzji służy stronom prawo wniesienia odwołania do Samorządowego Kolegium Odwoławczego w Poznaniu, za moim pośrednictwem, w terminie 14 dni od dnia doręczenia.</w:t>
      </w:r>
    </w:p>
    <w:p w14:paraId="4E7A8452" w14:textId="77777777" w:rsidR="004E397C" w:rsidRPr="004E397C" w:rsidRDefault="004E397C" w:rsidP="004E397C">
      <w:pPr>
        <w:spacing w:after="120" w:line="240" w:lineRule="auto"/>
        <w:ind w:firstLine="567"/>
        <w:jc w:val="both"/>
        <w:rPr>
          <w:rFonts w:cstheme="minorHAnsi"/>
          <w:sz w:val="28"/>
          <w:szCs w:val="28"/>
        </w:rPr>
      </w:pPr>
      <w:r w:rsidRPr="004E397C">
        <w:rPr>
          <w:rFonts w:cstheme="minorHAnsi"/>
          <w:sz w:val="28"/>
          <w:szCs w:val="28"/>
        </w:rPr>
        <w:t xml:space="preserve">Przed upływem terminu do wniesienia odwołania strona może, na podstawie art. 127a § 1 k.p.a., zrzec się prawa do wniesienia odwołania wobec organu administracji publicznej, który wydał decyzję. </w:t>
      </w:r>
    </w:p>
    <w:p w14:paraId="4D332736" w14:textId="77777777" w:rsidR="004E397C" w:rsidRPr="004E397C" w:rsidRDefault="004E397C" w:rsidP="004E397C">
      <w:pPr>
        <w:spacing w:after="120" w:line="240" w:lineRule="auto"/>
        <w:ind w:firstLine="567"/>
        <w:jc w:val="both"/>
        <w:rPr>
          <w:rFonts w:cstheme="minorHAnsi"/>
          <w:sz w:val="28"/>
          <w:szCs w:val="28"/>
        </w:rPr>
      </w:pPr>
      <w:r w:rsidRPr="004E397C">
        <w:rPr>
          <w:rFonts w:cstheme="minorHAnsi"/>
          <w:sz w:val="28"/>
          <w:szCs w:val="28"/>
        </w:rPr>
        <w:t>Z dniem doręczenia organowi administracji publicznej oświadczenia o zrzeczeniu się prawa do wniesienia odwołania przez ostatnią ze stron postępowania, decyzja staje się ostateczna i prawomocna.</w:t>
      </w:r>
    </w:p>
    <w:p w14:paraId="3E743243" w14:textId="77777777" w:rsidR="004E397C" w:rsidRPr="004E397C" w:rsidRDefault="004E397C" w:rsidP="004E397C">
      <w:pPr>
        <w:spacing w:after="120" w:line="240" w:lineRule="auto"/>
        <w:ind w:firstLine="567"/>
        <w:jc w:val="both"/>
        <w:rPr>
          <w:sz w:val="28"/>
        </w:rPr>
      </w:pPr>
      <w:r w:rsidRPr="004E397C">
        <w:rPr>
          <w:sz w:val="28"/>
        </w:rPr>
        <w:t xml:space="preserve">W przypadku niewydania przez Burmistrza Śremu decyzji o warunkach zabudowy w terminie 90 dni od dnia złożenia wniosku o wydanie takiej decyzji, podmiotowi, który wystąpił z wnioskiem o ustalenie warunków zabudowy, przysługuje prawo do wniesienia żądania wymierzenia kary pieniężnej. Żądanie </w:t>
      </w:r>
      <w:r w:rsidRPr="004E397C">
        <w:rPr>
          <w:color w:val="000000"/>
          <w:sz w:val="28"/>
          <w:shd w:val="clear" w:color="auto" w:fill="FFFFFF"/>
        </w:rPr>
        <w:t>wnosi się za pośrednictwem Burmistrza Śremu w terminie 14 dni od dnia doręczenia decyzji o warunkach zabudowy. Żądanie wniesione po terminie pozostawia się bez rozpoznania.</w:t>
      </w:r>
    </w:p>
    <w:p w14:paraId="51ABDA43" w14:textId="77777777" w:rsidR="00C979A2" w:rsidRDefault="00C979A2" w:rsidP="00C979A2">
      <w:pPr>
        <w:widowControl w:val="0"/>
        <w:autoSpaceDE w:val="0"/>
        <w:autoSpaceDN w:val="0"/>
        <w:adjustRightInd w:val="0"/>
        <w:spacing w:after="120" w:line="240" w:lineRule="auto"/>
        <w:ind w:right="-1"/>
        <w:jc w:val="both"/>
        <w:rPr>
          <w:rFonts w:cstheme="minorHAnsi"/>
          <w:sz w:val="28"/>
          <w:szCs w:val="28"/>
        </w:rPr>
      </w:pPr>
    </w:p>
    <w:p w14:paraId="68CBCEB7" w14:textId="77777777" w:rsidR="00C979A2" w:rsidRPr="00CF716F" w:rsidRDefault="00C979A2" w:rsidP="00C979A2">
      <w:pPr>
        <w:spacing w:after="120" w:line="240" w:lineRule="auto"/>
        <w:ind w:left="3538"/>
        <w:contextualSpacing/>
        <w:jc w:val="center"/>
        <w:rPr>
          <w:rFonts w:ascii="Calibri" w:hAnsi="Calibri" w:cs="Calibri"/>
          <w:sz w:val="28"/>
          <w:szCs w:val="28"/>
        </w:rPr>
      </w:pPr>
      <w:r w:rsidRPr="00CF716F">
        <w:rPr>
          <w:rFonts w:ascii="Calibri" w:hAnsi="Calibri" w:cs="Calibri"/>
          <w:sz w:val="28"/>
          <w:szCs w:val="28"/>
        </w:rPr>
        <w:t>(-) z up. BURMISTRZA</w:t>
      </w:r>
    </w:p>
    <w:p w14:paraId="6DC62828" w14:textId="786BAD47" w:rsidR="00C979A2" w:rsidRPr="00CF716F" w:rsidRDefault="004E397C" w:rsidP="00C979A2">
      <w:pPr>
        <w:spacing w:after="120" w:line="240" w:lineRule="auto"/>
        <w:ind w:left="3538"/>
        <w:contextualSpacing/>
        <w:jc w:val="center"/>
        <w:rPr>
          <w:rFonts w:ascii="Calibri" w:hAnsi="Calibri" w:cs="Calibri"/>
          <w:sz w:val="28"/>
          <w:szCs w:val="28"/>
        </w:rPr>
      </w:pPr>
      <w:r>
        <w:rPr>
          <w:rFonts w:ascii="Calibri" w:hAnsi="Calibri" w:cs="Calibri"/>
          <w:sz w:val="28"/>
          <w:szCs w:val="28"/>
        </w:rPr>
        <w:t>Magdalena Joachimiak</w:t>
      </w:r>
    </w:p>
    <w:p w14:paraId="65FF7307" w14:textId="0DE25B22" w:rsidR="00C979A2" w:rsidRPr="00CF716F" w:rsidRDefault="004E397C" w:rsidP="00C979A2">
      <w:pPr>
        <w:spacing w:after="120" w:line="240" w:lineRule="auto"/>
        <w:ind w:left="3538"/>
        <w:contextualSpacing/>
        <w:jc w:val="center"/>
        <w:rPr>
          <w:rFonts w:ascii="Calibri" w:hAnsi="Calibri" w:cs="Calibri"/>
          <w:sz w:val="28"/>
          <w:szCs w:val="28"/>
        </w:rPr>
      </w:pPr>
      <w:r>
        <w:rPr>
          <w:rFonts w:ascii="Calibri" w:hAnsi="Calibri" w:cs="Calibri"/>
          <w:sz w:val="28"/>
          <w:szCs w:val="28"/>
        </w:rPr>
        <w:t xml:space="preserve">zastępca </w:t>
      </w:r>
      <w:r w:rsidR="00C979A2" w:rsidRPr="00CF716F">
        <w:rPr>
          <w:rFonts w:ascii="Calibri" w:hAnsi="Calibri" w:cs="Calibri"/>
          <w:sz w:val="28"/>
          <w:szCs w:val="28"/>
        </w:rPr>
        <w:t>naczelnik</w:t>
      </w:r>
      <w:r>
        <w:rPr>
          <w:rFonts w:ascii="Calibri" w:hAnsi="Calibri" w:cs="Calibri"/>
          <w:sz w:val="28"/>
          <w:szCs w:val="28"/>
        </w:rPr>
        <w:t>a</w:t>
      </w:r>
      <w:r w:rsidR="00C979A2" w:rsidRPr="00CF716F">
        <w:rPr>
          <w:rFonts w:ascii="Calibri" w:hAnsi="Calibri" w:cs="Calibri"/>
          <w:sz w:val="28"/>
          <w:szCs w:val="28"/>
        </w:rPr>
        <w:t xml:space="preserve"> Pionu Gospodarowania</w:t>
      </w:r>
    </w:p>
    <w:p w14:paraId="13ECADFC" w14:textId="77777777" w:rsidR="00C979A2" w:rsidRPr="00CF716F" w:rsidRDefault="00C979A2" w:rsidP="00C979A2">
      <w:pPr>
        <w:spacing w:after="120" w:line="240" w:lineRule="auto"/>
        <w:ind w:left="3538"/>
        <w:contextualSpacing/>
        <w:jc w:val="center"/>
        <w:rPr>
          <w:rFonts w:ascii="Calibri" w:hAnsi="Calibri" w:cs="Calibri"/>
          <w:sz w:val="28"/>
          <w:szCs w:val="28"/>
        </w:rPr>
      </w:pPr>
      <w:r w:rsidRPr="00CF716F">
        <w:rPr>
          <w:rFonts w:ascii="Calibri" w:hAnsi="Calibri" w:cs="Calibri"/>
          <w:sz w:val="28"/>
          <w:szCs w:val="28"/>
        </w:rPr>
        <w:t>Przestrzenią i Środowiskiem</w:t>
      </w:r>
    </w:p>
    <w:p w14:paraId="79DB593C" w14:textId="77777777" w:rsidR="00C979A2" w:rsidRPr="00EE5392" w:rsidRDefault="00C979A2" w:rsidP="00C979A2">
      <w:pPr>
        <w:spacing w:after="120" w:line="240" w:lineRule="auto"/>
        <w:ind w:left="3538"/>
        <w:contextualSpacing/>
        <w:jc w:val="center"/>
        <w:rPr>
          <w:rFonts w:ascii="Calibri" w:hAnsi="Calibri" w:cs="Calibri"/>
          <w:sz w:val="28"/>
          <w:szCs w:val="28"/>
        </w:rPr>
      </w:pPr>
      <w:r w:rsidRPr="00CF716F">
        <w:rPr>
          <w:rFonts w:ascii="Calibri" w:hAnsi="Calibri" w:cs="Calibri"/>
          <w:sz w:val="28"/>
          <w:szCs w:val="28"/>
        </w:rPr>
        <w:t>/dokument podpisany elektronicznie/</w:t>
      </w:r>
    </w:p>
    <w:p w14:paraId="1C1D3A14" w14:textId="77777777" w:rsidR="00C979A2" w:rsidRPr="00C979A2" w:rsidRDefault="00C979A2" w:rsidP="00C979A2">
      <w:pPr>
        <w:widowControl w:val="0"/>
        <w:autoSpaceDE w:val="0"/>
        <w:autoSpaceDN w:val="0"/>
        <w:adjustRightInd w:val="0"/>
        <w:spacing w:after="120" w:line="240" w:lineRule="auto"/>
        <w:ind w:right="-1"/>
        <w:jc w:val="both"/>
        <w:rPr>
          <w:rFonts w:cstheme="minorHAnsi"/>
          <w:sz w:val="28"/>
          <w:szCs w:val="28"/>
        </w:rPr>
      </w:pPr>
    </w:p>
    <w:p w14:paraId="25E71135" w14:textId="77777777" w:rsidR="00DF18B2" w:rsidRPr="00DF18B2" w:rsidRDefault="00DF18B2" w:rsidP="00DF18B2">
      <w:pPr>
        <w:spacing w:after="120" w:line="240" w:lineRule="auto"/>
        <w:ind w:right="-1"/>
        <w:jc w:val="both"/>
        <w:rPr>
          <w:rFonts w:cstheme="minorHAnsi"/>
          <w:sz w:val="28"/>
          <w:szCs w:val="28"/>
        </w:rPr>
      </w:pPr>
    </w:p>
    <w:p w14:paraId="46E52B02" w14:textId="77777777" w:rsidR="00495272" w:rsidRPr="00495272" w:rsidRDefault="00495272" w:rsidP="00495272">
      <w:pPr>
        <w:widowControl w:val="0"/>
        <w:autoSpaceDE w:val="0"/>
        <w:autoSpaceDN w:val="0"/>
        <w:adjustRightInd w:val="0"/>
        <w:spacing w:after="120" w:line="240" w:lineRule="auto"/>
        <w:ind w:right="-1"/>
        <w:jc w:val="both"/>
        <w:rPr>
          <w:rFonts w:cstheme="minorHAnsi"/>
          <w:sz w:val="28"/>
          <w:szCs w:val="28"/>
        </w:rPr>
      </w:pPr>
      <w:r w:rsidRPr="00495272">
        <w:rPr>
          <w:rFonts w:cstheme="minorHAnsi"/>
          <w:sz w:val="28"/>
          <w:szCs w:val="28"/>
        </w:rPr>
        <w:t>Załączniki:</w:t>
      </w:r>
    </w:p>
    <w:p w14:paraId="60AFC291" w14:textId="77777777" w:rsidR="00495272" w:rsidRPr="00495272" w:rsidRDefault="00495272" w:rsidP="00495272">
      <w:pPr>
        <w:numPr>
          <w:ilvl w:val="0"/>
          <w:numId w:val="9"/>
        </w:numPr>
        <w:spacing w:after="120" w:line="240" w:lineRule="auto"/>
        <w:ind w:right="-1"/>
        <w:jc w:val="both"/>
        <w:rPr>
          <w:rFonts w:cstheme="minorHAnsi"/>
          <w:sz w:val="28"/>
          <w:szCs w:val="28"/>
        </w:rPr>
      </w:pPr>
      <w:r w:rsidRPr="00495272">
        <w:rPr>
          <w:rFonts w:cstheme="minorHAnsi"/>
          <w:sz w:val="28"/>
          <w:szCs w:val="28"/>
        </w:rPr>
        <w:t>załącznik nr 1 – część graficzna decyzji,</w:t>
      </w:r>
    </w:p>
    <w:p w14:paraId="51C82285" w14:textId="77777777" w:rsidR="00495272" w:rsidRPr="00495272" w:rsidRDefault="00495272" w:rsidP="00495272">
      <w:pPr>
        <w:numPr>
          <w:ilvl w:val="0"/>
          <w:numId w:val="9"/>
        </w:numPr>
        <w:spacing w:after="120" w:line="240" w:lineRule="auto"/>
        <w:ind w:right="-1"/>
        <w:jc w:val="both"/>
        <w:rPr>
          <w:rFonts w:cstheme="minorHAnsi"/>
          <w:sz w:val="28"/>
          <w:szCs w:val="28"/>
        </w:rPr>
      </w:pPr>
      <w:r w:rsidRPr="00495272">
        <w:rPr>
          <w:rFonts w:cstheme="minorHAnsi"/>
          <w:sz w:val="28"/>
          <w:szCs w:val="28"/>
        </w:rPr>
        <w:t>załącznik nr 2 – część tekstowa wyników analizy funkcji oraz cech zabudowy i zagospodarowania terenu,</w:t>
      </w:r>
    </w:p>
    <w:p w14:paraId="05E12D19" w14:textId="77777777" w:rsidR="00495272" w:rsidRPr="00495272" w:rsidRDefault="00495272" w:rsidP="00495272">
      <w:pPr>
        <w:numPr>
          <w:ilvl w:val="0"/>
          <w:numId w:val="9"/>
        </w:numPr>
        <w:spacing w:after="120" w:line="240" w:lineRule="auto"/>
        <w:ind w:right="-1"/>
        <w:jc w:val="both"/>
        <w:rPr>
          <w:rFonts w:cstheme="minorHAnsi"/>
          <w:sz w:val="28"/>
          <w:szCs w:val="28"/>
        </w:rPr>
      </w:pPr>
      <w:r w:rsidRPr="00495272">
        <w:rPr>
          <w:rFonts w:cstheme="minorHAnsi"/>
          <w:sz w:val="28"/>
          <w:szCs w:val="28"/>
        </w:rPr>
        <w:t>załącznik nr 3 – część graficzna wyników analizy funkcji oraz cech zabudowy i zagospodarowania terenu.</w:t>
      </w:r>
    </w:p>
    <w:p w14:paraId="2A8BD753" w14:textId="77777777" w:rsidR="00495272" w:rsidRPr="00495272" w:rsidRDefault="00495272" w:rsidP="00495272">
      <w:pPr>
        <w:spacing w:after="0" w:line="240" w:lineRule="auto"/>
        <w:jc w:val="both"/>
        <w:rPr>
          <w:rFonts w:cstheme="minorHAnsi"/>
          <w:sz w:val="28"/>
          <w:szCs w:val="28"/>
        </w:rPr>
      </w:pPr>
    </w:p>
    <w:p w14:paraId="51D04A51" w14:textId="77777777" w:rsidR="00495272" w:rsidRPr="00495272" w:rsidRDefault="00495272" w:rsidP="00495272">
      <w:pPr>
        <w:spacing w:after="0" w:line="240" w:lineRule="auto"/>
        <w:jc w:val="both"/>
        <w:rPr>
          <w:rFonts w:cstheme="minorHAnsi"/>
          <w:sz w:val="28"/>
          <w:szCs w:val="28"/>
        </w:rPr>
      </w:pPr>
      <w:r w:rsidRPr="00495272">
        <w:rPr>
          <w:rFonts w:cstheme="minorHAnsi"/>
          <w:sz w:val="28"/>
          <w:szCs w:val="28"/>
        </w:rPr>
        <w:lastRenderedPageBreak/>
        <w:t>Sprawę prowadzi:</w:t>
      </w:r>
    </w:p>
    <w:p w14:paraId="3EBFE3FC" w14:textId="77777777" w:rsidR="00495272" w:rsidRPr="00495272" w:rsidRDefault="00495272" w:rsidP="00495272">
      <w:pPr>
        <w:spacing w:after="0" w:line="240" w:lineRule="auto"/>
        <w:jc w:val="both"/>
        <w:rPr>
          <w:rFonts w:cstheme="minorHAnsi"/>
          <w:sz w:val="28"/>
          <w:szCs w:val="28"/>
        </w:rPr>
      </w:pPr>
      <w:r w:rsidRPr="00495272">
        <w:rPr>
          <w:rFonts w:cstheme="minorHAnsi"/>
          <w:sz w:val="28"/>
          <w:szCs w:val="28"/>
        </w:rPr>
        <w:t>Monika Grzegorek</w:t>
      </w:r>
      <w:r w:rsidRPr="00495272">
        <w:rPr>
          <w:rFonts w:cstheme="minorHAnsi"/>
          <w:sz w:val="28"/>
          <w:szCs w:val="28"/>
        </w:rPr>
        <w:tab/>
      </w:r>
    </w:p>
    <w:p w14:paraId="629A1D3A" w14:textId="77777777" w:rsidR="00495272" w:rsidRPr="00495272" w:rsidRDefault="00495272" w:rsidP="00495272">
      <w:pPr>
        <w:spacing w:after="0" w:line="240" w:lineRule="auto"/>
        <w:jc w:val="both"/>
        <w:rPr>
          <w:rFonts w:cstheme="minorHAnsi"/>
          <w:sz w:val="28"/>
          <w:szCs w:val="28"/>
        </w:rPr>
      </w:pPr>
      <w:r w:rsidRPr="00495272">
        <w:rPr>
          <w:rFonts w:cstheme="minorHAnsi"/>
          <w:sz w:val="28"/>
          <w:szCs w:val="28"/>
        </w:rPr>
        <w:t>inspektor</w:t>
      </w:r>
    </w:p>
    <w:p w14:paraId="4D601C60" w14:textId="77777777" w:rsidR="00495272" w:rsidRPr="00495272" w:rsidRDefault="00495272" w:rsidP="00495272">
      <w:pPr>
        <w:spacing w:after="0" w:line="240" w:lineRule="auto"/>
        <w:jc w:val="both"/>
        <w:rPr>
          <w:rFonts w:cstheme="minorHAnsi"/>
          <w:sz w:val="28"/>
          <w:szCs w:val="28"/>
        </w:rPr>
      </w:pPr>
      <w:r w:rsidRPr="00495272">
        <w:rPr>
          <w:rFonts w:cstheme="minorHAnsi"/>
          <w:sz w:val="28"/>
          <w:szCs w:val="28"/>
        </w:rPr>
        <w:t xml:space="preserve">tel. 61 28 47 123 </w:t>
      </w:r>
    </w:p>
    <w:p w14:paraId="7B2D74B3" w14:textId="77777777" w:rsidR="00495272" w:rsidRPr="00495272" w:rsidRDefault="00495272" w:rsidP="00495272">
      <w:pPr>
        <w:spacing w:after="120" w:line="240" w:lineRule="auto"/>
        <w:jc w:val="both"/>
        <w:rPr>
          <w:rFonts w:cstheme="minorHAnsi"/>
          <w:sz w:val="28"/>
          <w:szCs w:val="28"/>
        </w:rPr>
      </w:pPr>
    </w:p>
    <w:p w14:paraId="19E2F176" w14:textId="77777777" w:rsidR="00495272" w:rsidRPr="00495272" w:rsidRDefault="00495272" w:rsidP="00495272">
      <w:pPr>
        <w:spacing w:after="120" w:line="240" w:lineRule="auto"/>
        <w:jc w:val="both"/>
        <w:rPr>
          <w:rFonts w:cstheme="minorHAnsi"/>
          <w:sz w:val="28"/>
          <w:szCs w:val="28"/>
        </w:rPr>
      </w:pPr>
      <w:r w:rsidRPr="00495272">
        <w:rPr>
          <w:rFonts w:cstheme="minorHAnsi"/>
          <w:sz w:val="28"/>
          <w:szCs w:val="28"/>
        </w:rPr>
        <w:t>Otrzymują:</w:t>
      </w:r>
    </w:p>
    <w:p w14:paraId="32560E37" w14:textId="0DFDC8BD" w:rsidR="00495272" w:rsidRPr="00495272" w:rsidRDefault="00495272" w:rsidP="00495272">
      <w:pPr>
        <w:numPr>
          <w:ilvl w:val="0"/>
          <w:numId w:val="36"/>
        </w:numPr>
        <w:tabs>
          <w:tab w:val="left" w:pos="851"/>
        </w:tabs>
        <w:spacing w:after="120" w:line="240" w:lineRule="auto"/>
        <w:contextualSpacing/>
        <w:jc w:val="both"/>
        <w:rPr>
          <w:rFonts w:cstheme="minorHAnsi"/>
          <w:sz w:val="28"/>
          <w:szCs w:val="28"/>
        </w:rPr>
      </w:pPr>
      <w:r w:rsidRPr="00495272">
        <w:rPr>
          <w:rFonts w:cstheme="minorHAnsi"/>
          <w:sz w:val="28"/>
          <w:szCs w:val="28"/>
        </w:rPr>
        <w:t xml:space="preserve">Strona postępowania: </w:t>
      </w:r>
      <w:r>
        <w:rPr>
          <w:rFonts w:cstheme="minorHAnsi"/>
          <w:sz w:val="28"/>
          <w:szCs w:val="28"/>
        </w:rPr>
        <w:t>osoba fizyczna</w:t>
      </w:r>
      <w:r w:rsidR="005A2F65">
        <w:rPr>
          <w:rFonts w:cstheme="minorHAnsi"/>
          <w:sz w:val="28"/>
          <w:szCs w:val="28"/>
        </w:rPr>
        <w:t xml:space="preserve"> (dane osobowe w aktach sprawy)</w:t>
      </w:r>
    </w:p>
    <w:p w14:paraId="2A6C1F5C" w14:textId="77777777" w:rsidR="00495272" w:rsidRPr="00495272" w:rsidRDefault="00495272" w:rsidP="00495272">
      <w:pPr>
        <w:numPr>
          <w:ilvl w:val="0"/>
          <w:numId w:val="36"/>
        </w:numPr>
        <w:tabs>
          <w:tab w:val="left" w:pos="851"/>
        </w:tabs>
        <w:spacing w:after="120" w:line="240" w:lineRule="auto"/>
        <w:contextualSpacing/>
        <w:jc w:val="both"/>
        <w:rPr>
          <w:rFonts w:cstheme="minorHAnsi"/>
          <w:sz w:val="28"/>
          <w:szCs w:val="28"/>
        </w:rPr>
      </w:pPr>
      <w:r w:rsidRPr="00495272">
        <w:rPr>
          <w:rFonts w:cstheme="minorHAnsi"/>
          <w:sz w:val="28"/>
          <w:szCs w:val="28"/>
        </w:rPr>
        <w:t>aa</w:t>
      </w:r>
    </w:p>
    <w:p w14:paraId="10FBDBED" w14:textId="77777777" w:rsidR="00495272" w:rsidRPr="00495272" w:rsidRDefault="00495272" w:rsidP="00495272">
      <w:pPr>
        <w:spacing w:after="120" w:line="240" w:lineRule="auto"/>
        <w:jc w:val="both"/>
        <w:rPr>
          <w:rFonts w:cstheme="minorHAnsi"/>
          <w:sz w:val="28"/>
          <w:szCs w:val="28"/>
        </w:rPr>
      </w:pPr>
    </w:p>
    <w:p w14:paraId="2930BBDC" w14:textId="77777777" w:rsidR="00495272" w:rsidRPr="00495272" w:rsidRDefault="00495272" w:rsidP="00495272">
      <w:pPr>
        <w:spacing w:after="120" w:line="240" w:lineRule="auto"/>
        <w:jc w:val="both"/>
        <w:rPr>
          <w:rFonts w:cstheme="minorHAnsi"/>
          <w:sz w:val="2"/>
          <w:szCs w:val="2"/>
        </w:rPr>
      </w:pPr>
      <w:r w:rsidRPr="00495272">
        <w:rPr>
          <w:rFonts w:cstheme="minorHAnsi"/>
          <w:sz w:val="28"/>
          <w:szCs w:val="28"/>
        </w:rPr>
        <w:t>Decyzja zwolniona od opłaty skarbowej zgodnie z załącznikiem do ustawy z dnia 16 listopada 2006 r. o opłacie skarbowej (Dz. U. z 2023 r. poz. 2111) część I ust. 8.</w:t>
      </w:r>
      <w:r w:rsidRPr="00495272">
        <w:rPr>
          <w:rFonts w:cstheme="minorHAnsi"/>
          <w:sz w:val="2"/>
          <w:szCs w:val="2"/>
        </w:rPr>
        <w:t xml:space="preserve"> </w:t>
      </w:r>
    </w:p>
    <w:p w14:paraId="5022420A" w14:textId="77777777" w:rsidR="008C0D69" w:rsidRDefault="008C0D69" w:rsidP="001E33D8">
      <w:pPr>
        <w:rPr>
          <w:sz w:val="28"/>
          <w:szCs w:val="28"/>
        </w:rPr>
        <w:sectPr w:rsidR="008C0D69" w:rsidSect="00327EF5">
          <w:headerReference w:type="default" r:id="rId12"/>
          <w:footerReference w:type="default" r:id="rId13"/>
          <w:pgSz w:w="11906" w:h="16838"/>
          <w:pgMar w:top="1418" w:right="1418" w:bottom="1701" w:left="1701" w:header="709" w:footer="709" w:gutter="0"/>
          <w:pgNumType w:start="1"/>
          <w:cols w:space="708"/>
          <w:docGrid w:linePitch="600" w:charSpace="32768"/>
        </w:sectPr>
      </w:pPr>
    </w:p>
    <w:p w14:paraId="0926243D" w14:textId="0BB9EC33" w:rsidR="00561124" w:rsidRDefault="007534D0" w:rsidP="00561124">
      <w:pPr>
        <w:jc w:val="center"/>
        <w:rPr>
          <w:sz w:val="28"/>
          <w:szCs w:val="28"/>
        </w:rPr>
        <w:sectPr w:rsidR="00561124" w:rsidSect="00327EF5">
          <w:footerReference w:type="default" r:id="rId14"/>
          <w:pgSz w:w="23811" w:h="16838" w:orient="landscape" w:code="8"/>
          <w:pgMar w:top="720" w:right="720" w:bottom="720" w:left="720" w:header="709" w:footer="709" w:gutter="0"/>
          <w:pgNumType w:start="1"/>
          <w:cols w:space="708"/>
          <w:docGrid w:linePitch="600" w:charSpace="32768"/>
        </w:sectPr>
      </w:pPr>
      <w:r>
        <w:rPr>
          <w:noProof/>
          <w:sz w:val="28"/>
          <w:szCs w:val="28"/>
        </w:rPr>
        <w:lastRenderedPageBreak/>
        <w:drawing>
          <wp:inline distT="0" distB="0" distL="0" distR="0" wp14:anchorId="76A7205D" wp14:editId="5319DA3B">
            <wp:extent cx="13910188" cy="6200775"/>
            <wp:effectExtent l="0" t="0" r="0" b="0"/>
            <wp:docPr id="1112258733" name="Obraz 1" descr="Obraz zawierający tekst, diagram, linia, Równolegle&#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258733" name="Obraz 1" descr="Obraz zawierający tekst, diagram, linia, Równolegle&#10;&#10;Opis wygenerowany automatycznie"/>
                    <pic:cNvPicPr/>
                  </pic:nvPicPr>
                  <pic:blipFill>
                    <a:blip r:embed="rId15">
                      <a:extLst>
                        <a:ext uri="{28A0092B-C50C-407E-A947-70E740481C1C}">
                          <a14:useLocalDpi xmlns:a14="http://schemas.microsoft.com/office/drawing/2010/main" val="0"/>
                        </a:ext>
                      </a:extLst>
                    </a:blip>
                    <a:stretch>
                      <a:fillRect/>
                    </a:stretch>
                  </pic:blipFill>
                  <pic:spPr>
                    <a:xfrm>
                      <a:off x="0" y="0"/>
                      <a:ext cx="13922215" cy="6206136"/>
                    </a:xfrm>
                    <a:prstGeom prst="rect">
                      <a:avLst/>
                    </a:prstGeom>
                  </pic:spPr>
                </pic:pic>
              </a:graphicData>
            </a:graphic>
          </wp:inline>
        </w:drawing>
      </w:r>
    </w:p>
    <w:p w14:paraId="308B94AC" w14:textId="04A3A470" w:rsidR="00C979A2" w:rsidRPr="00C979A2" w:rsidRDefault="00C979A2" w:rsidP="00C979A2">
      <w:pPr>
        <w:spacing w:after="120" w:line="240" w:lineRule="auto"/>
        <w:contextualSpacing/>
        <w:rPr>
          <w:rFonts w:cstheme="minorHAnsi"/>
          <w:sz w:val="28"/>
          <w:szCs w:val="28"/>
        </w:rPr>
      </w:pPr>
      <w:r w:rsidRPr="00C979A2">
        <w:rPr>
          <w:rFonts w:cstheme="minorHAnsi"/>
          <w:sz w:val="28"/>
          <w:szCs w:val="28"/>
        </w:rPr>
        <w:lastRenderedPageBreak/>
        <w:t>PPSPP.6730.</w:t>
      </w:r>
      <w:r w:rsidR="00495272">
        <w:rPr>
          <w:rFonts w:cstheme="minorHAnsi"/>
          <w:sz w:val="28"/>
          <w:szCs w:val="28"/>
        </w:rPr>
        <w:t>195.2023.GMON</w:t>
      </w:r>
    </w:p>
    <w:p w14:paraId="75D3502A" w14:textId="77777777" w:rsidR="00C979A2" w:rsidRPr="00C979A2" w:rsidRDefault="00C979A2" w:rsidP="00C979A2">
      <w:pPr>
        <w:spacing w:after="120" w:line="240" w:lineRule="auto"/>
        <w:contextualSpacing/>
        <w:rPr>
          <w:rFonts w:cstheme="minorHAnsi"/>
          <w:sz w:val="28"/>
          <w:szCs w:val="28"/>
        </w:rPr>
      </w:pPr>
    </w:p>
    <w:p w14:paraId="46B7589D" w14:textId="77777777" w:rsidR="00C979A2" w:rsidRPr="00C979A2" w:rsidRDefault="00C979A2" w:rsidP="00C979A2">
      <w:pPr>
        <w:spacing w:after="120" w:line="240" w:lineRule="auto"/>
        <w:contextualSpacing/>
        <w:jc w:val="center"/>
        <w:rPr>
          <w:rFonts w:cstheme="minorHAnsi"/>
          <w:sz w:val="28"/>
          <w:szCs w:val="28"/>
        </w:rPr>
      </w:pPr>
      <w:r w:rsidRPr="00C979A2">
        <w:rPr>
          <w:rFonts w:cstheme="minorHAnsi"/>
          <w:sz w:val="28"/>
          <w:szCs w:val="28"/>
        </w:rPr>
        <w:t xml:space="preserve">Wyniki analizy </w:t>
      </w:r>
    </w:p>
    <w:p w14:paraId="02CF5488" w14:textId="77777777" w:rsidR="00C979A2" w:rsidRPr="00C979A2" w:rsidRDefault="00C979A2" w:rsidP="00C979A2">
      <w:pPr>
        <w:spacing w:after="120" w:line="240" w:lineRule="auto"/>
        <w:contextualSpacing/>
        <w:jc w:val="center"/>
        <w:rPr>
          <w:rFonts w:cstheme="minorHAnsi"/>
          <w:sz w:val="28"/>
          <w:szCs w:val="28"/>
        </w:rPr>
      </w:pPr>
      <w:r w:rsidRPr="00C979A2">
        <w:rPr>
          <w:rFonts w:cstheme="minorHAnsi"/>
          <w:sz w:val="28"/>
          <w:szCs w:val="28"/>
        </w:rPr>
        <w:t>funkcji oraz cech zabudowy i zagospodarowania terenu w zakresie warunków, o których mowa w art. 61 ust. 1 – 5 ustawy z dnia 27 marca 2003 r. o planowaniu i zagospodarowaniu przestrzennym</w:t>
      </w:r>
    </w:p>
    <w:p w14:paraId="66EAA28C" w14:textId="77777777" w:rsidR="00C979A2" w:rsidRPr="00C979A2" w:rsidRDefault="00C979A2" w:rsidP="00C979A2">
      <w:pPr>
        <w:spacing w:after="120" w:line="240" w:lineRule="auto"/>
        <w:contextualSpacing/>
        <w:rPr>
          <w:rFonts w:cstheme="minorHAnsi"/>
          <w:sz w:val="28"/>
          <w:szCs w:val="28"/>
        </w:rPr>
      </w:pPr>
    </w:p>
    <w:p w14:paraId="526AB718" w14:textId="77777777" w:rsidR="00C979A2" w:rsidRPr="00C979A2" w:rsidRDefault="00C979A2" w:rsidP="00C979A2">
      <w:pPr>
        <w:spacing w:after="120" w:line="240" w:lineRule="auto"/>
        <w:ind w:firstLine="567"/>
        <w:contextualSpacing/>
        <w:jc w:val="both"/>
        <w:rPr>
          <w:rFonts w:cstheme="minorHAnsi"/>
          <w:sz w:val="28"/>
          <w:szCs w:val="28"/>
        </w:rPr>
      </w:pPr>
      <w:r w:rsidRPr="00C979A2">
        <w:rPr>
          <w:rFonts w:cstheme="minorHAnsi"/>
          <w:sz w:val="28"/>
          <w:szCs w:val="28"/>
        </w:rPr>
        <w:t>Spełnienie warunków dopuszczających wydanie decyzji o warunkach zabudowy, których mowa w art. 61 ust. 1 ustawy z dnia 27 marca 2003 r. o planowaniu i zagospodarowaniu przestrzennym przedstawiono w poniższej tabeli.</w:t>
      </w:r>
    </w:p>
    <w:tbl>
      <w:tblPr>
        <w:tblStyle w:val="Tabela-Siatka"/>
        <w:tblW w:w="0" w:type="auto"/>
        <w:tblInd w:w="108" w:type="dxa"/>
        <w:tblLook w:val="04A0" w:firstRow="1" w:lastRow="0" w:firstColumn="1" w:lastColumn="0" w:noHBand="0" w:noVBand="1"/>
      </w:tblPr>
      <w:tblGrid>
        <w:gridCol w:w="705"/>
        <w:gridCol w:w="6136"/>
        <w:gridCol w:w="1828"/>
      </w:tblGrid>
      <w:tr w:rsidR="00C979A2" w:rsidRPr="00633564" w14:paraId="5C1B903D" w14:textId="77777777" w:rsidTr="00384E31">
        <w:tc>
          <w:tcPr>
            <w:tcW w:w="6946" w:type="dxa"/>
            <w:gridSpan w:val="2"/>
            <w:tcBorders>
              <w:right w:val="dotted" w:sz="4" w:space="0" w:color="auto"/>
            </w:tcBorders>
            <w:vAlign w:val="center"/>
          </w:tcPr>
          <w:p w14:paraId="62FEE337" w14:textId="77777777" w:rsidR="00C979A2" w:rsidRPr="00633564" w:rsidRDefault="00C979A2" w:rsidP="00384E31">
            <w:pPr>
              <w:spacing w:after="120"/>
              <w:jc w:val="both"/>
              <w:rPr>
                <w:rFonts w:asciiTheme="minorHAnsi" w:hAnsiTheme="minorHAnsi" w:cstheme="minorHAnsi"/>
                <w:sz w:val="24"/>
                <w:szCs w:val="24"/>
              </w:rPr>
            </w:pPr>
            <w:r w:rsidRPr="00633564">
              <w:rPr>
                <w:rFonts w:asciiTheme="minorHAnsi" w:hAnsiTheme="minorHAnsi" w:cstheme="minorHAnsi"/>
                <w:sz w:val="24"/>
                <w:szCs w:val="24"/>
              </w:rPr>
              <w:t>Punkt i treść warunku, o którym mowa w art. 61 ust. 1</w:t>
            </w:r>
          </w:p>
        </w:tc>
        <w:tc>
          <w:tcPr>
            <w:tcW w:w="1843" w:type="dxa"/>
            <w:tcBorders>
              <w:left w:val="dotted" w:sz="4" w:space="0" w:color="auto"/>
            </w:tcBorders>
            <w:vAlign w:val="center"/>
          </w:tcPr>
          <w:p w14:paraId="675FAA77"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Spełnienie warunku</w:t>
            </w:r>
          </w:p>
        </w:tc>
      </w:tr>
      <w:tr w:rsidR="00C979A2" w:rsidRPr="00633564" w14:paraId="7DD7D5E4" w14:textId="77777777" w:rsidTr="00384E31">
        <w:tc>
          <w:tcPr>
            <w:tcW w:w="709" w:type="dxa"/>
            <w:tcBorders>
              <w:bottom w:val="single" w:sz="2" w:space="0" w:color="auto"/>
              <w:right w:val="dotted" w:sz="4" w:space="0" w:color="auto"/>
            </w:tcBorders>
            <w:vAlign w:val="center"/>
          </w:tcPr>
          <w:p w14:paraId="28795B6A"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pkt 1</w:t>
            </w:r>
          </w:p>
        </w:tc>
        <w:tc>
          <w:tcPr>
            <w:tcW w:w="6237" w:type="dxa"/>
            <w:tcBorders>
              <w:left w:val="dotted" w:sz="4" w:space="0" w:color="auto"/>
              <w:bottom w:val="single" w:sz="2" w:space="0" w:color="auto"/>
              <w:right w:val="dotted" w:sz="4" w:space="0" w:color="auto"/>
            </w:tcBorders>
          </w:tcPr>
          <w:p w14:paraId="52B4B086" w14:textId="77777777" w:rsidR="00C979A2" w:rsidRPr="00633564" w:rsidRDefault="00C979A2" w:rsidP="00384E31">
            <w:pPr>
              <w:spacing w:after="120"/>
              <w:jc w:val="both"/>
              <w:rPr>
                <w:rFonts w:asciiTheme="minorHAnsi" w:hAnsiTheme="minorHAnsi" w:cstheme="minorHAnsi"/>
                <w:sz w:val="24"/>
                <w:szCs w:val="24"/>
              </w:rPr>
            </w:pPr>
            <w:r w:rsidRPr="00633564">
              <w:rPr>
                <w:rFonts w:asciiTheme="minorHAnsi" w:hAnsiTheme="minorHAnsi" w:cstheme="minorHAnsi"/>
                <w:sz w:val="24"/>
                <w:szCs w:val="24"/>
              </w:rPr>
              <w:t>co najmniej jedna działka sąsiednia, dostępna z tej samej drogi publicznej, jest zabudowana w sposób pozwalający na określenie wymagań dotyczących nowej zabudowy w zakresie kontynuacji funkcji, parametrów, cech i wskaźników kształtowania zabudowy oraz zagospodarowania terenu, w tym gabarytów i formy architektonicznej obiektów budowlanych, linii zabudowy oraz intensywności wykorzystania terenu</w:t>
            </w:r>
          </w:p>
        </w:tc>
        <w:tc>
          <w:tcPr>
            <w:tcW w:w="1843" w:type="dxa"/>
            <w:tcBorders>
              <w:left w:val="dotted" w:sz="4" w:space="0" w:color="auto"/>
              <w:bottom w:val="single" w:sz="2" w:space="0" w:color="auto"/>
            </w:tcBorders>
            <w:vAlign w:val="center"/>
          </w:tcPr>
          <w:p w14:paraId="78E4D54D"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tak</w:t>
            </w:r>
          </w:p>
        </w:tc>
      </w:tr>
      <w:tr w:rsidR="00C979A2" w:rsidRPr="00633564" w14:paraId="087E36BD" w14:textId="77777777" w:rsidTr="00384E31">
        <w:tc>
          <w:tcPr>
            <w:tcW w:w="709" w:type="dxa"/>
            <w:tcBorders>
              <w:top w:val="single" w:sz="2" w:space="0" w:color="auto"/>
              <w:bottom w:val="single" w:sz="2" w:space="0" w:color="auto"/>
              <w:right w:val="dotted" w:sz="4" w:space="0" w:color="auto"/>
            </w:tcBorders>
            <w:vAlign w:val="center"/>
          </w:tcPr>
          <w:p w14:paraId="5C3593D2"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pkt 2</w:t>
            </w:r>
          </w:p>
        </w:tc>
        <w:tc>
          <w:tcPr>
            <w:tcW w:w="6237" w:type="dxa"/>
            <w:tcBorders>
              <w:top w:val="single" w:sz="2" w:space="0" w:color="auto"/>
              <w:left w:val="dotted" w:sz="4" w:space="0" w:color="auto"/>
              <w:bottom w:val="single" w:sz="2" w:space="0" w:color="auto"/>
              <w:right w:val="dotted" w:sz="4" w:space="0" w:color="auto"/>
            </w:tcBorders>
          </w:tcPr>
          <w:p w14:paraId="0E74D335" w14:textId="77777777" w:rsidR="00C979A2" w:rsidRPr="00633564" w:rsidRDefault="00C979A2" w:rsidP="00384E31">
            <w:pPr>
              <w:spacing w:after="120"/>
              <w:jc w:val="both"/>
              <w:rPr>
                <w:rFonts w:asciiTheme="minorHAnsi" w:eastAsia="Times New Roman" w:hAnsiTheme="minorHAnsi" w:cstheme="minorHAnsi"/>
                <w:sz w:val="24"/>
                <w:szCs w:val="24"/>
                <w:lang w:eastAsia="pl-PL"/>
              </w:rPr>
            </w:pPr>
            <w:bookmarkStart w:id="5" w:name="mip44711609"/>
            <w:bookmarkEnd w:id="5"/>
            <w:r w:rsidRPr="00633564">
              <w:rPr>
                <w:rFonts w:asciiTheme="minorHAnsi" w:eastAsia="Times New Roman" w:hAnsiTheme="minorHAnsi" w:cstheme="minorHAnsi"/>
                <w:sz w:val="24"/>
                <w:szCs w:val="24"/>
                <w:lang w:eastAsia="pl-PL"/>
              </w:rPr>
              <w:t>teren ma dostęp do drogi publicznej</w:t>
            </w:r>
          </w:p>
        </w:tc>
        <w:tc>
          <w:tcPr>
            <w:tcW w:w="1843" w:type="dxa"/>
            <w:tcBorders>
              <w:top w:val="single" w:sz="2" w:space="0" w:color="auto"/>
              <w:left w:val="dotted" w:sz="4" w:space="0" w:color="auto"/>
              <w:bottom w:val="single" w:sz="2" w:space="0" w:color="auto"/>
            </w:tcBorders>
            <w:vAlign w:val="center"/>
          </w:tcPr>
          <w:p w14:paraId="32D74BA8"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tak</w:t>
            </w:r>
          </w:p>
        </w:tc>
      </w:tr>
      <w:tr w:rsidR="00C979A2" w:rsidRPr="00633564" w14:paraId="36010217" w14:textId="77777777" w:rsidTr="00384E31">
        <w:tc>
          <w:tcPr>
            <w:tcW w:w="709" w:type="dxa"/>
            <w:tcBorders>
              <w:top w:val="single" w:sz="2" w:space="0" w:color="auto"/>
              <w:bottom w:val="single" w:sz="2" w:space="0" w:color="auto"/>
              <w:right w:val="dotted" w:sz="4" w:space="0" w:color="auto"/>
            </w:tcBorders>
            <w:vAlign w:val="center"/>
          </w:tcPr>
          <w:p w14:paraId="6D06A7CE"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pkt 3</w:t>
            </w:r>
          </w:p>
        </w:tc>
        <w:tc>
          <w:tcPr>
            <w:tcW w:w="6237" w:type="dxa"/>
            <w:tcBorders>
              <w:top w:val="single" w:sz="2" w:space="0" w:color="auto"/>
              <w:left w:val="dotted" w:sz="4" w:space="0" w:color="auto"/>
              <w:bottom w:val="single" w:sz="2" w:space="0" w:color="auto"/>
              <w:right w:val="dotted" w:sz="4" w:space="0" w:color="auto"/>
            </w:tcBorders>
          </w:tcPr>
          <w:p w14:paraId="33607E0D" w14:textId="77777777" w:rsidR="00C979A2" w:rsidRPr="00633564" w:rsidRDefault="00C979A2" w:rsidP="00384E31">
            <w:pPr>
              <w:spacing w:after="120"/>
              <w:jc w:val="both"/>
              <w:rPr>
                <w:rFonts w:asciiTheme="minorHAnsi" w:hAnsiTheme="minorHAnsi" w:cstheme="minorHAnsi"/>
                <w:sz w:val="24"/>
                <w:szCs w:val="24"/>
              </w:rPr>
            </w:pPr>
            <w:r w:rsidRPr="00633564">
              <w:rPr>
                <w:rFonts w:asciiTheme="minorHAnsi" w:hAnsiTheme="minorHAnsi" w:cstheme="minorHAnsi"/>
                <w:sz w:val="24"/>
                <w:szCs w:val="24"/>
              </w:rPr>
              <w:t>istniejące lub projektowane uzbrojenie terenu jest wystarczające dla zamierzenia budowlanego</w:t>
            </w:r>
          </w:p>
        </w:tc>
        <w:tc>
          <w:tcPr>
            <w:tcW w:w="1843" w:type="dxa"/>
            <w:tcBorders>
              <w:top w:val="single" w:sz="2" w:space="0" w:color="auto"/>
              <w:left w:val="dotted" w:sz="4" w:space="0" w:color="auto"/>
              <w:bottom w:val="single" w:sz="2" w:space="0" w:color="auto"/>
            </w:tcBorders>
            <w:vAlign w:val="center"/>
          </w:tcPr>
          <w:p w14:paraId="17D08813"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tak</w:t>
            </w:r>
          </w:p>
        </w:tc>
      </w:tr>
      <w:tr w:rsidR="00C979A2" w:rsidRPr="00633564" w14:paraId="2B08CD7E" w14:textId="77777777" w:rsidTr="00384E31">
        <w:tc>
          <w:tcPr>
            <w:tcW w:w="709" w:type="dxa"/>
            <w:tcBorders>
              <w:top w:val="single" w:sz="2" w:space="0" w:color="auto"/>
              <w:bottom w:val="single" w:sz="2" w:space="0" w:color="auto"/>
              <w:right w:val="dotted" w:sz="4" w:space="0" w:color="auto"/>
            </w:tcBorders>
            <w:vAlign w:val="center"/>
          </w:tcPr>
          <w:p w14:paraId="5FBA073E"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pkt 4</w:t>
            </w:r>
          </w:p>
        </w:tc>
        <w:tc>
          <w:tcPr>
            <w:tcW w:w="6237" w:type="dxa"/>
            <w:tcBorders>
              <w:top w:val="single" w:sz="2" w:space="0" w:color="auto"/>
              <w:left w:val="dotted" w:sz="4" w:space="0" w:color="auto"/>
              <w:bottom w:val="single" w:sz="2" w:space="0" w:color="auto"/>
              <w:right w:val="dotted" w:sz="4" w:space="0" w:color="auto"/>
            </w:tcBorders>
          </w:tcPr>
          <w:p w14:paraId="7EB4BC06" w14:textId="77777777" w:rsidR="00C979A2" w:rsidRPr="00633564" w:rsidRDefault="00C979A2" w:rsidP="00384E31">
            <w:pPr>
              <w:spacing w:after="120"/>
              <w:jc w:val="both"/>
              <w:rPr>
                <w:rFonts w:asciiTheme="minorHAnsi" w:hAnsiTheme="minorHAnsi" w:cstheme="minorHAnsi"/>
                <w:sz w:val="24"/>
                <w:szCs w:val="24"/>
              </w:rPr>
            </w:pPr>
            <w:r w:rsidRPr="00633564">
              <w:rPr>
                <w:rFonts w:asciiTheme="minorHAnsi" w:hAnsiTheme="minorHAnsi" w:cstheme="minorHAnsi"/>
                <w:sz w:val="24"/>
                <w:szCs w:val="24"/>
              </w:rPr>
              <w:t>teren nie wymaga</w:t>
            </w:r>
            <w:r w:rsidRPr="00633564">
              <w:rPr>
                <w:rFonts w:asciiTheme="minorHAnsi" w:hAnsiTheme="minorHAnsi" w:cstheme="minorHAnsi"/>
                <w:i/>
                <w:sz w:val="24"/>
                <w:szCs w:val="24"/>
              </w:rPr>
              <w:t xml:space="preserve"> </w:t>
            </w:r>
            <w:r w:rsidRPr="00633564">
              <w:rPr>
                <w:rFonts w:asciiTheme="minorHAnsi" w:hAnsiTheme="minorHAnsi" w:cstheme="minorHAnsi"/>
                <w:sz w:val="24"/>
                <w:szCs w:val="24"/>
              </w:rPr>
              <w:t>uzyskania zgody na zmianę przeznaczenia gruntów rolnych i leśnych na cele nierolnicze i nieleśne albo jest objęty zgodą uzyskaną przy sporządzaniu miejscowych planów, które utraciły moc na podstawie art. 67 ustawy, o której mowa w art. 88 ust. 1</w:t>
            </w:r>
          </w:p>
        </w:tc>
        <w:tc>
          <w:tcPr>
            <w:tcW w:w="1843" w:type="dxa"/>
            <w:tcBorders>
              <w:top w:val="single" w:sz="2" w:space="0" w:color="auto"/>
              <w:left w:val="dotted" w:sz="4" w:space="0" w:color="auto"/>
              <w:bottom w:val="single" w:sz="2" w:space="0" w:color="auto"/>
            </w:tcBorders>
            <w:vAlign w:val="center"/>
          </w:tcPr>
          <w:p w14:paraId="769E1E99"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tak</w:t>
            </w:r>
          </w:p>
        </w:tc>
      </w:tr>
      <w:tr w:rsidR="00C979A2" w:rsidRPr="00633564" w14:paraId="5BE4BA00" w14:textId="77777777" w:rsidTr="00384E31">
        <w:tc>
          <w:tcPr>
            <w:tcW w:w="709" w:type="dxa"/>
            <w:tcBorders>
              <w:top w:val="single" w:sz="2" w:space="0" w:color="auto"/>
              <w:bottom w:val="single" w:sz="2" w:space="0" w:color="auto"/>
              <w:right w:val="dotted" w:sz="4" w:space="0" w:color="auto"/>
            </w:tcBorders>
            <w:vAlign w:val="center"/>
          </w:tcPr>
          <w:p w14:paraId="0BC022A2"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pkt 5</w:t>
            </w:r>
          </w:p>
        </w:tc>
        <w:tc>
          <w:tcPr>
            <w:tcW w:w="6237" w:type="dxa"/>
            <w:tcBorders>
              <w:top w:val="single" w:sz="2" w:space="0" w:color="auto"/>
              <w:left w:val="dotted" w:sz="4" w:space="0" w:color="auto"/>
              <w:bottom w:val="single" w:sz="2" w:space="0" w:color="auto"/>
              <w:right w:val="dotted" w:sz="4" w:space="0" w:color="auto"/>
            </w:tcBorders>
          </w:tcPr>
          <w:p w14:paraId="64FD5BBE" w14:textId="77777777" w:rsidR="00C979A2" w:rsidRPr="00633564" w:rsidRDefault="00C979A2" w:rsidP="00384E31">
            <w:pPr>
              <w:spacing w:after="120"/>
              <w:jc w:val="both"/>
              <w:rPr>
                <w:rFonts w:asciiTheme="minorHAnsi" w:hAnsiTheme="minorHAnsi" w:cstheme="minorHAnsi"/>
                <w:sz w:val="24"/>
                <w:szCs w:val="24"/>
              </w:rPr>
            </w:pPr>
            <w:r w:rsidRPr="00633564">
              <w:rPr>
                <w:rFonts w:asciiTheme="minorHAnsi" w:hAnsiTheme="minorHAnsi" w:cstheme="minorHAnsi"/>
                <w:sz w:val="24"/>
                <w:szCs w:val="24"/>
              </w:rPr>
              <w:t>decyzja jest zgodna z przepisami odrębnymi</w:t>
            </w:r>
          </w:p>
        </w:tc>
        <w:tc>
          <w:tcPr>
            <w:tcW w:w="1843" w:type="dxa"/>
            <w:tcBorders>
              <w:top w:val="single" w:sz="2" w:space="0" w:color="auto"/>
              <w:left w:val="dotted" w:sz="4" w:space="0" w:color="auto"/>
              <w:bottom w:val="single" w:sz="2" w:space="0" w:color="auto"/>
            </w:tcBorders>
            <w:vAlign w:val="center"/>
          </w:tcPr>
          <w:p w14:paraId="66B57F62"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tak</w:t>
            </w:r>
          </w:p>
        </w:tc>
      </w:tr>
      <w:tr w:rsidR="00C979A2" w:rsidRPr="00633564" w14:paraId="35C4937B" w14:textId="77777777" w:rsidTr="00384E31">
        <w:tc>
          <w:tcPr>
            <w:tcW w:w="709" w:type="dxa"/>
            <w:tcBorders>
              <w:top w:val="single" w:sz="2" w:space="0" w:color="auto"/>
              <w:right w:val="dotted" w:sz="4" w:space="0" w:color="auto"/>
            </w:tcBorders>
            <w:vAlign w:val="center"/>
          </w:tcPr>
          <w:p w14:paraId="70C08550"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pkt 6</w:t>
            </w:r>
          </w:p>
        </w:tc>
        <w:tc>
          <w:tcPr>
            <w:tcW w:w="6237" w:type="dxa"/>
            <w:tcBorders>
              <w:top w:val="single" w:sz="2" w:space="0" w:color="auto"/>
              <w:left w:val="dotted" w:sz="4" w:space="0" w:color="auto"/>
              <w:right w:val="dotted" w:sz="4" w:space="0" w:color="auto"/>
            </w:tcBorders>
          </w:tcPr>
          <w:p w14:paraId="24C73CCF" w14:textId="77777777" w:rsidR="00C979A2" w:rsidRPr="00633564" w:rsidRDefault="00C979A2" w:rsidP="00384E31">
            <w:pPr>
              <w:spacing w:after="120"/>
              <w:jc w:val="both"/>
              <w:rPr>
                <w:rFonts w:asciiTheme="minorHAnsi" w:hAnsiTheme="minorHAnsi" w:cstheme="minorHAnsi"/>
                <w:sz w:val="24"/>
                <w:szCs w:val="24"/>
              </w:rPr>
            </w:pPr>
            <w:r w:rsidRPr="00633564">
              <w:rPr>
                <w:rFonts w:asciiTheme="minorHAnsi" w:hAnsiTheme="minorHAnsi" w:cstheme="minorHAnsi"/>
                <w:sz w:val="24"/>
                <w:szCs w:val="24"/>
                <w:shd w:val="clear" w:color="auto" w:fill="FFFFFF"/>
              </w:rPr>
              <w:t>zamierzenie budowlane nie znajdzie się w obszarze: objętym zakazem wznoszenia i utrzymywania obiektów budowlanych przeznaczonych na pobyt ludzi związanym z lokalizacją sieci przesyłowej / strefy kontrolowanej wyznaczonej po obu stronach gazociągu /  strefy bezpieczeństwa wyznaczonej po obu stronach rurociągu</w:t>
            </w:r>
          </w:p>
        </w:tc>
        <w:tc>
          <w:tcPr>
            <w:tcW w:w="1843" w:type="dxa"/>
            <w:tcBorders>
              <w:top w:val="single" w:sz="2" w:space="0" w:color="auto"/>
              <w:left w:val="dotted" w:sz="4" w:space="0" w:color="auto"/>
            </w:tcBorders>
            <w:vAlign w:val="center"/>
          </w:tcPr>
          <w:p w14:paraId="0A7496A9"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tak</w:t>
            </w:r>
          </w:p>
        </w:tc>
      </w:tr>
    </w:tbl>
    <w:p w14:paraId="515AB777" w14:textId="77777777" w:rsidR="00C979A2" w:rsidRPr="00633564" w:rsidRDefault="00C979A2" w:rsidP="00C979A2">
      <w:pPr>
        <w:spacing w:after="120"/>
        <w:rPr>
          <w:rFonts w:cstheme="minorHAnsi"/>
        </w:rPr>
        <w:sectPr w:rsidR="00C979A2" w:rsidRPr="00633564" w:rsidSect="00327EF5">
          <w:headerReference w:type="default" r:id="rId16"/>
          <w:footerReference w:type="default" r:id="rId17"/>
          <w:pgSz w:w="11906" w:h="16838"/>
          <w:pgMar w:top="1418" w:right="1418" w:bottom="1701" w:left="1701" w:header="709" w:footer="709" w:gutter="0"/>
          <w:cols w:space="708"/>
          <w:docGrid w:linePitch="600" w:charSpace="32768"/>
        </w:sectPr>
      </w:pPr>
    </w:p>
    <w:p w14:paraId="65C0237E" w14:textId="03AB97C0" w:rsidR="00C979A2" w:rsidRPr="0081766C" w:rsidRDefault="00C979A2" w:rsidP="0081766C">
      <w:pPr>
        <w:spacing w:after="120" w:line="240" w:lineRule="auto"/>
        <w:ind w:firstLine="567"/>
        <w:contextualSpacing/>
        <w:jc w:val="both"/>
        <w:rPr>
          <w:rFonts w:cstheme="minorHAnsi"/>
          <w:sz w:val="28"/>
          <w:szCs w:val="28"/>
        </w:rPr>
      </w:pPr>
      <w:r w:rsidRPr="00C979A2">
        <w:rPr>
          <w:rFonts w:cstheme="minorHAnsi"/>
          <w:sz w:val="28"/>
          <w:szCs w:val="28"/>
        </w:rPr>
        <w:lastRenderedPageBreak/>
        <w:t>Sposób ustalania w decyzji o warunkach zabudowy wymagań dotyczących nowej zabudowy, o którym mowa w rozporządzeniu Ministra Infrastruktury z dnia 26 sierpnia 2003 r. w sprawie sposobu ustalania wymagań dotyczących nowej zabudowy i zagospodarowania terenu w przypadku braku miejscowego planu zagospodarowania przestrzennego (Dz. U. Nr 164, poz. 1588, z 2021 r. poz. 2399) został przedstawiony w poniższej tabeli.</w:t>
      </w:r>
    </w:p>
    <w:tbl>
      <w:tblPr>
        <w:tblStyle w:val="Tabela-Siatka"/>
        <w:tblW w:w="0" w:type="auto"/>
        <w:tblInd w:w="108" w:type="dxa"/>
        <w:tblLook w:val="04A0" w:firstRow="1" w:lastRow="0" w:firstColumn="1" w:lastColumn="0" w:noHBand="0" w:noVBand="1"/>
      </w:tblPr>
      <w:tblGrid>
        <w:gridCol w:w="3544"/>
        <w:gridCol w:w="10206"/>
      </w:tblGrid>
      <w:tr w:rsidR="00C979A2" w:rsidRPr="00633564" w14:paraId="14A29025" w14:textId="77777777" w:rsidTr="00384E31">
        <w:trPr>
          <w:cantSplit/>
          <w:tblHeader/>
        </w:trPr>
        <w:tc>
          <w:tcPr>
            <w:tcW w:w="3544" w:type="dxa"/>
            <w:tcBorders>
              <w:right w:val="dotted" w:sz="4" w:space="0" w:color="auto"/>
            </w:tcBorders>
            <w:vAlign w:val="center"/>
          </w:tcPr>
          <w:p w14:paraId="171E8EB7" w14:textId="77777777" w:rsidR="00C979A2" w:rsidRPr="00633564" w:rsidRDefault="00C979A2" w:rsidP="00384E31">
            <w:pPr>
              <w:spacing w:after="120"/>
              <w:jc w:val="both"/>
              <w:rPr>
                <w:rFonts w:asciiTheme="minorHAnsi" w:hAnsiTheme="minorHAnsi" w:cstheme="minorHAnsi"/>
                <w:sz w:val="24"/>
                <w:szCs w:val="24"/>
              </w:rPr>
            </w:pPr>
            <w:r w:rsidRPr="00633564">
              <w:rPr>
                <w:rFonts w:asciiTheme="minorHAnsi" w:hAnsiTheme="minorHAnsi" w:cstheme="minorHAnsi"/>
                <w:sz w:val="24"/>
                <w:szCs w:val="24"/>
              </w:rPr>
              <w:t>Wymagania nowej zabudowy</w:t>
            </w:r>
          </w:p>
        </w:tc>
        <w:tc>
          <w:tcPr>
            <w:tcW w:w="10206" w:type="dxa"/>
            <w:tcBorders>
              <w:left w:val="dotted" w:sz="4" w:space="0" w:color="auto"/>
            </w:tcBorders>
            <w:vAlign w:val="center"/>
          </w:tcPr>
          <w:p w14:paraId="0A55B237" w14:textId="77777777" w:rsidR="00C979A2" w:rsidRPr="00633564" w:rsidRDefault="00C979A2" w:rsidP="00384E31">
            <w:pPr>
              <w:spacing w:after="120"/>
              <w:jc w:val="center"/>
              <w:rPr>
                <w:rFonts w:asciiTheme="minorHAnsi" w:hAnsiTheme="minorHAnsi" w:cstheme="minorHAnsi"/>
                <w:sz w:val="24"/>
                <w:szCs w:val="24"/>
              </w:rPr>
            </w:pPr>
            <w:r w:rsidRPr="00633564">
              <w:rPr>
                <w:rFonts w:asciiTheme="minorHAnsi" w:hAnsiTheme="minorHAnsi" w:cstheme="minorHAnsi"/>
                <w:sz w:val="24"/>
                <w:szCs w:val="24"/>
              </w:rPr>
              <w:t>Sposób ustalenia wymagań</w:t>
            </w:r>
          </w:p>
        </w:tc>
      </w:tr>
      <w:tr w:rsidR="00C979A2" w:rsidRPr="00633564" w14:paraId="72395E44" w14:textId="77777777" w:rsidTr="00384E31">
        <w:trPr>
          <w:cantSplit/>
        </w:trPr>
        <w:tc>
          <w:tcPr>
            <w:tcW w:w="3544" w:type="dxa"/>
            <w:tcBorders>
              <w:bottom w:val="single" w:sz="2" w:space="0" w:color="auto"/>
              <w:right w:val="dotted" w:sz="4" w:space="0" w:color="auto"/>
            </w:tcBorders>
            <w:vAlign w:val="center"/>
          </w:tcPr>
          <w:p w14:paraId="3B809CB4" w14:textId="77777777" w:rsidR="00C979A2" w:rsidRPr="00495272" w:rsidRDefault="00C979A2" w:rsidP="00384E31">
            <w:pPr>
              <w:spacing w:after="120"/>
              <w:jc w:val="both"/>
              <w:rPr>
                <w:rFonts w:asciiTheme="minorHAnsi" w:hAnsiTheme="minorHAnsi" w:cstheme="minorHAnsi"/>
                <w:sz w:val="24"/>
                <w:szCs w:val="24"/>
              </w:rPr>
            </w:pPr>
            <w:r w:rsidRPr="00495272">
              <w:rPr>
                <w:rFonts w:asciiTheme="minorHAnsi" w:hAnsiTheme="minorHAnsi" w:cstheme="minorHAnsi"/>
                <w:sz w:val="24"/>
                <w:szCs w:val="24"/>
              </w:rPr>
              <w:t>Linia zabudowy</w:t>
            </w:r>
          </w:p>
        </w:tc>
        <w:tc>
          <w:tcPr>
            <w:tcW w:w="10206" w:type="dxa"/>
            <w:tcBorders>
              <w:left w:val="dotted" w:sz="4" w:space="0" w:color="auto"/>
              <w:bottom w:val="single" w:sz="2" w:space="0" w:color="auto"/>
            </w:tcBorders>
          </w:tcPr>
          <w:p w14:paraId="5008873F" w14:textId="12DADBB3" w:rsidR="00C979A2" w:rsidRPr="00495272" w:rsidRDefault="00495272" w:rsidP="00384E31">
            <w:pPr>
              <w:spacing w:after="120"/>
              <w:jc w:val="both"/>
              <w:rPr>
                <w:rFonts w:asciiTheme="minorHAnsi" w:hAnsiTheme="minorHAnsi" w:cstheme="minorHAnsi"/>
                <w:sz w:val="24"/>
                <w:szCs w:val="24"/>
              </w:rPr>
            </w:pPr>
            <w:r w:rsidRPr="00495272">
              <w:rPr>
                <w:rFonts w:asciiTheme="minorHAnsi" w:hAnsiTheme="minorHAnsi" w:cstheme="minorHAnsi"/>
                <w:sz w:val="24"/>
                <w:szCs w:val="24"/>
              </w:rPr>
              <w:t>zgodnie z § 4 ust. 4:</w:t>
            </w:r>
            <w:r w:rsidRPr="00495272">
              <w:rPr>
                <w:rFonts w:asciiTheme="minorHAnsi" w:hAnsiTheme="minorHAnsi" w:cstheme="minorHAnsi"/>
                <w:szCs w:val="28"/>
              </w:rPr>
              <w:t xml:space="preserve"> </w:t>
            </w:r>
            <w:r w:rsidRPr="00495272">
              <w:rPr>
                <w:rFonts w:asciiTheme="minorHAnsi" w:hAnsiTheme="minorHAnsi" w:cstheme="minorHAnsi"/>
                <w:sz w:val="24"/>
                <w:szCs w:val="24"/>
              </w:rPr>
              <w:t>wyznaczona w odległości 6,0 m od granicy planowanej drogi wewnętrznej, oznaczonej symbolem D na załączniku nr 1 do decyzji, tj. ca 13,5 m od zewnętrznej krawędzi jezdni drogi powiatowej – ul. Śremskiej.</w:t>
            </w:r>
          </w:p>
        </w:tc>
      </w:tr>
      <w:tr w:rsidR="00C979A2" w:rsidRPr="00633564" w14:paraId="348EEF59" w14:textId="77777777" w:rsidTr="00384E31">
        <w:trPr>
          <w:cantSplit/>
        </w:trPr>
        <w:tc>
          <w:tcPr>
            <w:tcW w:w="3544" w:type="dxa"/>
            <w:tcBorders>
              <w:top w:val="single" w:sz="2" w:space="0" w:color="auto"/>
              <w:bottom w:val="single" w:sz="2" w:space="0" w:color="auto"/>
              <w:right w:val="dotted" w:sz="4" w:space="0" w:color="auto"/>
            </w:tcBorders>
            <w:vAlign w:val="center"/>
          </w:tcPr>
          <w:p w14:paraId="1DE24380" w14:textId="77777777" w:rsidR="00C979A2" w:rsidRPr="00495272" w:rsidRDefault="00C979A2" w:rsidP="00384E31">
            <w:pPr>
              <w:spacing w:after="120"/>
              <w:jc w:val="both"/>
              <w:rPr>
                <w:rFonts w:asciiTheme="minorHAnsi" w:eastAsia="Times New Roman" w:hAnsiTheme="minorHAnsi" w:cstheme="minorHAnsi"/>
                <w:sz w:val="24"/>
                <w:szCs w:val="24"/>
                <w:lang w:eastAsia="pl-PL"/>
              </w:rPr>
            </w:pPr>
            <w:r w:rsidRPr="00495272">
              <w:rPr>
                <w:rFonts w:asciiTheme="minorHAnsi" w:hAnsiTheme="minorHAnsi" w:cstheme="minorHAnsi"/>
                <w:sz w:val="24"/>
                <w:szCs w:val="24"/>
              </w:rPr>
              <w:t>Wskaźnik wielkości powierzchni nowej zabudowy w stosunku do powierzchni terenu</w:t>
            </w:r>
          </w:p>
        </w:tc>
        <w:tc>
          <w:tcPr>
            <w:tcW w:w="10206" w:type="dxa"/>
            <w:tcBorders>
              <w:top w:val="single" w:sz="2" w:space="0" w:color="auto"/>
              <w:left w:val="dotted" w:sz="4" w:space="0" w:color="auto"/>
              <w:bottom w:val="single" w:sz="2" w:space="0" w:color="auto"/>
            </w:tcBorders>
          </w:tcPr>
          <w:p w14:paraId="6D62745F" w14:textId="77777777" w:rsidR="00C979A2" w:rsidRDefault="00495272" w:rsidP="00384E31">
            <w:pPr>
              <w:spacing w:after="120"/>
              <w:jc w:val="both"/>
              <w:rPr>
                <w:rFonts w:asciiTheme="minorHAnsi" w:hAnsiTheme="minorHAnsi" w:cstheme="minorHAnsi"/>
                <w:sz w:val="24"/>
                <w:szCs w:val="24"/>
              </w:rPr>
            </w:pPr>
            <w:r w:rsidRPr="00495272">
              <w:rPr>
                <w:rFonts w:asciiTheme="minorHAnsi" w:hAnsiTheme="minorHAnsi" w:cstheme="minorHAnsi"/>
                <w:sz w:val="24"/>
                <w:szCs w:val="24"/>
              </w:rPr>
              <w:t>zgodnie z § 5 ust. 2:</w:t>
            </w:r>
            <w:r w:rsidRPr="00495272">
              <w:rPr>
                <w:rFonts w:asciiTheme="minorHAnsi" w:hAnsiTheme="minorHAnsi" w:cstheme="minorHAnsi"/>
              </w:rPr>
              <w:t xml:space="preserve"> </w:t>
            </w:r>
            <w:r w:rsidRPr="00495272">
              <w:rPr>
                <w:rFonts w:asciiTheme="minorHAnsi" w:hAnsiTheme="minorHAnsi" w:cstheme="minorHAnsi"/>
                <w:sz w:val="24"/>
                <w:szCs w:val="24"/>
              </w:rPr>
              <w:t>w inny sposób, jeżeli wynika to z analizy. Średni wskaźnik w obszarze analizowanym wynosi 14,9 %, przy czym w obszarze analizowanym waha się pomiędzy 2,0 % a 26,6 %. Planowana inwestycja charakteryzuje się wskaźnikiem dla nowo wydzielonych działek na poziomie od 9,3 % do 16,1 %. Wskaźniki te są pośrednimi wśród wskaźników istniejących w obszarze analizowanym, bowiem wskaźnik na działkach o nr ewid.: 146; 144/7; 420; 418/2; 418/1; 414/1, 415/1, 413/3, 414/4; 215/3; 412; 410; 216/1; 217/1; 217/3; 409; 408, wynosi odpowiednio: 15,8 %, 2,0 %, 19,4 %, 8,2 %, 7,8 %, 17,8 %, 11,1 %, 14,3 %, 13,5 %, 16,7 %, 17,1 %, 22,0 %, 26,6 %, 16,8 %. Planowane budynki o powierzchni ca 100-160 m</w:t>
            </w:r>
            <w:r w:rsidRPr="00495272">
              <w:rPr>
                <w:rFonts w:asciiTheme="minorHAnsi" w:hAnsiTheme="minorHAnsi" w:cstheme="minorHAnsi"/>
                <w:sz w:val="24"/>
                <w:szCs w:val="24"/>
                <w:vertAlign w:val="superscript"/>
              </w:rPr>
              <w:t xml:space="preserve">2 </w:t>
            </w:r>
            <w:r w:rsidRPr="00495272">
              <w:rPr>
                <w:rFonts w:asciiTheme="minorHAnsi" w:hAnsiTheme="minorHAnsi" w:cstheme="minorHAnsi"/>
                <w:sz w:val="24"/>
                <w:szCs w:val="24"/>
              </w:rPr>
              <w:t>są budynkami zbliżonymi powierzchnią do występujących w obszarze analizowanym, np. na działkach o nr ewid.: 146; 144/7; 418/2; 418/1; 414/1, 415/1, 413/3, 414/4; 412; 410; 216/1; 217/1; 409; 408 budynki mieszkalne mają powierzchnie odpowiednio: 136 m</w:t>
            </w:r>
            <w:r w:rsidRPr="00495272">
              <w:rPr>
                <w:rFonts w:asciiTheme="minorHAnsi" w:hAnsiTheme="minorHAnsi" w:cstheme="minorHAnsi"/>
                <w:sz w:val="24"/>
                <w:szCs w:val="24"/>
                <w:vertAlign w:val="superscript"/>
              </w:rPr>
              <w:t>2</w:t>
            </w:r>
            <w:r w:rsidRPr="00495272">
              <w:rPr>
                <w:rFonts w:asciiTheme="minorHAnsi" w:hAnsiTheme="minorHAnsi" w:cstheme="minorHAnsi"/>
                <w:sz w:val="24"/>
                <w:szCs w:val="24"/>
              </w:rPr>
              <w:t>, 102 m</w:t>
            </w:r>
            <w:r w:rsidRPr="00495272">
              <w:rPr>
                <w:rFonts w:asciiTheme="minorHAnsi" w:hAnsiTheme="minorHAnsi" w:cstheme="minorHAnsi"/>
                <w:sz w:val="24"/>
                <w:szCs w:val="24"/>
                <w:vertAlign w:val="superscript"/>
              </w:rPr>
              <w:t>2</w:t>
            </w:r>
            <w:r w:rsidRPr="00495272">
              <w:rPr>
                <w:rFonts w:asciiTheme="minorHAnsi" w:hAnsiTheme="minorHAnsi" w:cstheme="minorHAnsi"/>
                <w:sz w:val="24"/>
                <w:szCs w:val="24"/>
              </w:rPr>
              <w:t>, 108 m</w:t>
            </w:r>
            <w:r w:rsidRPr="00495272">
              <w:rPr>
                <w:rFonts w:asciiTheme="minorHAnsi" w:hAnsiTheme="minorHAnsi" w:cstheme="minorHAnsi"/>
                <w:sz w:val="24"/>
                <w:szCs w:val="24"/>
                <w:vertAlign w:val="superscript"/>
              </w:rPr>
              <w:t>2</w:t>
            </w:r>
            <w:r w:rsidRPr="00495272">
              <w:rPr>
                <w:rFonts w:asciiTheme="minorHAnsi" w:hAnsiTheme="minorHAnsi" w:cstheme="minorHAnsi"/>
                <w:sz w:val="24"/>
                <w:szCs w:val="24"/>
              </w:rPr>
              <w:t>, 105 m</w:t>
            </w:r>
            <w:r w:rsidRPr="00495272">
              <w:rPr>
                <w:rFonts w:asciiTheme="minorHAnsi" w:hAnsiTheme="minorHAnsi" w:cstheme="minorHAnsi"/>
                <w:sz w:val="24"/>
                <w:szCs w:val="24"/>
                <w:vertAlign w:val="superscript"/>
              </w:rPr>
              <w:t>2</w:t>
            </w:r>
            <w:r w:rsidRPr="00495272">
              <w:rPr>
                <w:rFonts w:asciiTheme="minorHAnsi" w:hAnsiTheme="minorHAnsi" w:cstheme="minorHAnsi"/>
                <w:sz w:val="24"/>
                <w:szCs w:val="24"/>
              </w:rPr>
              <w:t>, 137 m</w:t>
            </w:r>
            <w:r w:rsidRPr="00495272">
              <w:rPr>
                <w:rFonts w:asciiTheme="minorHAnsi" w:hAnsiTheme="minorHAnsi" w:cstheme="minorHAnsi"/>
                <w:sz w:val="24"/>
                <w:szCs w:val="24"/>
                <w:vertAlign w:val="superscript"/>
              </w:rPr>
              <w:t>2</w:t>
            </w:r>
            <w:r w:rsidRPr="00495272">
              <w:rPr>
                <w:rFonts w:asciiTheme="minorHAnsi" w:hAnsiTheme="minorHAnsi" w:cstheme="minorHAnsi"/>
                <w:sz w:val="24"/>
                <w:szCs w:val="24"/>
              </w:rPr>
              <w:t>, 153 m</w:t>
            </w:r>
            <w:r w:rsidRPr="00495272">
              <w:rPr>
                <w:rFonts w:asciiTheme="minorHAnsi" w:hAnsiTheme="minorHAnsi" w:cstheme="minorHAnsi"/>
                <w:sz w:val="24"/>
                <w:szCs w:val="24"/>
                <w:vertAlign w:val="superscript"/>
              </w:rPr>
              <w:t>2</w:t>
            </w:r>
            <w:r w:rsidRPr="00495272">
              <w:rPr>
                <w:rFonts w:asciiTheme="minorHAnsi" w:hAnsiTheme="minorHAnsi" w:cstheme="minorHAnsi"/>
                <w:sz w:val="24"/>
                <w:szCs w:val="24"/>
              </w:rPr>
              <w:t>, 111 m</w:t>
            </w:r>
            <w:r w:rsidRPr="00495272">
              <w:rPr>
                <w:rFonts w:asciiTheme="minorHAnsi" w:hAnsiTheme="minorHAnsi" w:cstheme="minorHAnsi"/>
                <w:sz w:val="24"/>
                <w:szCs w:val="24"/>
                <w:vertAlign w:val="superscript"/>
              </w:rPr>
              <w:t>2</w:t>
            </w:r>
            <w:r w:rsidRPr="00495272">
              <w:rPr>
                <w:rFonts w:asciiTheme="minorHAnsi" w:hAnsiTheme="minorHAnsi" w:cstheme="minorHAnsi"/>
                <w:sz w:val="24"/>
                <w:szCs w:val="24"/>
              </w:rPr>
              <w:t>, 156 m</w:t>
            </w:r>
            <w:r w:rsidRPr="00495272">
              <w:rPr>
                <w:rFonts w:asciiTheme="minorHAnsi" w:hAnsiTheme="minorHAnsi" w:cstheme="minorHAnsi"/>
                <w:sz w:val="24"/>
                <w:szCs w:val="24"/>
                <w:vertAlign w:val="superscript"/>
              </w:rPr>
              <w:t>2</w:t>
            </w:r>
            <w:r w:rsidRPr="00495272">
              <w:rPr>
                <w:rFonts w:asciiTheme="minorHAnsi" w:hAnsiTheme="minorHAnsi" w:cstheme="minorHAnsi"/>
                <w:sz w:val="24"/>
                <w:szCs w:val="24"/>
              </w:rPr>
              <w:t>, 105 m</w:t>
            </w:r>
            <w:r w:rsidRPr="00495272">
              <w:rPr>
                <w:rFonts w:asciiTheme="minorHAnsi" w:hAnsiTheme="minorHAnsi" w:cstheme="minorHAnsi"/>
                <w:sz w:val="24"/>
                <w:szCs w:val="24"/>
                <w:vertAlign w:val="superscript"/>
              </w:rPr>
              <w:t>2</w:t>
            </w:r>
            <w:r w:rsidRPr="00495272">
              <w:rPr>
                <w:rFonts w:asciiTheme="minorHAnsi" w:hAnsiTheme="minorHAnsi" w:cstheme="minorHAnsi"/>
                <w:sz w:val="24"/>
                <w:szCs w:val="24"/>
              </w:rPr>
              <w:t>, 102 m</w:t>
            </w:r>
            <w:r w:rsidRPr="00495272">
              <w:rPr>
                <w:rFonts w:asciiTheme="minorHAnsi" w:hAnsiTheme="minorHAnsi" w:cstheme="minorHAnsi"/>
                <w:sz w:val="24"/>
                <w:szCs w:val="24"/>
                <w:vertAlign w:val="superscript"/>
              </w:rPr>
              <w:t>2</w:t>
            </w:r>
            <w:r w:rsidRPr="00495272">
              <w:rPr>
                <w:rFonts w:asciiTheme="minorHAnsi" w:hAnsiTheme="minorHAnsi" w:cstheme="minorHAnsi"/>
                <w:sz w:val="24"/>
                <w:szCs w:val="24"/>
              </w:rPr>
              <w:t>, 189 m</w:t>
            </w:r>
            <w:r w:rsidRPr="00495272">
              <w:rPr>
                <w:rFonts w:asciiTheme="minorHAnsi" w:hAnsiTheme="minorHAnsi" w:cstheme="minorHAnsi"/>
                <w:sz w:val="24"/>
                <w:szCs w:val="24"/>
                <w:vertAlign w:val="superscript"/>
              </w:rPr>
              <w:t>2</w:t>
            </w:r>
            <w:r w:rsidRPr="00495272">
              <w:rPr>
                <w:rFonts w:asciiTheme="minorHAnsi" w:hAnsiTheme="minorHAnsi" w:cstheme="minorHAnsi"/>
                <w:sz w:val="24"/>
                <w:szCs w:val="24"/>
              </w:rPr>
              <w:t>, 102 m</w:t>
            </w:r>
            <w:r w:rsidRPr="00495272">
              <w:rPr>
                <w:rFonts w:asciiTheme="minorHAnsi" w:hAnsiTheme="minorHAnsi" w:cstheme="minorHAnsi"/>
                <w:sz w:val="24"/>
                <w:szCs w:val="24"/>
                <w:vertAlign w:val="superscript"/>
              </w:rPr>
              <w:t>2</w:t>
            </w:r>
            <w:r w:rsidRPr="00495272">
              <w:rPr>
                <w:rFonts w:asciiTheme="minorHAnsi" w:hAnsiTheme="minorHAnsi" w:cstheme="minorHAnsi"/>
                <w:sz w:val="24"/>
                <w:szCs w:val="24"/>
              </w:rPr>
              <w:t>. Z tego względu, przy uwzględnieniu uwarunkowań zaistniałych w obszarze poddanym analizie, wskaźnik powierzchni nowej zabudowy ustalono na poziomie od 11,1 % do 13,5 %  powierzchni każdego z terenów oznaczonych symbolami A, B, C.</w:t>
            </w:r>
          </w:p>
          <w:p w14:paraId="21BC803D" w14:textId="77777777" w:rsidR="001702A4" w:rsidRPr="001702A4" w:rsidRDefault="001702A4" w:rsidP="001702A4">
            <w:pPr>
              <w:rPr>
                <w:rFonts w:asciiTheme="minorHAnsi" w:hAnsiTheme="minorHAnsi" w:cstheme="minorHAnsi"/>
                <w:szCs w:val="28"/>
              </w:rPr>
            </w:pPr>
          </w:p>
          <w:p w14:paraId="5B478E4D" w14:textId="77777777" w:rsidR="001702A4" w:rsidRPr="001702A4" w:rsidRDefault="001702A4" w:rsidP="001702A4">
            <w:pPr>
              <w:rPr>
                <w:rFonts w:asciiTheme="minorHAnsi" w:hAnsiTheme="minorHAnsi" w:cstheme="minorHAnsi"/>
                <w:szCs w:val="28"/>
              </w:rPr>
            </w:pPr>
          </w:p>
          <w:p w14:paraId="0744DE1F" w14:textId="77777777" w:rsidR="001702A4" w:rsidRPr="001702A4" w:rsidRDefault="001702A4" w:rsidP="001702A4">
            <w:pPr>
              <w:rPr>
                <w:rFonts w:asciiTheme="minorHAnsi" w:hAnsiTheme="minorHAnsi" w:cstheme="minorHAnsi"/>
                <w:szCs w:val="28"/>
              </w:rPr>
            </w:pPr>
          </w:p>
          <w:p w14:paraId="30C0DE61" w14:textId="77777777" w:rsidR="001702A4" w:rsidRDefault="001702A4" w:rsidP="001702A4">
            <w:pPr>
              <w:rPr>
                <w:rFonts w:asciiTheme="minorHAnsi" w:hAnsiTheme="minorHAnsi" w:cstheme="minorHAnsi"/>
                <w:sz w:val="24"/>
                <w:szCs w:val="24"/>
              </w:rPr>
            </w:pPr>
          </w:p>
          <w:p w14:paraId="4FF82DBC" w14:textId="77777777" w:rsidR="001702A4" w:rsidRPr="001702A4" w:rsidRDefault="001702A4" w:rsidP="001702A4">
            <w:pPr>
              <w:rPr>
                <w:rFonts w:asciiTheme="minorHAnsi" w:hAnsiTheme="minorHAnsi" w:cstheme="minorHAnsi"/>
                <w:szCs w:val="28"/>
              </w:rPr>
            </w:pPr>
          </w:p>
          <w:p w14:paraId="248D236D" w14:textId="77777777" w:rsidR="001702A4" w:rsidRDefault="001702A4" w:rsidP="001702A4">
            <w:pPr>
              <w:rPr>
                <w:rFonts w:asciiTheme="minorHAnsi" w:hAnsiTheme="minorHAnsi" w:cstheme="minorHAnsi"/>
                <w:sz w:val="24"/>
                <w:szCs w:val="24"/>
              </w:rPr>
            </w:pPr>
          </w:p>
          <w:p w14:paraId="486555E2" w14:textId="77777777" w:rsidR="001702A4" w:rsidRDefault="001702A4" w:rsidP="001702A4">
            <w:pPr>
              <w:rPr>
                <w:rFonts w:asciiTheme="minorHAnsi" w:hAnsiTheme="minorHAnsi" w:cstheme="minorHAnsi"/>
                <w:sz w:val="24"/>
                <w:szCs w:val="24"/>
              </w:rPr>
            </w:pPr>
          </w:p>
          <w:p w14:paraId="0C445574" w14:textId="7FA57AEE" w:rsidR="001702A4" w:rsidRPr="001702A4" w:rsidRDefault="001702A4" w:rsidP="001702A4">
            <w:pPr>
              <w:jc w:val="center"/>
              <w:rPr>
                <w:rFonts w:asciiTheme="minorHAnsi" w:hAnsiTheme="minorHAnsi" w:cstheme="minorHAnsi"/>
                <w:szCs w:val="28"/>
              </w:rPr>
            </w:pPr>
          </w:p>
        </w:tc>
      </w:tr>
      <w:tr w:rsidR="00C979A2" w:rsidRPr="00633564" w14:paraId="79F31904" w14:textId="77777777" w:rsidTr="00384E31">
        <w:trPr>
          <w:cantSplit/>
        </w:trPr>
        <w:tc>
          <w:tcPr>
            <w:tcW w:w="3544" w:type="dxa"/>
            <w:tcBorders>
              <w:top w:val="single" w:sz="2" w:space="0" w:color="auto"/>
              <w:bottom w:val="single" w:sz="2" w:space="0" w:color="auto"/>
              <w:right w:val="dotted" w:sz="4" w:space="0" w:color="auto"/>
            </w:tcBorders>
            <w:vAlign w:val="center"/>
          </w:tcPr>
          <w:p w14:paraId="6A81099D" w14:textId="77777777" w:rsidR="00C979A2" w:rsidRPr="00495272" w:rsidRDefault="00C979A2" w:rsidP="00384E31">
            <w:pPr>
              <w:spacing w:after="120"/>
              <w:rPr>
                <w:rFonts w:asciiTheme="minorHAnsi" w:eastAsia="Times New Roman" w:hAnsiTheme="minorHAnsi" w:cstheme="minorHAnsi"/>
                <w:sz w:val="24"/>
                <w:szCs w:val="24"/>
                <w:lang w:eastAsia="pl-PL"/>
              </w:rPr>
            </w:pPr>
            <w:bookmarkStart w:id="6" w:name="mip10826116"/>
            <w:bookmarkEnd w:id="6"/>
            <w:r w:rsidRPr="00495272">
              <w:rPr>
                <w:rFonts w:asciiTheme="minorHAnsi" w:eastAsia="Times New Roman" w:hAnsiTheme="minorHAnsi" w:cstheme="minorHAnsi"/>
                <w:sz w:val="24"/>
                <w:szCs w:val="24"/>
                <w:lang w:eastAsia="pl-PL"/>
              </w:rPr>
              <w:lastRenderedPageBreak/>
              <w:t>Szerokość elewacji frontowej budynku</w:t>
            </w:r>
          </w:p>
        </w:tc>
        <w:tc>
          <w:tcPr>
            <w:tcW w:w="10206" w:type="dxa"/>
            <w:tcBorders>
              <w:top w:val="single" w:sz="2" w:space="0" w:color="auto"/>
              <w:left w:val="dotted" w:sz="4" w:space="0" w:color="auto"/>
              <w:bottom w:val="single" w:sz="2" w:space="0" w:color="auto"/>
            </w:tcBorders>
          </w:tcPr>
          <w:p w14:paraId="735AB588" w14:textId="583827D7" w:rsidR="00C979A2" w:rsidRPr="00495272" w:rsidRDefault="00495272" w:rsidP="00384E31">
            <w:pPr>
              <w:spacing w:after="120"/>
              <w:jc w:val="both"/>
              <w:rPr>
                <w:rFonts w:asciiTheme="minorHAnsi" w:hAnsiTheme="minorHAnsi" w:cstheme="minorHAnsi"/>
                <w:sz w:val="24"/>
                <w:szCs w:val="24"/>
              </w:rPr>
            </w:pPr>
            <w:r w:rsidRPr="00495272">
              <w:rPr>
                <w:rFonts w:asciiTheme="minorHAnsi" w:hAnsiTheme="minorHAnsi" w:cstheme="minorHAnsi"/>
                <w:sz w:val="24"/>
                <w:szCs w:val="24"/>
              </w:rPr>
              <w:t>zgodnie z § 6 ust. 1: na podstawie średniej szerokości elewacji frontowych budynków występujących w obszarze analizowanym z tolerancją ±20 %, przy średniej szerokości elewacji wynoszącej 11,6 m, budynki powinny charakteryzować się szerokościami elewacji frontowej od 9,3 m do 13,9 m. Wnioskowana szerokość elewacji (od 10,0 m do 15,0 m) nie mieści się w ramach standardowo wyznaczonej wielkości, ale mieści się w przedziale szerokości występujących w obszarze analizowanym: od 3,5 m do 32,2 m. Szerokości elewacji budynków mieszkalnych na działkach w obszarze analizowanym o nr ewid.: 146; 144/7; 420; 418/2; 418/1; 414/1, 415/1, 413/3, 414/4; 412; 410; 216/1; 217/1; 409; 408,  wynoszą odpowiednio: 14,1 m i 8,6 m, 9,2 m, 9,9 m, 8,1 m, 8,0 m, 13,5 m, 17,0 m, 11,3 m, 12,1 m, 10,1 m, 10,7 m, 14,0 m, 11,8 m. Szerokość projektowanego budynku ze względu na zróżnicowanie istniejącej zabudowy oraz na fakt, iż powinien charakteryzować się szerokością pośrednią wśród budynków występujących w sąsiedztwie, ustalono na poziomie 11,6 m ± 20 % (czyli od 9,3 m do 13,9 m) dla każdego z terenów oznaczonych symbolami A, B, C.</w:t>
            </w:r>
          </w:p>
        </w:tc>
      </w:tr>
      <w:tr w:rsidR="00C979A2" w:rsidRPr="00633564" w14:paraId="49ABF887" w14:textId="77777777" w:rsidTr="00384E31">
        <w:trPr>
          <w:cantSplit/>
        </w:trPr>
        <w:tc>
          <w:tcPr>
            <w:tcW w:w="3544" w:type="dxa"/>
            <w:tcBorders>
              <w:top w:val="single" w:sz="2" w:space="0" w:color="auto"/>
              <w:bottom w:val="single" w:sz="2" w:space="0" w:color="auto"/>
              <w:right w:val="dotted" w:sz="4" w:space="0" w:color="auto"/>
            </w:tcBorders>
            <w:vAlign w:val="center"/>
          </w:tcPr>
          <w:p w14:paraId="7E139CF8" w14:textId="77777777" w:rsidR="00C979A2" w:rsidRPr="00495272" w:rsidRDefault="00C979A2" w:rsidP="00384E31">
            <w:pPr>
              <w:spacing w:after="120"/>
              <w:jc w:val="both"/>
              <w:rPr>
                <w:rFonts w:asciiTheme="minorHAnsi" w:hAnsiTheme="minorHAnsi" w:cstheme="minorHAnsi"/>
                <w:sz w:val="24"/>
                <w:szCs w:val="24"/>
              </w:rPr>
            </w:pPr>
            <w:r w:rsidRPr="00495272">
              <w:rPr>
                <w:rFonts w:asciiTheme="minorHAnsi" w:hAnsiTheme="minorHAnsi" w:cstheme="minorHAnsi"/>
                <w:sz w:val="24"/>
                <w:szCs w:val="24"/>
              </w:rPr>
              <w:t>Wysokość górnej krawędzi elewacji frontowej, jej gzymsu lub attyki</w:t>
            </w:r>
          </w:p>
        </w:tc>
        <w:tc>
          <w:tcPr>
            <w:tcW w:w="10206" w:type="dxa"/>
            <w:tcBorders>
              <w:top w:val="single" w:sz="2" w:space="0" w:color="auto"/>
              <w:left w:val="dotted" w:sz="4" w:space="0" w:color="auto"/>
              <w:bottom w:val="single" w:sz="2" w:space="0" w:color="auto"/>
            </w:tcBorders>
          </w:tcPr>
          <w:p w14:paraId="5179D34C" w14:textId="1F105DFC" w:rsidR="00C979A2" w:rsidRPr="00495272" w:rsidRDefault="00495272" w:rsidP="00384E31">
            <w:pPr>
              <w:spacing w:after="120"/>
              <w:jc w:val="both"/>
              <w:rPr>
                <w:rFonts w:asciiTheme="minorHAnsi" w:hAnsiTheme="minorHAnsi" w:cstheme="minorHAnsi"/>
                <w:szCs w:val="28"/>
              </w:rPr>
            </w:pPr>
            <w:r w:rsidRPr="00495272">
              <w:rPr>
                <w:rFonts w:asciiTheme="minorHAnsi" w:hAnsiTheme="minorHAnsi" w:cstheme="minorHAnsi"/>
                <w:sz w:val="24"/>
                <w:szCs w:val="24"/>
              </w:rPr>
              <w:t>zgodnie z § 7 ust. 4: w inny sposób (na podstawie wysokości istniejących budynków w obszarze analizowanym), jeżeli wynika to z analizy. Wysokość górnej krawędzi elewacji frontowej budynków mieszkalnych z dachami dwuspadowymi usytuowanych kalenicowo do frontu działki występująca na działce o nr ewid. 144/7 wynosi 3,0 m, na działkach o nr ewid. 414/1, 415/1, 413/3, 414/4; 215/3; 412 wynoszą 3,5 m, na działce o nr ewid. 408 wynosi 4,5 m, na działce o nr ewid. 216/1 wynosi 6,5 m, a na działkach o nr ewid. 418/1, 418/2 wynoszą 7,0 m. Wysokość górnej krawędzi elewacji frontowej budynków mieszkalnych z dachami dwuspadowymi usytuowanych szczytowo do frontu działki występująca na działkach o nr ewid. 420 i 410,  wynoszą odpowiednio 6,5 m i 8,0 m.  W przypadku tych budynków wysokość elewacji frontowej jest równa wysokości głównej kalenicy. Natomiast wysokość górnej krawędzi elewacji frontowej budynku mieszkalnego z dachem tzw. płaskimi (do 12°) na działce o nr ewid. 146 wynosi 6,0 m. W obszarze analizowanym występują również budynki gospodarcze i gospodarczo-garażowe, których wysokość górnej krawędzi elewacji frontowej oscyluje od 2,5 m do 8,0 m Projektowany budynek, z wysokością elewacji frontowej od 3,0 m do 4,0 m, charakteryzuje się wysokością zbliżoną do występujących w obszarze analizowanym. Ponadto budynek na działce o nr ewid. 215/3, obręb Mórka, który położony jest przy tej samej ulicy charakteryzuje się wysokością 3,5 m. W związku z powyższym wysokość górnej krawędzi elewacji frontowej ustalono na podstawie wysokości występujących w obszarze analizowanym, czyli od 3,0 m do 4,0 m, dla każdego z terenów oznaczonych symbolami A, B, C.</w:t>
            </w:r>
          </w:p>
        </w:tc>
      </w:tr>
      <w:tr w:rsidR="00C979A2" w:rsidRPr="00633564" w14:paraId="37F7ACDE" w14:textId="77777777" w:rsidTr="00384E31">
        <w:trPr>
          <w:cantSplit/>
        </w:trPr>
        <w:tc>
          <w:tcPr>
            <w:tcW w:w="13750" w:type="dxa"/>
            <w:gridSpan w:val="2"/>
            <w:tcBorders>
              <w:top w:val="single" w:sz="2" w:space="0" w:color="auto"/>
              <w:bottom w:val="dotted" w:sz="4" w:space="0" w:color="auto"/>
            </w:tcBorders>
            <w:vAlign w:val="center"/>
          </w:tcPr>
          <w:p w14:paraId="656A3ECA" w14:textId="77777777" w:rsidR="00C979A2" w:rsidRPr="00495272" w:rsidRDefault="00C979A2" w:rsidP="00384E31">
            <w:pPr>
              <w:spacing w:after="120"/>
              <w:jc w:val="both"/>
              <w:rPr>
                <w:rFonts w:asciiTheme="minorHAnsi" w:hAnsiTheme="minorHAnsi" w:cstheme="minorHAnsi"/>
                <w:sz w:val="24"/>
                <w:szCs w:val="24"/>
              </w:rPr>
            </w:pPr>
            <w:r w:rsidRPr="00495272">
              <w:rPr>
                <w:rFonts w:asciiTheme="minorHAnsi" w:hAnsiTheme="minorHAnsi" w:cstheme="minorHAnsi"/>
                <w:sz w:val="24"/>
                <w:szCs w:val="24"/>
              </w:rPr>
              <w:t>Geometria dachu ustalona odpowiednio do geometrii dachów występujących na obszarze analizowanym</w:t>
            </w:r>
          </w:p>
        </w:tc>
      </w:tr>
      <w:tr w:rsidR="00495272" w:rsidRPr="00633564" w14:paraId="117AF266" w14:textId="77777777" w:rsidTr="00384E31">
        <w:trPr>
          <w:cantSplit/>
        </w:trPr>
        <w:tc>
          <w:tcPr>
            <w:tcW w:w="3544" w:type="dxa"/>
            <w:tcBorders>
              <w:top w:val="dotted" w:sz="4" w:space="0" w:color="auto"/>
              <w:bottom w:val="dotted" w:sz="4" w:space="0" w:color="auto"/>
              <w:right w:val="dotted" w:sz="4" w:space="0" w:color="auto"/>
            </w:tcBorders>
            <w:vAlign w:val="center"/>
          </w:tcPr>
          <w:p w14:paraId="33AF8030" w14:textId="77777777" w:rsidR="00495272" w:rsidRPr="00495272" w:rsidRDefault="00495272" w:rsidP="00495272">
            <w:pPr>
              <w:spacing w:after="120"/>
              <w:jc w:val="both"/>
              <w:rPr>
                <w:rFonts w:asciiTheme="minorHAnsi" w:hAnsiTheme="minorHAnsi" w:cstheme="minorHAnsi"/>
                <w:sz w:val="24"/>
                <w:szCs w:val="24"/>
              </w:rPr>
            </w:pPr>
            <w:r w:rsidRPr="00495272">
              <w:rPr>
                <w:rFonts w:asciiTheme="minorHAnsi" w:hAnsiTheme="minorHAnsi" w:cstheme="minorHAnsi"/>
                <w:sz w:val="24"/>
                <w:szCs w:val="24"/>
              </w:rPr>
              <w:lastRenderedPageBreak/>
              <w:t>kąt nachylenia</w:t>
            </w:r>
          </w:p>
        </w:tc>
        <w:tc>
          <w:tcPr>
            <w:tcW w:w="10206" w:type="dxa"/>
            <w:tcBorders>
              <w:top w:val="dotted" w:sz="4" w:space="0" w:color="auto"/>
              <w:left w:val="dotted" w:sz="4" w:space="0" w:color="auto"/>
              <w:bottom w:val="dotted" w:sz="4" w:space="0" w:color="auto"/>
            </w:tcBorders>
            <w:vAlign w:val="center"/>
          </w:tcPr>
          <w:p w14:paraId="6ED58C79" w14:textId="52E98800" w:rsidR="00495272" w:rsidRPr="00495272" w:rsidRDefault="00495272" w:rsidP="00495272">
            <w:pPr>
              <w:spacing w:after="120"/>
              <w:jc w:val="both"/>
              <w:rPr>
                <w:rFonts w:asciiTheme="minorHAnsi" w:hAnsiTheme="minorHAnsi" w:cstheme="minorHAnsi"/>
                <w:sz w:val="24"/>
                <w:szCs w:val="24"/>
              </w:rPr>
            </w:pPr>
            <w:r w:rsidRPr="00495272">
              <w:rPr>
                <w:rFonts w:asciiTheme="minorHAnsi" w:hAnsiTheme="minorHAnsi" w:cstheme="minorHAnsi"/>
                <w:sz w:val="24"/>
                <w:szCs w:val="24"/>
              </w:rPr>
              <w:t>od 35° do 45°  – w obszarze analizowanym występują dachy jedno- i dwuspadowe o kącie nachylenia od 12° do 45° oraz tzw. płaskie o kącie nachylenia do 12°</w:t>
            </w:r>
          </w:p>
        </w:tc>
      </w:tr>
      <w:tr w:rsidR="00495272" w:rsidRPr="00633564" w14:paraId="02AEDE5A" w14:textId="77777777" w:rsidTr="00384E31">
        <w:trPr>
          <w:cantSplit/>
        </w:trPr>
        <w:tc>
          <w:tcPr>
            <w:tcW w:w="3544" w:type="dxa"/>
            <w:tcBorders>
              <w:top w:val="dotted" w:sz="4" w:space="0" w:color="auto"/>
              <w:bottom w:val="dotted" w:sz="4" w:space="0" w:color="auto"/>
              <w:right w:val="dotted" w:sz="4" w:space="0" w:color="auto"/>
            </w:tcBorders>
            <w:vAlign w:val="center"/>
          </w:tcPr>
          <w:p w14:paraId="34B1F105" w14:textId="77777777" w:rsidR="00495272" w:rsidRPr="00495272" w:rsidRDefault="00495272" w:rsidP="00495272">
            <w:pPr>
              <w:spacing w:after="120"/>
              <w:jc w:val="both"/>
              <w:rPr>
                <w:rFonts w:asciiTheme="minorHAnsi" w:hAnsiTheme="minorHAnsi" w:cstheme="minorHAnsi"/>
                <w:sz w:val="24"/>
                <w:szCs w:val="24"/>
              </w:rPr>
            </w:pPr>
            <w:r w:rsidRPr="00495272">
              <w:rPr>
                <w:rFonts w:asciiTheme="minorHAnsi" w:hAnsiTheme="minorHAnsi" w:cstheme="minorHAnsi"/>
                <w:sz w:val="24"/>
                <w:szCs w:val="24"/>
              </w:rPr>
              <w:t>wysokość głównej kalenicy</w:t>
            </w:r>
          </w:p>
        </w:tc>
        <w:tc>
          <w:tcPr>
            <w:tcW w:w="10206" w:type="dxa"/>
            <w:tcBorders>
              <w:top w:val="dotted" w:sz="4" w:space="0" w:color="auto"/>
              <w:left w:val="dotted" w:sz="4" w:space="0" w:color="auto"/>
              <w:bottom w:val="dotted" w:sz="4" w:space="0" w:color="auto"/>
            </w:tcBorders>
            <w:vAlign w:val="center"/>
          </w:tcPr>
          <w:p w14:paraId="29782EF9" w14:textId="5192699F" w:rsidR="00495272" w:rsidRPr="00495272" w:rsidRDefault="00495272" w:rsidP="00495272">
            <w:pPr>
              <w:spacing w:after="120"/>
              <w:jc w:val="both"/>
              <w:rPr>
                <w:rFonts w:asciiTheme="minorHAnsi" w:hAnsiTheme="minorHAnsi" w:cstheme="minorHAnsi"/>
                <w:sz w:val="24"/>
                <w:szCs w:val="24"/>
              </w:rPr>
            </w:pPr>
            <w:r w:rsidRPr="00495272">
              <w:rPr>
                <w:rFonts w:asciiTheme="minorHAnsi" w:hAnsiTheme="minorHAnsi" w:cstheme="minorHAnsi"/>
                <w:sz w:val="24"/>
                <w:szCs w:val="24"/>
              </w:rPr>
              <w:t>od 7,5 m do 8,5 m – wysokości głównej kalenicy budynków w obszarze analizowanym oscylują od 3,0 m do 9,0 m, a wysokości całkowite budynków od 2,5 m do 6,5 m</w:t>
            </w:r>
          </w:p>
        </w:tc>
      </w:tr>
      <w:tr w:rsidR="00495272" w:rsidRPr="00633564" w14:paraId="1BB6EECF" w14:textId="77777777" w:rsidTr="00384E31">
        <w:trPr>
          <w:cantSplit/>
        </w:trPr>
        <w:tc>
          <w:tcPr>
            <w:tcW w:w="3544" w:type="dxa"/>
            <w:tcBorders>
              <w:top w:val="dotted" w:sz="4" w:space="0" w:color="auto"/>
              <w:bottom w:val="dotted" w:sz="4" w:space="0" w:color="auto"/>
              <w:right w:val="dotted" w:sz="4" w:space="0" w:color="auto"/>
            </w:tcBorders>
            <w:vAlign w:val="center"/>
          </w:tcPr>
          <w:p w14:paraId="0994D8A6" w14:textId="77777777" w:rsidR="00495272" w:rsidRPr="00495272" w:rsidRDefault="00495272" w:rsidP="00495272">
            <w:pPr>
              <w:spacing w:after="120"/>
              <w:jc w:val="both"/>
              <w:rPr>
                <w:rFonts w:asciiTheme="minorHAnsi" w:hAnsiTheme="minorHAnsi" w:cstheme="minorHAnsi"/>
                <w:sz w:val="24"/>
                <w:szCs w:val="24"/>
              </w:rPr>
            </w:pPr>
            <w:r w:rsidRPr="00495272">
              <w:rPr>
                <w:rFonts w:asciiTheme="minorHAnsi" w:hAnsiTheme="minorHAnsi" w:cstheme="minorHAnsi"/>
                <w:sz w:val="24"/>
                <w:szCs w:val="24"/>
              </w:rPr>
              <w:t>układ połaci dachowych</w:t>
            </w:r>
          </w:p>
        </w:tc>
        <w:tc>
          <w:tcPr>
            <w:tcW w:w="10206" w:type="dxa"/>
            <w:tcBorders>
              <w:top w:val="dotted" w:sz="4" w:space="0" w:color="auto"/>
              <w:left w:val="dotted" w:sz="4" w:space="0" w:color="auto"/>
              <w:bottom w:val="dotted" w:sz="4" w:space="0" w:color="auto"/>
            </w:tcBorders>
            <w:vAlign w:val="center"/>
          </w:tcPr>
          <w:p w14:paraId="2E480364" w14:textId="65A39856" w:rsidR="00495272" w:rsidRPr="00495272" w:rsidRDefault="00495272" w:rsidP="00495272">
            <w:pPr>
              <w:spacing w:after="120"/>
              <w:jc w:val="both"/>
              <w:rPr>
                <w:rFonts w:asciiTheme="minorHAnsi" w:hAnsiTheme="minorHAnsi" w:cstheme="minorHAnsi"/>
                <w:sz w:val="24"/>
                <w:szCs w:val="24"/>
              </w:rPr>
            </w:pPr>
            <w:r w:rsidRPr="00495272">
              <w:rPr>
                <w:rFonts w:asciiTheme="minorHAnsi" w:hAnsiTheme="minorHAnsi" w:cstheme="minorHAnsi"/>
                <w:sz w:val="24"/>
                <w:szCs w:val="24"/>
              </w:rPr>
              <w:t xml:space="preserve">dwuspadowy </w:t>
            </w:r>
          </w:p>
        </w:tc>
      </w:tr>
      <w:tr w:rsidR="00495272" w:rsidRPr="00633564" w14:paraId="4E689D13" w14:textId="77777777" w:rsidTr="00384E31">
        <w:trPr>
          <w:cantSplit/>
        </w:trPr>
        <w:tc>
          <w:tcPr>
            <w:tcW w:w="3544" w:type="dxa"/>
            <w:tcBorders>
              <w:top w:val="dotted" w:sz="4" w:space="0" w:color="auto"/>
              <w:right w:val="dotted" w:sz="4" w:space="0" w:color="auto"/>
            </w:tcBorders>
            <w:vAlign w:val="center"/>
          </w:tcPr>
          <w:p w14:paraId="53F43D79" w14:textId="77777777" w:rsidR="00495272" w:rsidRPr="00495272" w:rsidRDefault="00495272" w:rsidP="00495272">
            <w:pPr>
              <w:spacing w:after="120"/>
              <w:jc w:val="both"/>
              <w:rPr>
                <w:rFonts w:asciiTheme="minorHAnsi" w:hAnsiTheme="minorHAnsi" w:cstheme="minorHAnsi"/>
                <w:sz w:val="24"/>
                <w:szCs w:val="24"/>
              </w:rPr>
            </w:pPr>
            <w:r w:rsidRPr="00495272">
              <w:rPr>
                <w:rFonts w:asciiTheme="minorHAnsi" w:hAnsiTheme="minorHAnsi" w:cstheme="minorHAnsi"/>
                <w:sz w:val="24"/>
                <w:szCs w:val="24"/>
              </w:rPr>
              <w:t>kierunek głównej kalenicy dachu w stosunku do frontu działki</w:t>
            </w:r>
          </w:p>
        </w:tc>
        <w:tc>
          <w:tcPr>
            <w:tcW w:w="10206" w:type="dxa"/>
            <w:tcBorders>
              <w:top w:val="dotted" w:sz="4" w:space="0" w:color="auto"/>
              <w:left w:val="dotted" w:sz="4" w:space="0" w:color="auto"/>
            </w:tcBorders>
            <w:vAlign w:val="center"/>
          </w:tcPr>
          <w:p w14:paraId="5BE72AFA" w14:textId="45E7CCD9" w:rsidR="00495272" w:rsidRPr="00495272" w:rsidRDefault="00495272" w:rsidP="00495272">
            <w:pPr>
              <w:spacing w:after="120"/>
              <w:jc w:val="both"/>
              <w:rPr>
                <w:rFonts w:asciiTheme="minorHAnsi" w:hAnsiTheme="minorHAnsi" w:cstheme="minorHAnsi"/>
                <w:sz w:val="24"/>
                <w:szCs w:val="24"/>
              </w:rPr>
            </w:pPr>
            <w:r w:rsidRPr="00495272">
              <w:rPr>
                <w:rFonts w:asciiTheme="minorHAnsi" w:hAnsiTheme="minorHAnsi" w:cstheme="minorHAnsi"/>
                <w:sz w:val="24"/>
                <w:szCs w:val="24"/>
              </w:rPr>
              <w:t xml:space="preserve">kalenicowy – w obszarze analizowanym występują dachy o kalenicowym (równoległym lub zbliżonym do równoległego) do frontu działki </w:t>
            </w:r>
            <w:bookmarkStart w:id="7" w:name="_Hlk149818554"/>
            <w:r w:rsidRPr="00495272">
              <w:rPr>
                <w:rFonts w:asciiTheme="minorHAnsi" w:hAnsiTheme="minorHAnsi" w:cstheme="minorHAnsi"/>
                <w:sz w:val="24"/>
                <w:szCs w:val="24"/>
              </w:rPr>
              <w:t xml:space="preserve">i szczytowym (prostopadłym lub zbliżonym do prostopadłego) </w:t>
            </w:r>
            <w:bookmarkEnd w:id="7"/>
            <w:r w:rsidRPr="00495272">
              <w:rPr>
                <w:rFonts w:asciiTheme="minorHAnsi" w:hAnsiTheme="minorHAnsi" w:cstheme="minorHAnsi"/>
                <w:sz w:val="24"/>
                <w:szCs w:val="24"/>
              </w:rPr>
              <w:t>kierunku kalenicy w  stosunku do frontu działki, przy czym w przypadku budynków mieszkalnych znacznie przeważają usytuowane kalenicowo do frontu działki</w:t>
            </w:r>
          </w:p>
        </w:tc>
      </w:tr>
    </w:tbl>
    <w:p w14:paraId="751C3484" w14:textId="77777777" w:rsidR="0081766C" w:rsidRDefault="0081766C" w:rsidP="0081766C">
      <w:pPr>
        <w:tabs>
          <w:tab w:val="left" w:pos="2925"/>
          <w:tab w:val="left" w:pos="8265"/>
        </w:tabs>
        <w:rPr>
          <w:sz w:val="28"/>
          <w:szCs w:val="28"/>
        </w:rPr>
        <w:sectPr w:rsidR="0081766C" w:rsidSect="00327EF5">
          <w:headerReference w:type="default" r:id="rId18"/>
          <w:footerReference w:type="default" r:id="rId19"/>
          <w:pgSz w:w="16838" w:h="11906" w:orient="landscape" w:code="9"/>
          <w:pgMar w:top="720" w:right="720" w:bottom="720" w:left="720" w:header="709" w:footer="709" w:gutter="0"/>
          <w:pgNumType w:start="1"/>
          <w:cols w:space="708"/>
          <w:docGrid w:linePitch="600" w:charSpace="32768"/>
        </w:sectPr>
      </w:pPr>
    </w:p>
    <w:p w14:paraId="21453B77" w14:textId="497536A0" w:rsidR="00561124" w:rsidRPr="00AF76C1" w:rsidRDefault="005A2F65" w:rsidP="005A2F65">
      <w:pPr>
        <w:tabs>
          <w:tab w:val="center" w:pos="5233"/>
        </w:tabs>
        <w:jc w:val="center"/>
        <w:rPr>
          <w:sz w:val="28"/>
          <w:szCs w:val="28"/>
        </w:rPr>
      </w:pPr>
      <w:r>
        <w:rPr>
          <w:noProof/>
          <w:sz w:val="28"/>
          <w:szCs w:val="28"/>
        </w:rPr>
        <w:lastRenderedPageBreak/>
        <w:drawing>
          <wp:inline distT="0" distB="0" distL="0" distR="0" wp14:anchorId="3C83ACD0" wp14:editId="4CB39C08">
            <wp:extent cx="12792075" cy="9119102"/>
            <wp:effectExtent l="0" t="0" r="0" b="6350"/>
            <wp:docPr id="462785861" name="Obraz 2" descr="Obraz zawierający tekst, mapa, diagram, Pla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785861" name="Obraz 2" descr="Obraz zawierający tekst, mapa, diagram, Plan&#10;&#10;Opis wygenerowany automatycznie"/>
                    <pic:cNvPicPr/>
                  </pic:nvPicPr>
                  <pic:blipFill>
                    <a:blip r:embed="rId20">
                      <a:extLst>
                        <a:ext uri="{28A0092B-C50C-407E-A947-70E740481C1C}">
                          <a14:useLocalDpi xmlns:a14="http://schemas.microsoft.com/office/drawing/2010/main" val="0"/>
                        </a:ext>
                      </a:extLst>
                    </a:blip>
                    <a:stretch>
                      <a:fillRect/>
                    </a:stretch>
                  </pic:blipFill>
                  <pic:spPr>
                    <a:xfrm>
                      <a:off x="0" y="0"/>
                      <a:ext cx="12795209" cy="9121336"/>
                    </a:xfrm>
                    <a:prstGeom prst="rect">
                      <a:avLst/>
                    </a:prstGeom>
                  </pic:spPr>
                </pic:pic>
              </a:graphicData>
            </a:graphic>
          </wp:inline>
        </w:drawing>
      </w:r>
    </w:p>
    <w:sectPr w:rsidR="00561124" w:rsidRPr="00AF76C1" w:rsidSect="00327EF5">
      <w:pgSz w:w="23811" w:h="16838" w:orient="landscape" w:code="8"/>
      <w:pgMar w:top="720" w:right="720" w:bottom="720" w:left="720" w:header="709" w:footer="709" w:gutter="0"/>
      <w:pgNumType w:start="1"/>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D36EC4" w14:textId="77777777" w:rsidR="00327EF5" w:rsidRDefault="00327EF5" w:rsidP="00053E5A">
      <w:pPr>
        <w:spacing w:after="0" w:line="240" w:lineRule="auto"/>
      </w:pPr>
      <w:r>
        <w:separator/>
      </w:r>
    </w:p>
  </w:endnote>
  <w:endnote w:type="continuationSeparator" w:id="0">
    <w:p w14:paraId="62E76C9B" w14:textId="77777777" w:rsidR="00327EF5" w:rsidRDefault="00327EF5"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0D4FD" w14:textId="7A36585A" w:rsidR="004D6B2B" w:rsidRPr="002E62F5" w:rsidRDefault="004D6B2B" w:rsidP="004D6B2B">
    <w:pPr>
      <w:pStyle w:val="Stopka"/>
      <w:jc w:val="center"/>
      <w:rPr>
        <w:sz w:val="28"/>
        <w:szCs w:val="28"/>
      </w:rPr>
    </w:pPr>
    <w:r w:rsidRPr="002E62F5">
      <w:rPr>
        <w:sz w:val="28"/>
        <w:szCs w:val="28"/>
      </w:rPr>
      <w:t>2 z 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74C41" w14:textId="49A4CD43" w:rsidR="00945706" w:rsidRPr="004D6B2B" w:rsidRDefault="004D6B2B" w:rsidP="004D6B2B">
    <w:pPr>
      <w:pStyle w:val="Stopka"/>
      <w:tabs>
        <w:tab w:val="center" w:pos="4393"/>
        <w:tab w:val="right" w:pos="8787"/>
      </w:tabs>
    </w:pPr>
    <w:r w:rsidRPr="001B7431">
      <w:rPr>
        <w:rFonts w:cstheme="minorHAnsi"/>
        <w:noProof/>
        <w:sz w:val="28"/>
        <w:szCs w:val="28"/>
      </w:rPr>
      <w:drawing>
        <wp:anchor distT="0" distB="0" distL="114300" distR="114300" simplePos="0" relativeHeight="251676672" behindDoc="1" locked="0" layoutInCell="1" allowOverlap="1" wp14:anchorId="03DD2B08" wp14:editId="134EBC61">
          <wp:simplePos x="0" y="0"/>
          <wp:positionH relativeFrom="column">
            <wp:posOffset>-1200150</wp:posOffset>
          </wp:positionH>
          <wp:positionV relativeFrom="paragraph">
            <wp:posOffset>-1012739</wp:posOffset>
          </wp:positionV>
          <wp:extent cx="7536604" cy="1536065"/>
          <wp:effectExtent l="0" t="0" r="7620" b="698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963526"/>
      <w:docPartObj>
        <w:docPartGallery w:val="Page Numbers (Bottom of Page)"/>
        <w:docPartUnique/>
      </w:docPartObj>
    </w:sdtPr>
    <w:sdtContent>
      <w:sdt>
        <w:sdtPr>
          <w:id w:val="1728636285"/>
          <w:docPartObj>
            <w:docPartGallery w:val="Page Numbers (Top of Page)"/>
            <w:docPartUnique/>
          </w:docPartObj>
        </w:sdtPr>
        <w:sdtContent>
          <w:p w14:paraId="3BE9C57E" w14:textId="77777777" w:rsidR="005A2F65" w:rsidRDefault="002471A9" w:rsidP="0091164C">
            <w:pPr>
              <w:pStyle w:val="Stopka"/>
              <w:jc w:val="center"/>
              <w:rPr>
                <w:sz w:val="28"/>
                <w:szCs w:val="28"/>
              </w:rPr>
            </w:pPr>
            <w:r w:rsidRPr="002471A9">
              <w:rPr>
                <w:sz w:val="28"/>
                <w:szCs w:val="28"/>
              </w:rPr>
              <w:t xml:space="preserve">Strona </w:t>
            </w:r>
            <w:r w:rsidRPr="002471A9">
              <w:rPr>
                <w:sz w:val="28"/>
                <w:szCs w:val="28"/>
              </w:rPr>
              <w:fldChar w:fldCharType="begin"/>
            </w:r>
            <w:r w:rsidRPr="002471A9">
              <w:rPr>
                <w:sz w:val="28"/>
                <w:szCs w:val="28"/>
              </w:rPr>
              <w:instrText>PAGE</w:instrText>
            </w:r>
            <w:r w:rsidRPr="002471A9">
              <w:rPr>
                <w:sz w:val="28"/>
                <w:szCs w:val="28"/>
              </w:rPr>
              <w:fldChar w:fldCharType="separate"/>
            </w:r>
            <w:r w:rsidRPr="002471A9">
              <w:rPr>
                <w:sz w:val="28"/>
                <w:szCs w:val="28"/>
              </w:rPr>
              <w:t>2</w:t>
            </w:r>
            <w:r w:rsidRPr="002471A9">
              <w:rPr>
                <w:sz w:val="28"/>
                <w:szCs w:val="28"/>
              </w:rPr>
              <w:fldChar w:fldCharType="end"/>
            </w:r>
            <w:r w:rsidRPr="002471A9">
              <w:rPr>
                <w:sz w:val="28"/>
                <w:szCs w:val="28"/>
              </w:rPr>
              <w:t xml:space="preserve"> z </w:t>
            </w:r>
            <w:r w:rsidR="005A2F65">
              <w:rPr>
                <w:sz w:val="28"/>
                <w:szCs w:val="28"/>
              </w:rPr>
              <w:t>19</w:t>
            </w:r>
          </w:p>
          <w:p w14:paraId="1145CA04" w14:textId="1D2F5558" w:rsidR="00403FA2" w:rsidRPr="00D70CF5" w:rsidRDefault="00000000" w:rsidP="0091164C">
            <w:pPr>
              <w:pStyle w:val="Stopka"/>
              <w:jc w:val="center"/>
              <w:rPr>
                <w:rFonts w:cstheme="minorHAnsi"/>
                <w:szCs w:val="28"/>
              </w:rPr>
            </w:pPr>
          </w:p>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A8DC1" w14:textId="6492BB76" w:rsidR="008C0D69" w:rsidRPr="00D70CF5" w:rsidRDefault="008C0D69" w:rsidP="0091164C">
    <w:pPr>
      <w:pStyle w:val="Stopka"/>
      <w:jc w:val="center"/>
      <w:rPr>
        <w:rFonts w:cstheme="minorHAnsi"/>
        <w:szCs w:val="28"/>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AF9F6" w14:textId="701A39BA" w:rsidR="00C979A2" w:rsidRDefault="00C979A2" w:rsidP="00E901C1">
    <w:pPr>
      <w:pStyle w:val="Stopka"/>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5F9AB" w14:textId="18569FED" w:rsidR="00DC7BD7" w:rsidRDefault="00DC7BD7" w:rsidP="00831A2C">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157D54" w14:textId="77777777" w:rsidR="00327EF5" w:rsidRDefault="00327EF5" w:rsidP="00053E5A">
      <w:pPr>
        <w:spacing w:after="0" w:line="240" w:lineRule="auto"/>
      </w:pPr>
      <w:r>
        <w:separator/>
      </w:r>
    </w:p>
  </w:footnote>
  <w:footnote w:type="continuationSeparator" w:id="0">
    <w:p w14:paraId="7026607D" w14:textId="77777777" w:rsidR="00327EF5" w:rsidRDefault="00327EF5" w:rsidP="00053E5A">
      <w:pPr>
        <w:spacing w:after="0" w:line="240" w:lineRule="auto"/>
      </w:pPr>
      <w:r>
        <w:continuationSeparator/>
      </w:r>
    </w:p>
  </w:footnote>
  <w:footnote w:id="1">
    <w:p w14:paraId="0AB9008C" w14:textId="77777777" w:rsidR="004E397C" w:rsidRPr="00EE5F25" w:rsidRDefault="004E397C" w:rsidP="004E397C">
      <w:pPr>
        <w:pStyle w:val="Tekstprzypisudolnego"/>
        <w:rPr>
          <w:sz w:val="28"/>
          <w:szCs w:val="28"/>
        </w:rPr>
      </w:pPr>
      <w:r w:rsidRPr="00EE5F25">
        <w:rPr>
          <w:rStyle w:val="Odwoanieprzypisudolnego"/>
          <w:sz w:val="28"/>
          <w:szCs w:val="28"/>
        </w:rPr>
        <w:footnoteRef/>
      </w:r>
      <w:r w:rsidRPr="00EE5F25">
        <w:rPr>
          <w:sz w:val="28"/>
          <w:szCs w:val="28"/>
        </w:rPr>
        <w:t xml:space="preserve"> Stosownie do art. 61 ust. 5a </w:t>
      </w:r>
      <w:r>
        <w:rPr>
          <w:sz w:val="28"/>
          <w:szCs w:val="28"/>
        </w:rPr>
        <w:t>zdanie drugie u.p.z.p.</w:t>
      </w:r>
      <w:r w:rsidRPr="00EE5F25">
        <w:rPr>
          <w:sz w:val="28"/>
          <w:szCs w:val="28"/>
        </w:rPr>
        <w:t xml:space="preserve"> </w:t>
      </w:r>
      <w:r>
        <w:rPr>
          <w:sz w:val="28"/>
          <w:szCs w:val="28"/>
        </w:rPr>
        <w:t>p</w:t>
      </w:r>
      <w:r w:rsidRPr="004F199C">
        <w:rPr>
          <w:sz w:val="28"/>
          <w:szCs w:val="28"/>
        </w:rPr>
        <w:t>rzez front terenu należy rozumieć tę część granicy działki budowlanej, która przylega do drogi publicznej lub wewnętrznej, z której odbywa się główny wjazd na działkę</w:t>
      </w:r>
      <w:r w:rsidRPr="00EE5F25">
        <w:rPr>
          <w:sz w:val="28"/>
          <w:szCs w:val="28"/>
        </w:rPr>
        <w:t xml:space="preserve">. Front </w:t>
      </w:r>
      <w:r>
        <w:rPr>
          <w:sz w:val="28"/>
          <w:szCs w:val="28"/>
        </w:rPr>
        <w:t xml:space="preserve">terenu </w:t>
      </w:r>
      <w:r w:rsidRPr="00EE5F25">
        <w:rPr>
          <w:sz w:val="28"/>
          <w:szCs w:val="28"/>
        </w:rPr>
        <w:t>został oznaczony w załączniku nr 1 do decyzji.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7BD8BA5" w:rsidR="007C6800" w:rsidRDefault="00E9384C" w:rsidP="007D722D">
    <w:pPr>
      <w:pStyle w:val="Nagwek"/>
      <w:tabs>
        <w:tab w:val="clear" w:pos="4536"/>
        <w:tab w:val="clear" w:pos="9072"/>
        <w:tab w:val="left" w:pos="2790"/>
        <w:tab w:val="center" w:pos="4393"/>
      </w:tabs>
    </w:pPr>
    <w:r>
      <w:tab/>
    </w:r>
    <w:r w:rsidR="007D722D">
      <w:tab/>
    </w:r>
  </w:p>
  <w:p w14:paraId="285AAA27" w14:textId="2FE7C5AB" w:rsidR="007C6800" w:rsidRPr="007C6800" w:rsidRDefault="007362FC" w:rsidP="00E9384C">
    <w:pPr>
      <w:pStyle w:val="Nagwek"/>
      <w:tabs>
        <w:tab w:val="clear" w:pos="4536"/>
        <w:tab w:val="clear" w:pos="9072"/>
        <w:tab w:val="center" w:pos="4393"/>
      </w:tabs>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9384C">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BD5A1" w14:textId="77777777" w:rsidR="00403FA2" w:rsidRPr="0040389E" w:rsidRDefault="00403FA2" w:rsidP="0040389E">
    <w:pPr>
      <w:pStyle w:val="Nagwek"/>
      <w:jc w:val="right"/>
      <w:rPr>
        <w:rFonts w:cstheme="minorHAnsi"/>
        <w:color w:val="808080" w:themeColor="background1" w:themeShade="8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8F75E" w14:textId="77777777" w:rsidR="00C979A2" w:rsidRPr="00633564" w:rsidRDefault="00C979A2" w:rsidP="008B08EF">
    <w:pPr>
      <w:pStyle w:val="Nagwek"/>
      <w:jc w:val="right"/>
      <w:rPr>
        <w:rFonts w:cstheme="minorHAnsi"/>
        <w:iCs/>
        <w:color w:val="808080" w:themeColor="background1" w:themeShade="80"/>
        <w:szCs w:val="28"/>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9A646" w14:textId="77777777" w:rsidR="00DC7BD7" w:rsidRPr="00633564" w:rsidRDefault="00DC7BD7" w:rsidP="008B08EF">
    <w:pPr>
      <w:pStyle w:val="Nagwek"/>
      <w:jc w:val="right"/>
      <w:rPr>
        <w:rFonts w:cstheme="minorHAnsi"/>
        <w:iCs/>
        <w:color w:val="808080" w:themeColor="background1" w:themeShade="80"/>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120AD"/>
    <w:multiLevelType w:val="hybridMultilevel"/>
    <w:tmpl w:val="F5625C6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 w15:restartNumberingAfterBreak="0">
    <w:nsid w:val="0BE75E55"/>
    <w:multiLevelType w:val="hybridMultilevel"/>
    <w:tmpl w:val="60621A34"/>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D4962FD"/>
    <w:multiLevelType w:val="hybridMultilevel"/>
    <w:tmpl w:val="F28A3C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5690ED4"/>
    <w:multiLevelType w:val="hybridMultilevel"/>
    <w:tmpl w:val="28F81E14"/>
    <w:lvl w:ilvl="0" w:tplc="E0525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9AE6C60"/>
    <w:multiLevelType w:val="hybridMultilevel"/>
    <w:tmpl w:val="F894D7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9F7510A"/>
    <w:multiLevelType w:val="hybridMultilevel"/>
    <w:tmpl w:val="C0841E2A"/>
    <w:lvl w:ilvl="0" w:tplc="901E3EA8">
      <w:start w:val="1"/>
      <w:numFmt w:val="decimal"/>
      <w:lvlText w:val="%1)"/>
      <w:lvlJc w:val="left"/>
      <w:pPr>
        <w:ind w:left="720" w:hanging="360"/>
      </w:pPr>
      <w:rPr>
        <w:rFonts w:hint="default"/>
        <w:b w:val="0"/>
        <w:bCs/>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EC5145A"/>
    <w:multiLevelType w:val="hybridMultilevel"/>
    <w:tmpl w:val="D0CA5D8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4336A80"/>
    <w:multiLevelType w:val="hybridMultilevel"/>
    <w:tmpl w:val="90CE976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8AA404D"/>
    <w:multiLevelType w:val="hybridMultilevel"/>
    <w:tmpl w:val="D5AE2EE0"/>
    <w:lvl w:ilvl="0" w:tplc="04150011">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BBC170B"/>
    <w:multiLevelType w:val="hybridMultilevel"/>
    <w:tmpl w:val="64D6F020"/>
    <w:lvl w:ilvl="0" w:tplc="09A68B00">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0" w15:restartNumberingAfterBreak="0">
    <w:nsid w:val="2C962030"/>
    <w:multiLevelType w:val="hybridMultilevel"/>
    <w:tmpl w:val="0456B428"/>
    <w:lvl w:ilvl="0" w:tplc="09A68B0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3045782F"/>
    <w:multiLevelType w:val="hybridMultilevel"/>
    <w:tmpl w:val="6B90E3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1A8307B"/>
    <w:multiLevelType w:val="hybridMultilevel"/>
    <w:tmpl w:val="49DA9930"/>
    <w:lvl w:ilvl="0" w:tplc="68DC4C16">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1CB71C3"/>
    <w:multiLevelType w:val="hybridMultilevel"/>
    <w:tmpl w:val="31CCEA32"/>
    <w:lvl w:ilvl="0" w:tplc="7A520B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52058E2"/>
    <w:multiLevelType w:val="hybridMultilevel"/>
    <w:tmpl w:val="1EBC6FF0"/>
    <w:lvl w:ilvl="0" w:tplc="E0525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90E7C3B"/>
    <w:multiLevelType w:val="hybridMultilevel"/>
    <w:tmpl w:val="5776A0D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BD33D84"/>
    <w:multiLevelType w:val="hybridMultilevel"/>
    <w:tmpl w:val="7048E2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FC775BB"/>
    <w:multiLevelType w:val="hybridMultilevel"/>
    <w:tmpl w:val="CF4084F2"/>
    <w:lvl w:ilvl="0" w:tplc="7A520B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0D85FD3"/>
    <w:multiLevelType w:val="hybridMultilevel"/>
    <w:tmpl w:val="EC7AC3AC"/>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1082455"/>
    <w:multiLevelType w:val="hybridMultilevel"/>
    <w:tmpl w:val="F29627E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1620992"/>
    <w:multiLevelType w:val="hybridMultilevel"/>
    <w:tmpl w:val="BF9099F0"/>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1F9398B"/>
    <w:multiLevelType w:val="hybridMultilevel"/>
    <w:tmpl w:val="2B06101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31405F3"/>
    <w:multiLevelType w:val="hybridMultilevel"/>
    <w:tmpl w:val="DB5A9B96"/>
    <w:lvl w:ilvl="0" w:tplc="DDFCB1C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15:restartNumberingAfterBreak="0">
    <w:nsid w:val="437053C7"/>
    <w:multiLevelType w:val="hybridMultilevel"/>
    <w:tmpl w:val="72D83D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3944FC3"/>
    <w:multiLevelType w:val="hybridMultilevel"/>
    <w:tmpl w:val="EC7AC3AC"/>
    <w:lvl w:ilvl="0" w:tplc="FFFFFFFF">
      <w:start w:val="1"/>
      <w:numFmt w:val="decimal"/>
      <w:lvlText w:val="%1)"/>
      <w:lvlJc w:val="left"/>
      <w:pPr>
        <w:ind w:left="720" w:hanging="360"/>
      </w:pPr>
      <w:rPr>
        <w:rFonts w:hint="default"/>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815227B"/>
    <w:multiLevelType w:val="hybridMultilevel"/>
    <w:tmpl w:val="F894EB8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DE16DF7"/>
    <w:multiLevelType w:val="hybridMultilevel"/>
    <w:tmpl w:val="7E027EB8"/>
    <w:lvl w:ilvl="0" w:tplc="D62E3660">
      <w:start w:val="1"/>
      <w:numFmt w:val="lowerLetter"/>
      <w:lvlText w:val="%1)"/>
      <w:lvlJc w:val="left"/>
      <w:pPr>
        <w:ind w:left="720" w:hanging="360"/>
      </w:pPr>
      <w:rPr>
        <w:color w:val="auto"/>
        <w:sz w:val="28"/>
        <w:szCs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7DF51D5"/>
    <w:multiLevelType w:val="hybridMultilevel"/>
    <w:tmpl w:val="63DA41B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E0E1C86"/>
    <w:multiLevelType w:val="hybridMultilevel"/>
    <w:tmpl w:val="480C5BA6"/>
    <w:lvl w:ilvl="0" w:tplc="786C2D94">
      <w:start w:val="1"/>
      <w:numFmt w:val="decimal"/>
      <w:lvlText w:val="%1)"/>
      <w:lvlJc w:val="left"/>
      <w:pPr>
        <w:ind w:left="501" w:hanging="360"/>
      </w:pPr>
      <w:rPr>
        <w:rFonts w:hint="default"/>
        <w:b w:val="0"/>
        <w:bCs/>
        <w:color w:val="auto"/>
        <w:sz w:val="28"/>
      </w:rPr>
    </w:lvl>
    <w:lvl w:ilvl="1" w:tplc="04150019" w:tentative="1">
      <w:start w:val="1"/>
      <w:numFmt w:val="lowerLetter"/>
      <w:lvlText w:val="%2."/>
      <w:lvlJc w:val="left"/>
      <w:pPr>
        <w:ind w:left="1221" w:hanging="360"/>
      </w:pPr>
    </w:lvl>
    <w:lvl w:ilvl="2" w:tplc="0415001B" w:tentative="1">
      <w:start w:val="1"/>
      <w:numFmt w:val="lowerRoman"/>
      <w:lvlText w:val="%3."/>
      <w:lvlJc w:val="right"/>
      <w:pPr>
        <w:ind w:left="1941" w:hanging="180"/>
      </w:pPr>
    </w:lvl>
    <w:lvl w:ilvl="3" w:tplc="0415000F" w:tentative="1">
      <w:start w:val="1"/>
      <w:numFmt w:val="decimal"/>
      <w:lvlText w:val="%4."/>
      <w:lvlJc w:val="left"/>
      <w:pPr>
        <w:ind w:left="2661" w:hanging="360"/>
      </w:pPr>
    </w:lvl>
    <w:lvl w:ilvl="4" w:tplc="04150019" w:tentative="1">
      <w:start w:val="1"/>
      <w:numFmt w:val="lowerLetter"/>
      <w:lvlText w:val="%5."/>
      <w:lvlJc w:val="left"/>
      <w:pPr>
        <w:ind w:left="3381" w:hanging="360"/>
      </w:pPr>
    </w:lvl>
    <w:lvl w:ilvl="5" w:tplc="0415001B" w:tentative="1">
      <w:start w:val="1"/>
      <w:numFmt w:val="lowerRoman"/>
      <w:lvlText w:val="%6."/>
      <w:lvlJc w:val="right"/>
      <w:pPr>
        <w:ind w:left="4101" w:hanging="180"/>
      </w:pPr>
    </w:lvl>
    <w:lvl w:ilvl="6" w:tplc="0415000F" w:tentative="1">
      <w:start w:val="1"/>
      <w:numFmt w:val="decimal"/>
      <w:lvlText w:val="%7."/>
      <w:lvlJc w:val="left"/>
      <w:pPr>
        <w:ind w:left="4821" w:hanging="360"/>
      </w:pPr>
    </w:lvl>
    <w:lvl w:ilvl="7" w:tplc="04150019" w:tentative="1">
      <w:start w:val="1"/>
      <w:numFmt w:val="lowerLetter"/>
      <w:lvlText w:val="%8."/>
      <w:lvlJc w:val="left"/>
      <w:pPr>
        <w:ind w:left="5541" w:hanging="360"/>
      </w:pPr>
    </w:lvl>
    <w:lvl w:ilvl="8" w:tplc="0415001B" w:tentative="1">
      <w:start w:val="1"/>
      <w:numFmt w:val="lowerRoman"/>
      <w:lvlText w:val="%9."/>
      <w:lvlJc w:val="right"/>
      <w:pPr>
        <w:ind w:left="6261" w:hanging="180"/>
      </w:pPr>
    </w:lvl>
  </w:abstractNum>
  <w:abstractNum w:abstractNumId="29" w15:restartNumberingAfterBreak="0">
    <w:nsid w:val="62831689"/>
    <w:multiLevelType w:val="hybridMultilevel"/>
    <w:tmpl w:val="040ED9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9577A55"/>
    <w:multiLevelType w:val="hybridMultilevel"/>
    <w:tmpl w:val="B86EDE46"/>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31" w15:restartNumberingAfterBreak="0">
    <w:nsid w:val="714C4938"/>
    <w:multiLevelType w:val="hybridMultilevel"/>
    <w:tmpl w:val="044645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5396B0C"/>
    <w:multiLevelType w:val="hybridMultilevel"/>
    <w:tmpl w:val="F11C727C"/>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7B5B36FF"/>
    <w:multiLevelType w:val="hybridMultilevel"/>
    <w:tmpl w:val="0AF6E9B8"/>
    <w:lvl w:ilvl="0" w:tplc="E05258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4" w15:restartNumberingAfterBreak="0">
    <w:nsid w:val="7E060828"/>
    <w:multiLevelType w:val="hybridMultilevel"/>
    <w:tmpl w:val="5448AC2A"/>
    <w:lvl w:ilvl="0" w:tplc="09A68B0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2007131809">
    <w:abstractNumId w:val="32"/>
  </w:num>
  <w:num w:numId="2" w16cid:durableId="239680716">
    <w:abstractNumId w:val="1"/>
  </w:num>
  <w:num w:numId="3" w16cid:durableId="590742254">
    <w:abstractNumId w:val="4"/>
  </w:num>
  <w:num w:numId="4" w16cid:durableId="978650360">
    <w:abstractNumId w:val="17"/>
  </w:num>
  <w:num w:numId="5" w16cid:durableId="2049135878">
    <w:abstractNumId w:val="5"/>
  </w:num>
  <w:num w:numId="6" w16cid:durableId="2007778848">
    <w:abstractNumId w:val="28"/>
  </w:num>
  <w:num w:numId="7" w16cid:durableId="551621929">
    <w:abstractNumId w:val="29"/>
  </w:num>
  <w:num w:numId="8" w16cid:durableId="1206673688">
    <w:abstractNumId w:val="3"/>
  </w:num>
  <w:num w:numId="9" w16cid:durableId="1912228969">
    <w:abstractNumId w:val="33"/>
  </w:num>
  <w:num w:numId="10" w16cid:durableId="113990776">
    <w:abstractNumId w:val="18"/>
  </w:num>
  <w:num w:numId="11" w16cid:durableId="101532403">
    <w:abstractNumId w:val="11"/>
  </w:num>
  <w:num w:numId="12" w16cid:durableId="1274628000">
    <w:abstractNumId w:val="31"/>
  </w:num>
  <w:num w:numId="13" w16cid:durableId="714040546">
    <w:abstractNumId w:val="20"/>
  </w:num>
  <w:num w:numId="14" w16cid:durableId="831064291">
    <w:abstractNumId w:val="7"/>
  </w:num>
  <w:num w:numId="15" w16cid:durableId="899245949">
    <w:abstractNumId w:val="30"/>
  </w:num>
  <w:num w:numId="16" w16cid:durableId="9218359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73967729">
    <w:abstractNumId w:val="22"/>
  </w:num>
  <w:num w:numId="18" w16cid:durableId="17120187">
    <w:abstractNumId w:val="6"/>
  </w:num>
  <w:num w:numId="19" w16cid:durableId="1153989499">
    <w:abstractNumId w:val="14"/>
  </w:num>
  <w:num w:numId="20" w16cid:durableId="1281454752">
    <w:abstractNumId w:val="19"/>
  </w:num>
  <w:num w:numId="21" w16cid:durableId="175467680">
    <w:abstractNumId w:val="26"/>
  </w:num>
  <w:num w:numId="22" w16cid:durableId="1527675359">
    <w:abstractNumId w:val="21"/>
  </w:num>
  <w:num w:numId="23" w16cid:durableId="1525364239">
    <w:abstractNumId w:val="27"/>
  </w:num>
  <w:num w:numId="24" w16cid:durableId="836189931">
    <w:abstractNumId w:val="8"/>
  </w:num>
  <w:num w:numId="25" w16cid:durableId="9393699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29608687">
    <w:abstractNumId w:val="34"/>
  </w:num>
  <w:num w:numId="27" w16cid:durableId="1361008222">
    <w:abstractNumId w:val="15"/>
  </w:num>
  <w:num w:numId="28" w16cid:durableId="854807968">
    <w:abstractNumId w:val="10"/>
  </w:num>
  <w:num w:numId="29" w16cid:durableId="1069622141">
    <w:abstractNumId w:val="9"/>
  </w:num>
  <w:num w:numId="30" w16cid:durableId="593779432">
    <w:abstractNumId w:val="12"/>
  </w:num>
  <w:num w:numId="31" w16cid:durableId="480656714">
    <w:abstractNumId w:val="2"/>
  </w:num>
  <w:num w:numId="32" w16cid:durableId="1834373377">
    <w:abstractNumId w:val="24"/>
  </w:num>
  <w:num w:numId="33" w16cid:durableId="644508064">
    <w:abstractNumId w:val="16"/>
  </w:num>
  <w:num w:numId="34" w16cid:durableId="2071809101">
    <w:abstractNumId w:val="13"/>
  </w:num>
  <w:num w:numId="35" w16cid:durableId="223300104">
    <w:abstractNumId w:val="25"/>
  </w:num>
  <w:num w:numId="36" w16cid:durableId="11733703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13972"/>
    <w:rsid w:val="000165E3"/>
    <w:rsid w:val="0004093B"/>
    <w:rsid w:val="00042CCA"/>
    <w:rsid w:val="00053E5A"/>
    <w:rsid w:val="00056D77"/>
    <w:rsid w:val="00096CEA"/>
    <w:rsid w:val="000A38FE"/>
    <w:rsid w:val="000B3982"/>
    <w:rsid w:val="000D02F6"/>
    <w:rsid w:val="000F04E9"/>
    <w:rsid w:val="000F0FC3"/>
    <w:rsid w:val="000F7981"/>
    <w:rsid w:val="00117823"/>
    <w:rsid w:val="001702A4"/>
    <w:rsid w:val="00181A6F"/>
    <w:rsid w:val="00190708"/>
    <w:rsid w:val="001A27BA"/>
    <w:rsid w:val="001B7431"/>
    <w:rsid w:val="001B7825"/>
    <w:rsid w:val="001C396E"/>
    <w:rsid w:val="001E33D8"/>
    <w:rsid w:val="001E4641"/>
    <w:rsid w:val="001F05D2"/>
    <w:rsid w:val="002001A6"/>
    <w:rsid w:val="002076BE"/>
    <w:rsid w:val="00245A15"/>
    <w:rsid w:val="002471A9"/>
    <w:rsid w:val="00250690"/>
    <w:rsid w:val="002B3949"/>
    <w:rsid w:val="002C3AE8"/>
    <w:rsid w:val="002D34E5"/>
    <w:rsid w:val="002E62F5"/>
    <w:rsid w:val="002F4746"/>
    <w:rsid w:val="002F6CD2"/>
    <w:rsid w:val="00321C17"/>
    <w:rsid w:val="00322A2A"/>
    <w:rsid w:val="00327EF5"/>
    <w:rsid w:val="00331ECB"/>
    <w:rsid w:val="0033275A"/>
    <w:rsid w:val="00340D4C"/>
    <w:rsid w:val="00351A5D"/>
    <w:rsid w:val="00361824"/>
    <w:rsid w:val="0037130C"/>
    <w:rsid w:val="00381C5E"/>
    <w:rsid w:val="003B39DE"/>
    <w:rsid w:val="003D7718"/>
    <w:rsid w:val="00403140"/>
    <w:rsid w:val="00403FA2"/>
    <w:rsid w:val="004056C9"/>
    <w:rsid w:val="0040639D"/>
    <w:rsid w:val="00413992"/>
    <w:rsid w:val="00423408"/>
    <w:rsid w:val="004235C9"/>
    <w:rsid w:val="00431C3E"/>
    <w:rsid w:val="00434AC0"/>
    <w:rsid w:val="004519AC"/>
    <w:rsid w:val="0048459B"/>
    <w:rsid w:val="00495272"/>
    <w:rsid w:val="004C512A"/>
    <w:rsid w:val="004D2F43"/>
    <w:rsid w:val="004D6B2B"/>
    <w:rsid w:val="004E397C"/>
    <w:rsid w:val="004E4A5D"/>
    <w:rsid w:val="00512B24"/>
    <w:rsid w:val="00525346"/>
    <w:rsid w:val="00533D10"/>
    <w:rsid w:val="00534F27"/>
    <w:rsid w:val="00561124"/>
    <w:rsid w:val="005673DE"/>
    <w:rsid w:val="00575D3F"/>
    <w:rsid w:val="005811F1"/>
    <w:rsid w:val="005A1C12"/>
    <w:rsid w:val="005A2F65"/>
    <w:rsid w:val="005D4B74"/>
    <w:rsid w:val="005E5887"/>
    <w:rsid w:val="005F048F"/>
    <w:rsid w:val="005F23DE"/>
    <w:rsid w:val="00613E9B"/>
    <w:rsid w:val="00626819"/>
    <w:rsid w:val="0063302E"/>
    <w:rsid w:val="006449D3"/>
    <w:rsid w:val="006757ED"/>
    <w:rsid w:val="00694F9E"/>
    <w:rsid w:val="006A2EB4"/>
    <w:rsid w:val="006A3855"/>
    <w:rsid w:val="006A6F3E"/>
    <w:rsid w:val="006D1DF1"/>
    <w:rsid w:val="006E23B5"/>
    <w:rsid w:val="007362FC"/>
    <w:rsid w:val="0073633D"/>
    <w:rsid w:val="00744DF3"/>
    <w:rsid w:val="00752DC5"/>
    <w:rsid w:val="007534D0"/>
    <w:rsid w:val="0077369E"/>
    <w:rsid w:val="00785395"/>
    <w:rsid w:val="007A7766"/>
    <w:rsid w:val="007B1A9A"/>
    <w:rsid w:val="007B622A"/>
    <w:rsid w:val="007C4380"/>
    <w:rsid w:val="007C6800"/>
    <w:rsid w:val="007D540A"/>
    <w:rsid w:val="007D722D"/>
    <w:rsid w:val="007D7B59"/>
    <w:rsid w:val="00811348"/>
    <w:rsid w:val="0081559F"/>
    <w:rsid w:val="00816EEC"/>
    <w:rsid w:val="0081766C"/>
    <w:rsid w:val="00821F7B"/>
    <w:rsid w:val="00831A2C"/>
    <w:rsid w:val="008753F0"/>
    <w:rsid w:val="00886E45"/>
    <w:rsid w:val="008933D5"/>
    <w:rsid w:val="00893827"/>
    <w:rsid w:val="008B0BDB"/>
    <w:rsid w:val="008C0D69"/>
    <w:rsid w:val="008F0E0D"/>
    <w:rsid w:val="008F2D00"/>
    <w:rsid w:val="008F403E"/>
    <w:rsid w:val="00917C21"/>
    <w:rsid w:val="00923B5B"/>
    <w:rsid w:val="00937BD6"/>
    <w:rsid w:val="00945706"/>
    <w:rsid w:val="00960B4A"/>
    <w:rsid w:val="009614DC"/>
    <w:rsid w:val="0096443D"/>
    <w:rsid w:val="00985A8D"/>
    <w:rsid w:val="00986970"/>
    <w:rsid w:val="009C2FDF"/>
    <w:rsid w:val="009E610E"/>
    <w:rsid w:val="009F096A"/>
    <w:rsid w:val="00A00B46"/>
    <w:rsid w:val="00A4037A"/>
    <w:rsid w:val="00A4222A"/>
    <w:rsid w:val="00A50CA6"/>
    <w:rsid w:val="00A5187D"/>
    <w:rsid w:val="00A76857"/>
    <w:rsid w:val="00A77B0B"/>
    <w:rsid w:val="00A84928"/>
    <w:rsid w:val="00A866E6"/>
    <w:rsid w:val="00A930EB"/>
    <w:rsid w:val="00AA276D"/>
    <w:rsid w:val="00AB464D"/>
    <w:rsid w:val="00AB53FD"/>
    <w:rsid w:val="00AF76C1"/>
    <w:rsid w:val="00B00DED"/>
    <w:rsid w:val="00B15B2E"/>
    <w:rsid w:val="00B16EAA"/>
    <w:rsid w:val="00B365FA"/>
    <w:rsid w:val="00B40857"/>
    <w:rsid w:val="00B82124"/>
    <w:rsid w:val="00B91287"/>
    <w:rsid w:val="00B95B1E"/>
    <w:rsid w:val="00BA3A6F"/>
    <w:rsid w:val="00BB096E"/>
    <w:rsid w:val="00BC11C2"/>
    <w:rsid w:val="00BD2D28"/>
    <w:rsid w:val="00BD33DD"/>
    <w:rsid w:val="00BE5449"/>
    <w:rsid w:val="00C0542A"/>
    <w:rsid w:val="00C17872"/>
    <w:rsid w:val="00C245E0"/>
    <w:rsid w:val="00C269CA"/>
    <w:rsid w:val="00C41720"/>
    <w:rsid w:val="00C73AE5"/>
    <w:rsid w:val="00C979A2"/>
    <w:rsid w:val="00CA384D"/>
    <w:rsid w:val="00CD1CFF"/>
    <w:rsid w:val="00CD327F"/>
    <w:rsid w:val="00CD5134"/>
    <w:rsid w:val="00D0262A"/>
    <w:rsid w:val="00D21AAD"/>
    <w:rsid w:val="00D27297"/>
    <w:rsid w:val="00D60F4F"/>
    <w:rsid w:val="00D7017D"/>
    <w:rsid w:val="00D80F41"/>
    <w:rsid w:val="00D83AEA"/>
    <w:rsid w:val="00D83F6F"/>
    <w:rsid w:val="00D8404E"/>
    <w:rsid w:val="00DA25FB"/>
    <w:rsid w:val="00DB7013"/>
    <w:rsid w:val="00DB78C9"/>
    <w:rsid w:val="00DC7BD7"/>
    <w:rsid w:val="00DE72C2"/>
    <w:rsid w:val="00DF18B2"/>
    <w:rsid w:val="00DF4357"/>
    <w:rsid w:val="00E12D70"/>
    <w:rsid w:val="00E14829"/>
    <w:rsid w:val="00E34C2B"/>
    <w:rsid w:val="00E47324"/>
    <w:rsid w:val="00E47556"/>
    <w:rsid w:val="00E72589"/>
    <w:rsid w:val="00E73F34"/>
    <w:rsid w:val="00E75F3A"/>
    <w:rsid w:val="00E772C5"/>
    <w:rsid w:val="00E9384C"/>
    <w:rsid w:val="00E943F8"/>
    <w:rsid w:val="00E9585E"/>
    <w:rsid w:val="00EA1533"/>
    <w:rsid w:val="00EA2C60"/>
    <w:rsid w:val="00EC6D4F"/>
    <w:rsid w:val="00ED19D2"/>
    <w:rsid w:val="00EE1943"/>
    <w:rsid w:val="00F021E2"/>
    <w:rsid w:val="00F022DA"/>
    <w:rsid w:val="00F0671F"/>
    <w:rsid w:val="00F1021E"/>
    <w:rsid w:val="00F450B2"/>
    <w:rsid w:val="00F45161"/>
    <w:rsid w:val="00F56DCB"/>
    <w:rsid w:val="00F927BA"/>
    <w:rsid w:val="00FA1A51"/>
    <w:rsid w:val="00FD4758"/>
    <w:rsid w:val="00FD4A8F"/>
    <w:rsid w:val="00FF6A73"/>
    <w:rsid w:val="00FF6D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character" w:styleId="Hipercze">
    <w:name w:val="Hyperlink"/>
    <w:basedOn w:val="Domylnaczcionkaakapitu"/>
    <w:uiPriority w:val="99"/>
    <w:unhideWhenUsed/>
    <w:rsid w:val="004D6B2B"/>
    <w:rPr>
      <w:color w:val="0000FF" w:themeColor="hyperlink"/>
      <w:u w:val="single"/>
    </w:rPr>
  </w:style>
  <w:style w:type="paragraph" w:styleId="Akapitzlist">
    <w:name w:val="List Paragraph"/>
    <w:basedOn w:val="Normalny"/>
    <w:uiPriority w:val="34"/>
    <w:qFormat/>
    <w:rsid w:val="00EC6D4F"/>
    <w:pPr>
      <w:ind w:left="720"/>
      <w:contextualSpacing/>
    </w:pPr>
  </w:style>
  <w:style w:type="paragraph" w:styleId="Tekstprzypisudolnego">
    <w:name w:val="footnote text"/>
    <w:basedOn w:val="Normalny"/>
    <w:link w:val="TekstprzypisudolnegoZnak"/>
    <w:uiPriority w:val="99"/>
    <w:semiHidden/>
    <w:unhideWhenUsed/>
    <w:rsid w:val="002471A9"/>
    <w:pPr>
      <w:spacing w:after="0" w:line="240" w:lineRule="auto"/>
    </w:pPr>
    <w:rPr>
      <w:rFonts w:ascii="Times New Roman" w:hAnsi="Times New Roman"/>
      <w:sz w:val="20"/>
      <w:szCs w:val="20"/>
    </w:rPr>
  </w:style>
  <w:style w:type="character" w:customStyle="1" w:styleId="TekstprzypisudolnegoZnak">
    <w:name w:val="Tekst przypisu dolnego Znak"/>
    <w:basedOn w:val="Domylnaczcionkaakapitu"/>
    <w:link w:val="Tekstprzypisudolnego"/>
    <w:uiPriority w:val="99"/>
    <w:semiHidden/>
    <w:rsid w:val="002471A9"/>
    <w:rPr>
      <w:rFonts w:ascii="Times New Roman" w:hAnsi="Times New Roman"/>
      <w:sz w:val="20"/>
      <w:szCs w:val="20"/>
    </w:rPr>
  </w:style>
  <w:style w:type="character" w:styleId="Odwoanieprzypisudolnego">
    <w:name w:val="footnote reference"/>
    <w:basedOn w:val="Domylnaczcionkaakapitu"/>
    <w:uiPriority w:val="99"/>
    <w:semiHidden/>
    <w:unhideWhenUsed/>
    <w:rsid w:val="002471A9"/>
    <w:rPr>
      <w:vertAlign w:val="superscript"/>
    </w:rPr>
  </w:style>
  <w:style w:type="table" w:styleId="Tabela-Siatka">
    <w:name w:val="Table Grid"/>
    <w:basedOn w:val="Standardowy"/>
    <w:uiPriority w:val="59"/>
    <w:rsid w:val="00DC7BD7"/>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64673">
      <w:bodyDiv w:val="1"/>
      <w:marLeft w:val="0"/>
      <w:marRight w:val="0"/>
      <w:marTop w:val="0"/>
      <w:marBottom w:val="0"/>
      <w:divBdr>
        <w:top w:val="none" w:sz="0" w:space="0" w:color="auto"/>
        <w:left w:val="none" w:sz="0" w:space="0" w:color="auto"/>
        <w:bottom w:val="none" w:sz="0" w:space="0" w:color="auto"/>
        <w:right w:val="none" w:sz="0" w:space="0" w:color="auto"/>
      </w:divBdr>
    </w:div>
    <w:div w:id="1122193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6959</Words>
  <Characters>41759</Characters>
  <Application>Microsoft Office Word</Application>
  <DocSecurity>0</DocSecurity>
  <Lines>347</Lines>
  <Paragraphs>97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Urząd Miejski w Śremie</dc:creator>
  <cp:lastModifiedBy>Agnieszka Błoszyk</cp:lastModifiedBy>
  <cp:revision>5</cp:revision>
  <cp:lastPrinted>2023-12-22T10:06:00Z</cp:lastPrinted>
  <dcterms:created xsi:type="dcterms:W3CDTF">2024-03-20T13:06:00Z</dcterms:created>
  <dcterms:modified xsi:type="dcterms:W3CDTF">2024-03-21T11:03:00Z</dcterms:modified>
</cp:coreProperties>
</file>