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C3A37" w14:textId="77777777" w:rsidR="001E33D8" w:rsidRDefault="001E33D8" w:rsidP="001E33D8">
      <w:pPr>
        <w:spacing w:after="0" w:line="240" w:lineRule="auto"/>
        <w:ind w:right="5668"/>
        <w:jc w:val="center"/>
        <w:rPr>
          <w:rFonts w:cstheme="minorHAnsi"/>
          <w:bCs/>
          <w:sz w:val="28"/>
          <w:szCs w:val="28"/>
        </w:rPr>
      </w:pPr>
    </w:p>
    <w:p w14:paraId="3921E045" w14:textId="1F22365C"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Burmistrz Śremu</w:t>
      </w:r>
    </w:p>
    <w:p w14:paraId="63A58344"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ul. Plac 20 Października 1</w:t>
      </w:r>
    </w:p>
    <w:p w14:paraId="5FA9BD7D" w14:textId="7EE7B3B2"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63</w:t>
      </w:r>
      <w:r w:rsidR="00F0671F">
        <w:rPr>
          <w:rFonts w:cstheme="minorHAnsi"/>
          <w:bCs/>
          <w:sz w:val="28"/>
          <w:szCs w:val="28"/>
        </w:rPr>
        <w:t>-</w:t>
      </w:r>
      <w:r w:rsidRPr="005673DE">
        <w:rPr>
          <w:rFonts w:cstheme="minorHAnsi"/>
          <w:bCs/>
          <w:sz w:val="28"/>
          <w:szCs w:val="28"/>
        </w:rPr>
        <w:t>100 Śrem</w:t>
      </w:r>
    </w:p>
    <w:p w14:paraId="0DD752EF" w14:textId="4E076C10" w:rsidR="001E33D8" w:rsidRPr="005673DE" w:rsidRDefault="001E33D8" w:rsidP="001E33D8">
      <w:pPr>
        <w:spacing w:after="120" w:line="240" w:lineRule="auto"/>
        <w:jc w:val="right"/>
        <w:rPr>
          <w:rFonts w:cstheme="minorHAnsi"/>
          <w:sz w:val="28"/>
          <w:szCs w:val="28"/>
        </w:rPr>
      </w:pPr>
      <w:r w:rsidRPr="005673DE">
        <w:rPr>
          <w:rFonts w:cstheme="minorHAnsi"/>
          <w:sz w:val="28"/>
          <w:szCs w:val="28"/>
        </w:rPr>
        <w:t>Śrem,</w:t>
      </w:r>
      <w:r w:rsidR="004930C1">
        <w:rPr>
          <w:rFonts w:cstheme="minorHAnsi"/>
          <w:sz w:val="28"/>
          <w:szCs w:val="28"/>
        </w:rPr>
        <w:t xml:space="preserve"> 09</w:t>
      </w:r>
      <w:r w:rsidR="00B365FA">
        <w:rPr>
          <w:rFonts w:cstheme="minorHAnsi"/>
          <w:sz w:val="28"/>
          <w:szCs w:val="28"/>
        </w:rPr>
        <w:t xml:space="preserve"> </w:t>
      </w:r>
      <w:r w:rsidR="00AC1D16">
        <w:rPr>
          <w:rFonts w:cstheme="minorHAnsi"/>
          <w:sz w:val="28"/>
          <w:szCs w:val="28"/>
        </w:rPr>
        <w:t>kwietnia</w:t>
      </w:r>
      <w:r w:rsidR="00A50CA6" w:rsidRPr="005673DE">
        <w:rPr>
          <w:rFonts w:cstheme="minorHAnsi"/>
          <w:sz w:val="28"/>
          <w:szCs w:val="28"/>
        </w:rPr>
        <w:t xml:space="preserve"> 202</w:t>
      </w:r>
      <w:r w:rsidR="00893827">
        <w:rPr>
          <w:rFonts w:cstheme="minorHAnsi"/>
          <w:sz w:val="28"/>
          <w:szCs w:val="28"/>
        </w:rPr>
        <w:t>4</w:t>
      </w:r>
      <w:r w:rsidRPr="005673DE">
        <w:rPr>
          <w:rFonts w:cstheme="minorHAnsi"/>
          <w:sz w:val="28"/>
          <w:szCs w:val="28"/>
        </w:rPr>
        <w:t xml:space="preserve"> r.</w:t>
      </w:r>
    </w:p>
    <w:p w14:paraId="18954B3B" w14:textId="4AC79E2E" w:rsidR="001E33D8" w:rsidRPr="005673DE" w:rsidRDefault="001E33D8" w:rsidP="001E33D8">
      <w:pPr>
        <w:spacing w:after="120" w:line="240" w:lineRule="auto"/>
        <w:rPr>
          <w:rFonts w:cstheme="minorHAnsi"/>
          <w:sz w:val="28"/>
          <w:szCs w:val="28"/>
        </w:rPr>
      </w:pPr>
      <w:r w:rsidRPr="005673DE">
        <w:rPr>
          <w:rFonts w:cstheme="minorHAnsi"/>
          <w:sz w:val="28"/>
          <w:szCs w:val="28"/>
        </w:rPr>
        <w:t>PPSPP.673</w:t>
      </w:r>
      <w:r w:rsidR="008F403E">
        <w:rPr>
          <w:rFonts w:cstheme="minorHAnsi"/>
          <w:sz w:val="28"/>
          <w:szCs w:val="28"/>
        </w:rPr>
        <w:t>0.</w:t>
      </w:r>
      <w:r w:rsidR="00AC1D16">
        <w:rPr>
          <w:rFonts w:cstheme="minorHAnsi"/>
          <w:sz w:val="28"/>
          <w:szCs w:val="28"/>
        </w:rPr>
        <w:t>168</w:t>
      </w:r>
      <w:r w:rsidR="00CD327F">
        <w:rPr>
          <w:rFonts w:cstheme="minorHAnsi"/>
          <w:sz w:val="28"/>
          <w:szCs w:val="28"/>
        </w:rPr>
        <w:t>.202</w:t>
      </w:r>
      <w:r w:rsidR="00AC1D16">
        <w:rPr>
          <w:rFonts w:cstheme="minorHAnsi"/>
          <w:sz w:val="28"/>
          <w:szCs w:val="28"/>
        </w:rPr>
        <w:t>3</w:t>
      </w:r>
      <w:r w:rsidR="00CD327F">
        <w:rPr>
          <w:rFonts w:cstheme="minorHAnsi"/>
          <w:sz w:val="28"/>
          <w:szCs w:val="28"/>
        </w:rPr>
        <w:t>.</w:t>
      </w:r>
      <w:r w:rsidR="008F403E">
        <w:rPr>
          <w:rFonts w:cstheme="minorHAnsi"/>
          <w:sz w:val="28"/>
          <w:szCs w:val="28"/>
        </w:rPr>
        <w:t>KSA</w:t>
      </w:r>
      <w:r w:rsidR="00CD327F">
        <w:rPr>
          <w:rFonts w:cstheme="minorHAnsi"/>
          <w:sz w:val="28"/>
          <w:szCs w:val="28"/>
        </w:rPr>
        <w:t>N</w:t>
      </w:r>
    </w:p>
    <w:p w14:paraId="3273D6F3" w14:textId="3CAD714F" w:rsidR="001E33D8" w:rsidRPr="005673DE" w:rsidRDefault="001E33D8" w:rsidP="001E33D8">
      <w:pPr>
        <w:keepNext/>
        <w:keepLines/>
        <w:spacing w:after="120" w:line="240" w:lineRule="auto"/>
        <w:jc w:val="center"/>
        <w:outlineLvl w:val="0"/>
        <w:rPr>
          <w:rFonts w:eastAsia="Times New Roman" w:cstheme="minorHAnsi"/>
          <w:sz w:val="28"/>
          <w:szCs w:val="28"/>
        </w:rPr>
      </w:pPr>
      <w:r w:rsidRPr="005673DE">
        <w:rPr>
          <w:rFonts w:eastAsia="Times New Roman" w:cstheme="minorHAnsi"/>
          <w:sz w:val="28"/>
          <w:szCs w:val="28"/>
        </w:rPr>
        <w:t>Obwieszczenie</w:t>
      </w:r>
      <w:r w:rsidRPr="005673DE">
        <w:rPr>
          <w:rFonts w:eastAsia="Times New Roman" w:cstheme="minorHAnsi"/>
          <w:sz w:val="28"/>
          <w:szCs w:val="28"/>
        </w:rPr>
        <w:br/>
        <w:t xml:space="preserve">o wydaniu decyzji o </w:t>
      </w:r>
      <w:r w:rsidR="008F403E">
        <w:rPr>
          <w:rFonts w:eastAsia="Times New Roman" w:cstheme="minorHAnsi"/>
          <w:sz w:val="28"/>
          <w:szCs w:val="28"/>
        </w:rPr>
        <w:t xml:space="preserve">warunkach zabudowy </w:t>
      </w:r>
    </w:p>
    <w:p w14:paraId="67D0B912" w14:textId="77777777" w:rsidR="00FD4A8F" w:rsidRDefault="00FD4A8F" w:rsidP="001E33D8">
      <w:pPr>
        <w:spacing w:after="120" w:line="240" w:lineRule="auto"/>
        <w:ind w:firstLine="567"/>
        <w:jc w:val="both"/>
        <w:rPr>
          <w:rFonts w:eastAsia="Times New Roman" w:cstheme="minorHAnsi"/>
          <w:sz w:val="28"/>
          <w:szCs w:val="28"/>
          <w:lang w:eastAsia="pl-PL"/>
        </w:rPr>
      </w:pPr>
    </w:p>
    <w:p w14:paraId="357FCE40" w14:textId="62799A30" w:rsidR="00FC2DF6" w:rsidRPr="003F3FB4" w:rsidRDefault="00FC2DF6" w:rsidP="00FC2DF6">
      <w:pPr>
        <w:spacing w:after="120" w:line="240" w:lineRule="auto"/>
        <w:ind w:firstLine="709"/>
        <w:contextualSpacing/>
        <w:jc w:val="both"/>
        <w:rPr>
          <w:rFonts w:eastAsia="Calibri" w:cs="Calibri"/>
          <w:sz w:val="28"/>
          <w:szCs w:val="36"/>
        </w:rPr>
      </w:pPr>
      <w:r w:rsidRPr="003F3FB4">
        <w:rPr>
          <w:rFonts w:eastAsia="Calibri" w:cs="Calibri"/>
          <w:sz w:val="28"/>
          <w:szCs w:val="36"/>
        </w:rPr>
        <w:t>Zawiadamiam</w:t>
      </w:r>
      <w:r w:rsidRPr="003F3FB4">
        <w:rPr>
          <w:rFonts w:eastAsia="Calibri" w:cs="Calibri"/>
          <w:sz w:val="28"/>
          <w:szCs w:val="36"/>
          <w:vertAlign w:val="superscript"/>
        </w:rPr>
        <w:t>1</w:t>
      </w:r>
      <w:r w:rsidRPr="003F3FB4">
        <w:rPr>
          <w:rFonts w:eastAsia="Calibri" w:cs="Calibri"/>
          <w:sz w:val="28"/>
          <w:szCs w:val="36"/>
        </w:rPr>
        <w:t xml:space="preserve">, przez podanie do publicznej wiadomości w Biuletynie Informacji Publicznej Urzędu Miejskiego w Śremie, na elektronicznej tablicy ogłoszeń w siedzibie tut. organu, o wydaniu 09.04.2024 r. przez Burmistrza Śremu decyzji nr 35/2024 o warunkach zabudowy dla przedsięwzięcia: budowa budynku usługowego </w:t>
      </w:r>
      <w:r w:rsidR="00450074">
        <w:rPr>
          <w:rFonts w:eastAsia="Calibri" w:cs="Calibri"/>
          <w:sz w:val="28"/>
          <w:szCs w:val="36"/>
        </w:rPr>
        <w:t xml:space="preserve">(usługi medyczne) </w:t>
      </w:r>
      <w:r w:rsidRPr="003F3FB4">
        <w:rPr>
          <w:rFonts w:eastAsia="Calibri" w:cs="Calibri"/>
          <w:sz w:val="28"/>
          <w:szCs w:val="36"/>
        </w:rPr>
        <w:t xml:space="preserve">na terenie działki o nr ewid. 741, obręb Śrem (ul. Floriana Marciniaka), na rzecz osób fizycznych.  </w:t>
      </w:r>
    </w:p>
    <w:p w14:paraId="03183735" w14:textId="77777777" w:rsidR="00FC2DF6" w:rsidRPr="003F3FB4" w:rsidRDefault="00FC2DF6" w:rsidP="00FC2DF6">
      <w:pPr>
        <w:spacing w:after="120" w:line="240" w:lineRule="auto"/>
        <w:ind w:firstLine="708"/>
        <w:contextualSpacing/>
        <w:jc w:val="both"/>
        <w:rPr>
          <w:rFonts w:eastAsia="Calibri" w:cs="Calibri"/>
          <w:sz w:val="28"/>
          <w:szCs w:val="36"/>
        </w:rPr>
      </w:pPr>
      <w:r w:rsidRPr="003F3FB4">
        <w:rPr>
          <w:rFonts w:eastAsia="Calibri" w:cs="Calibri"/>
          <w:sz w:val="28"/>
          <w:szCs w:val="36"/>
        </w:rPr>
        <w:t xml:space="preserve">W związku z powyższym informuję, że strony niniejszego postępowania lub ich przedstawiciele i pełnomocnicy mogą zapoznać się </w:t>
      </w:r>
      <w:r w:rsidRPr="00FC2DF6">
        <w:rPr>
          <w:rFonts w:eastAsia="Calibri" w:cs="Calibri"/>
          <w:sz w:val="28"/>
          <w:szCs w:val="36"/>
        </w:rPr>
        <w:t>z </w:t>
      </w:r>
      <w:r w:rsidRPr="003F3FB4">
        <w:rPr>
          <w:rFonts w:eastAsia="Calibri" w:cs="Calibri"/>
          <w:sz w:val="28"/>
          <w:szCs w:val="36"/>
        </w:rPr>
        <w:t>wydaną decyzją oraz aktami sprawy (PPSPP.6730.168.2023.KSAN) w</w:t>
      </w:r>
      <w:r w:rsidRPr="00FC2DF6">
        <w:rPr>
          <w:rFonts w:eastAsia="Calibri" w:cs="Calibri"/>
          <w:sz w:val="28"/>
          <w:szCs w:val="36"/>
        </w:rPr>
        <w:t> </w:t>
      </w:r>
      <w:r w:rsidRPr="003F3FB4">
        <w:rPr>
          <w:rFonts w:eastAsia="Calibri" w:cs="Calibri"/>
          <w:sz w:val="28"/>
          <w:szCs w:val="36"/>
        </w:rPr>
        <w:t>Zespole Planowania Przestrzennego (biuro nr 34) Urzędu Miejskiego w</w:t>
      </w:r>
      <w:r w:rsidRPr="00FC2DF6">
        <w:rPr>
          <w:rFonts w:eastAsia="Calibri" w:cs="Calibri"/>
          <w:sz w:val="28"/>
          <w:szCs w:val="36"/>
        </w:rPr>
        <w:t> </w:t>
      </w:r>
      <w:r w:rsidRPr="003F3FB4">
        <w:rPr>
          <w:rFonts w:eastAsia="Calibri" w:cs="Calibri"/>
          <w:sz w:val="28"/>
          <w:szCs w:val="36"/>
        </w:rPr>
        <w:t>Śremie, ul.</w:t>
      </w:r>
      <w:r w:rsidRPr="00FC2DF6">
        <w:rPr>
          <w:rFonts w:eastAsia="Calibri" w:cs="Calibri"/>
          <w:sz w:val="28"/>
          <w:szCs w:val="36"/>
        </w:rPr>
        <w:t> </w:t>
      </w:r>
      <w:r w:rsidRPr="003F3FB4">
        <w:rPr>
          <w:rFonts w:eastAsia="Calibri" w:cs="Calibri"/>
          <w:sz w:val="28"/>
          <w:szCs w:val="36"/>
        </w:rPr>
        <w:t xml:space="preserve">Plac 20 Października 1, 63-100 Śrem, w godzinach od 7:00 do 15:00. </w:t>
      </w:r>
    </w:p>
    <w:p w14:paraId="530AAA72" w14:textId="77777777" w:rsidR="00FC2DF6" w:rsidRPr="003F3FB4" w:rsidRDefault="00FC2DF6" w:rsidP="00FC2DF6">
      <w:pPr>
        <w:spacing w:after="120" w:line="240" w:lineRule="auto"/>
        <w:ind w:firstLine="709"/>
        <w:contextualSpacing/>
        <w:jc w:val="both"/>
        <w:rPr>
          <w:rFonts w:eastAsia="Calibri" w:cs="Calibri"/>
          <w:sz w:val="28"/>
          <w:szCs w:val="36"/>
        </w:rPr>
      </w:pPr>
      <w:r w:rsidRPr="003F3FB4">
        <w:rPr>
          <w:rFonts w:eastAsia="Calibri" w:cs="Calibri"/>
          <w:sz w:val="28"/>
          <w:szCs w:val="36"/>
        </w:rPr>
        <w:t>Zawiadomienie przez obwieszczenie uważa się za dokonane po upływie 14 dni od dnia publicznego ogłoszenia stosownie do art. 49 ustawy z</w:t>
      </w:r>
      <w:r w:rsidRPr="00FC2DF6">
        <w:rPr>
          <w:rFonts w:eastAsia="Calibri" w:cs="Calibri"/>
          <w:sz w:val="28"/>
          <w:szCs w:val="36"/>
        </w:rPr>
        <w:t> </w:t>
      </w:r>
      <w:r w:rsidRPr="003F3FB4">
        <w:rPr>
          <w:rFonts w:eastAsia="Calibri" w:cs="Calibri"/>
          <w:sz w:val="28"/>
          <w:szCs w:val="36"/>
        </w:rPr>
        <w:t>dnia 14 czerwca 1960 r. – Kodeks postępowania administracyjnego (Dz. U. z</w:t>
      </w:r>
      <w:r w:rsidRPr="00FC2DF6">
        <w:rPr>
          <w:rFonts w:eastAsia="Calibri" w:cs="Calibri"/>
          <w:sz w:val="28"/>
          <w:szCs w:val="36"/>
        </w:rPr>
        <w:t> </w:t>
      </w:r>
      <w:r w:rsidRPr="003F3FB4">
        <w:rPr>
          <w:rFonts w:eastAsia="Calibri" w:cs="Calibri"/>
          <w:sz w:val="28"/>
          <w:szCs w:val="36"/>
        </w:rPr>
        <w:t xml:space="preserve">2023 r. poz. 775 i 803). </w:t>
      </w:r>
    </w:p>
    <w:p w14:paraId="0860B78C" w14:textId="77777777" w:rsidR="00FC2DF6" w:rsidRDefault="00FC2DF6" w:rsidP="00FC2DF6">
      <w:pPr>
        <w:spacing w:after="120"/>
        <w:jc w:val="both"/>
        <w:rPr>
          <w:rFonts w:eastAsia="Times New Roman" w:cs="Calibri"/>
          <w:szCs w:val="28"/>
          <w:lang w:eastAsia="pl-PL"/>
        </w:rPr>
      </w:pPr>
    </w:p>
    <w:p w14:paraId="65ABD346" w14:textId="77777777" w:rsidR="00A00B46" w:rsidRDefault="00A00B46" w:rsidP="00A00B46">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0BD51F77" w14:textId="77777777" w:rsidR="00A00B46" w:rsidRPr="00BB5D03" w:rsidRDefault="00A00B46" w:rsidP="00A00B46">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0A24D573" w14:textId="2BA75375" w:rsidR="00A00B46" w:rsidRPr="005A07CF" w:rsidRDefault="00A00B46" w:rsidP="00A00B46">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CD327F">
        <w:rPr>
          <w:rFonts w:eastAsia="Times New Roman" w:cstheme="minorHAnsi"/>
          <w:sz w:val="28"/>
          <w:szCs w:val="28"/>
          <w:lang w:eastAsia="pl-PL"/>
        </w:rPr>
        <w:t>…</w:t>
      </w:r>
      <w:r w:rsidR="00431C3E">
        <w:rPr>
          <w:rFonts w:eastAsia="Times New Roman" w:cstheme="minorHAnsi"/>
          <w:sz w:val="28"/>
          <w:szCs w:val="28"/>
          <w:lang w:eastAsia="pl-PL"/>
        </w:rPr>
        <w:t>..</w:t>
      </w:r>
      <w:r w:rsidR="00CD327F">
        <w:rPr>
          <w:rFonts w:eastAsia="Times New Roman" w:cstheme="minorHAnsi"/>
          <w:sz w:val="28"/>
          <w:szCs w:val="28"/>
          <w:lang w:eastAsia="pl-PL"/>
        </w:rPr>
        <w:t>.03</w:t>
      </w:r>
      <w:r>
        <w:rPr>
          <w:rFonts w:eastAsia="Times New Roman" w:cstheme="minorHAnsi"/>
          <w:sz w:val="28"/>
          <w:szCs w:val="28"/>
          <w:lang w:eastAsia="pl-PL"/>
        </w:rPr>
        <w:t>.202</w:t>
      </w:r>
      <w:r w:rsidR="00381C5E">
        <w:rPr>
          <w:rFonts w:eastAsia="Times New Roman" w:cstheme="minorHAnsi"/>
          <w:sz w:val="28"/>
          <w:szCs w:val="28"/>
          <w:lang w:eastAsia="pl-PL"/>
        </w:rPr>
        <w:t>4</w:t>
      </w:r>
      <w:r>
        <w:rPr>
          <w:rFonts w:eastAsia="Times New Roman" w:cstheme="minorHAnsi"/>
          <w:sz w:val="28"/>
          <w:szCs w:val="28"/>
          <w:lang w:eastAsia="pl-PL"/>
        </w:rPr>
        <w:t xml:space="preserve"> r.</w:t>
      </w:r>
    </w:p>
    <w:p w14:paraId="421D5F9D" w14:textId="77777777" w:rsidR="00A00B46" w:rsidRDefault="00A00B46" w:rsidP="00A00B46">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7FDF6BF0" w14:textId="77777777" w:rsidR="007C4380" w:rsidRPr="006A2EB4" w:rsidRDefault="007C4380" w:rsidP="00A00B46">
      <w:pPr>
        <w:spacing w:after="120" w:line="240" w:lineRule="auto"/>
        <w:jc w:val="both"/>
        <w:rPr>
          <w:rFonts w:eastAsia="Calibri" w:cstheme="minorHAnsi"/>
          <w:sz w:val="28"/>
          <w:szCs w:val="28"/>
        </w:rPr>
      </w:pPr>
    </w:p>
    <w:p w14:paraId="6CB23E2B" w14:textId="544BBDBE" w:rsidR="001E33D8" w:rsidRDefault="00A00B46" w:rsidP="007C4380">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008F403E">
        <w:rPr>
          <w:rFonts w:cstheme="minorHAnsi"/>
          <w:sz w:val="28"/>
          <w:szCs w:val="28"/>
        </w:rPr>
        <w:t xml:space="preserve"> art. 49a w związku z art. 104 ustawy z dnia 14 czerwca 1960 r. – Kodeks postępowania administracyjnego (Dz. U. z 2023 r. poz. 775 i 803), w związku z </w:t>
      </w:r>
      <w:r w:rsidRPr="00001FCD">
        <w:rPr>
          <w:rFonts w:cstheme="minorHAnsi"/>
          <w:sz w:val="28"/>
          <w:szCs w:val="28"/>
        </w:rPr>
        <w:t>art. 53 ust. 1</w:t>
      </w:r>
      <w:r w:rsidR="008F403E">
        <w:rPr>
          <w:rFonts w:cstheme="minorHAnsi"/>
          <w:sz w:val="28"/>
          <w:szCs w:val="28"/>
        </w:rPr>
        <w:t>c</w:t>
      </w:r>
      <w:r w:rsidRPr="00001FCD">
        <w:rPr>
          <w:rFonts w:cstheme="minorHAnsi"/>
          <w:sz w:val="28"/>
          <w:szCs w:val="28"/>
        </w:rPr>
        <w:t xml:space="preserve"> ustawy z dnia 27 marca 2003 r. o planowaniu </w:t>
      </w:r>
      <w:r w:rsidRPr="000A38FE">
        <w:rPr>
          <w:rFonts w:cstheme="minorHAnsi"/>
          <w:sz w:val="28"/>
          <w:szCs w:val="28"/>
        </w:rPr>
        <w:t>i zagospodarowaniu przestrzennym (</w:t>
      </w:r>
      <w:r w:rsidRPr="000A38FE">
        <w:rPr>
          <w:sz w:val="28"/>
          <w:szCs w:val="28"/>
        </w:rPr>
        <w:t>Dz. U. z 2023 r. poz. 977, 1506, 1597, 1688, 1890</w:t>
      </w:r>
      <w:r>
        <w:rPr>
          <w:sz w:val="28"/>
          <w:szCs w:val="28"/>
        </w:rPr>
        <w:t xml:space="preserve">, </w:t>
      </w:r>
      <w:r w:rsidRPr="000A38FE">
        <w:rPr>
          <w:sz w:val="28"/>
          <w:szCs w:val="28"/>
        </w:rPr>
        <w:t>2029</w:t>
      </w:r>
      <w:r>
        <w:rPr>
          <w:sz w:val="28"/>
          <w:szCs w:val="28"/>
        </w:rPr>
        <w:t xml:space="preserve"> i 2739</w:t>
      </w:r>
      <w:r w:rsidRPr="000A38FE">
        <w:rPr>
          <w:rFonts w:cstheme="minorHAnsi"/>
          <w:sz w:val="28"/>
          <w:szCs w:val="28"/>
        </w:rPr>
        <w:t>).</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D875BA">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Pr="004D2F43"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509DDD7F" w14:textId="77777777" w:rsidR="00FC2DF6" w:rsidRPr="003F3FB4" w:rsidRDefault="00FC2DF6" w:rsidP="00FC2DF6">
      <w:pPr>
        <w:spacing w:after="120" w:line="240" w:lineRule="auto"/>
        <w:jc w:val="right"/>
        <w:rPr>
          <w:rFonts w:eastAsia="Calibri" w:cstheme="minorHAnsi"/>
          <w:sz w:val="28"/>
          <w:szCs w:val="28"/>
        </w:rPr>
      </w:pPr>
      <w:r w:rsidRPr="003F3FB4">
        <w:rPr>
          <w:rFonts w:eastAsia="Calibri" w:cstheme="minorHAnsi"/>
          <w:sz w:val="28"/>
          <w:szCs w:val="28"/>
        </w:rPr>
        <w:t>Śrem, 9 kwietnia 2024 roku</w:t>
      </w:r>
    </w:p>
    <w:p w14:paraId="53473457" w14:textId="77777777" w:rsidR="00FC2DF6" w:rsidRPr="003F3FB4" w:rsidRDefault="00FC2DF6" w:rsidP="00FC2DF6">
      <w:pPr>
        <w:spacing w:after="120" w:line="240" w:lineRule="auto"/>
        <w:jc w:val="both"/>
        <w:rPr>
          <w:rFonts w:eastAsia="Calibri" w:cstheme="minorHAnsi"/>
          <w:bCs/>
          <w:sz w:val="28"/>
          <w:szCs w:val="28"/>
        </w:rPr>
      </w:pPr>
      <w:r w:rsidRPr="003F3FB4">
        <w:rPr>
          <w:rFonts w:eastAsia="Calibri" w:cstheme="minorHAnsi"/>
          <w:sz w:val="28"/>
          <w:szCs w:val="28"/>
        </w:rPr>
        <w:t>PPSPP.6730.168.2023.KSAN</w:t>
      </w:r>
    </w:p>
    <w:p w14:paraId="6DAFDA53" w14:textId="77777777" w:rsidR="00FC2DF6" w:rsidRPr="003F3FB4" w:rsidRDefault="00FC2DF6" w:rsidP="00FC2DF6">
      <w:pPr>
        <w:spacing w:after="120" w:line="240" w:lineRule="auto"/>
        <w:jc w:val="center"/>
        <w:rPr>
          <w:rFonts w:eastAsia="Calibri" w:cstheme="minorHAnsi"/>
          <w:bCs/>
          <w:sz w:val="28"/>
          <w:szCs w:val="28"/>
        </w:rPr>
      </w:pPr>
      <w:r w:rsidRPr="003F3FB4">
        <w:rPr>
          <w:rFonts w:eastAsia="Calibri" w:cstheme="minorHAnsi"/>
          <w:bCs/>
          <w:sz w:val="28"/>
          <w:szCs w:val="28"/>
        </w:rPr>
        <w:t>Decyzja nr 35/2024</w:t>
      </w:r>
      <w:r w:rsidRPr="003F3FB4">
        <w:rPr>
          <w:rFonts w:eastAsia="Calibri" w:cstheme="minorHAnsi"/>
          <w:bCs/>
          <w:sz w:val="28"/>
          <w:szCs w:val="28"/>
        </w:rPr>
        <w:br/>
        <w:t xml:space="preserve"> o warunkach zabudowy</w:t>
      </w:r>
    </w:p>
    <w:p w14:paraId="0E579180" w14:textId="77777777" w:rsidR="00FC2DF6" w:rsidRPr="003F3FB4" w:rsidRDefault="00FC2DF6" w:rsidP="00FC2DF6">
      <w:pPr>
        <w:spacing w:after="120" w:line="240" w:lineRule="auto"/>
        <w:jc w:val="both"/>
        <w:rPr>
          <w:rFonts w:eastAsia="Calibri" w:cstheme="minorHAnsi"/>
          <w:sz w:val="28"/>
          <w:szCs w:val="28"/>
        </w:rPr>
      </w:pPr>
    </w:p>
    <w:p w14:paraId="50758BF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Na podstawie art. 4 ust. 2 pkt 2 w związku z art. 59 ust. 1 i art. 60 ust. 1 ustawy z dnia 27 marca 2003 r. o planowaniu i zagospodarowaniu przestrzennym (Dz. U. z 2023 r. poz. 977, 1506, 1597, 1688, 1890, 2029 i 2739), zwanej dalej u.p.z.p., oraz art. 104 ustawy z dnia 14 czerwca 1960 r. – Kodeks postępowania administracyjnego (Dz. U. z 2023 r. poz. 775 i 803), po rozpatrzeniu wniosku złożonego 10.11.2023 r., uzupełnionego 30.11.2023 r., zmienionego 06.03.2024 r., przez:</w:t>
      </w:r>
    </w:p>
    <w:p w14:paraId="4887E3AA" w14:textId="34D33549"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os</w:t>
      </w:r>
      <w:r w:rsidR="00245475">
        <w:rPr>
          <w:rFonts w:eastAsia="Calibri" w:cstheme="minorHAnsi"/>
          <w:sz w:val="28"/>
          <w:szCs w:val="28"/>
        </w:rPr>
        <w:t>oby</w:t>
      </w:r>
      <w:r w:rsidRPr="003F3FB4">
        <w:rPr>
          <w:rFonts w:eastAsia="Calibri" w:cstheme="minorHAnsi"/>
          <w:sz w:val="28"/>
          <w:szCs w:val="28"/>
        </w:rPr>
        <w:t xml:space="preserve"> fizyczn</w:t>
      </w:r>
      <w:r w:rsidR="00245475">
        <w:rPr>
          <w:rFonts w:eastAsia="Calibri" w:cstheme="minorHAnsi"/>
          <w:sz w:val="28"/>
          <w:szCs w:val="28"/>
        </w:rPr>
        <w:t>e</w:t>
      </w:r>
    </w:p>
    <w:p w14:paraId="2035D58A" w14:textId="77777777" w:rsidR="00FC2DF6" w:rsidRPr="003F3FB4" w:rsidRDefault="00FC2DF6" w:rsidP="00FC2DF6">
      <w:pPr>
        <w:spacing w:after="120" w:line="240" w:lineRule="auto"/>
        <w:jc w:val="both"/>
        <w:rPr>
          <w:rFonts w:eastAsia="Calibri" w:cstheme="minorHAnsi"/>
          <w:i/>
          <w:color w:val="0070C0"/>
          <w:sz w:val="28"/>
          <w:szCs w:val="28"/>
        </w:rPr>
      </w:pPr>
      <w:r w:rsidRPr="003F3FB4">
        <w:rPr>
          <w:rFonts w:eastAsia="Calibri" w:cstheme="minorHAnsi"/>
          <w:sz w:val="28"/>
          <w:szCs w:val="28"/>
        </w:rPr>
        <w:t xml:space="preserve">w sprawie ustalenia warunków zabudowy dla przedsięwzięcia: budowa budynku usługowego wraz z zagospodarowaniem terenu i infrastrukturą towarzyszącą na terenie działki o nr ewid. 741, obręb Śrem </w:t>
      </w:r>
    </w:p>
    <w:p w14:paraId="4C4DCE5F" w14:textId="77777777"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ustalam</w:t>
      </w:r>
      <w:r w:rsidRPr="003F3FB4">
        <w:rPr>
          <w:rFonts w:eastAsia="Calibri" w:cstheme="minorHAnsi"/>
          <w:sz w:val="28"/>
          <w:szCs w:val="28"/>
        </w:rPr>
        <w:br/>
        <w:t xml:space="preserve"> na rzecz Wnioskodawców</w:t>
      </w:r>
      <w:r w:rsidRPr="003F3FB4">
        <w:rPr>
          <w:rFonts w:eastAsia="Calibri" w:cstheme="minorHAnsi"/>
          <w:sz w:val="28"/>
          <w:szCs w:val="28"/>
        </w:rPr>
        <w:br/>
        <w:t xml:space="preserve"> następujące warunki zabudowy i zagospodarowania terenu:</w:t>
      </w:r>
    </w:p>
    <w:p w14:paraId="5FF2F80A" w14:textId="77777777" w:rsidR="00FC2DF6" w:rsidRPr="003F3FB4" w:rsidRDefault="00FC2DF6" w:rsidP="00FC2DF6">
      <w:pPr>
        <w:tabs>
          <w:tab w:val="left" w:pos="426"/>
        </w:tabs>
        <w:spacing w:after="120" w:line="240" w:lineRule="auto"/>
        <w:jc w:val="both"/>
        <w:rPr>
          <w:rFonts w:eastAsia="Calibri" w:cstheme="minorHAnsi"/>
          <w:sz w:val="28"/>
          <w:szCs w:val="28"/>
        </w:rPr>
      </w:pPr>
      <w:r w:rsidRPr="003F3FB4">
        <w:rPr>
          <w:rFonts w:eastAsia="Calibri" w:cstheme="minorHAnsi"/>
          <w:sz w:val="28"/>
          <w:szCs w:val="28"/>
        </w:rPr>
        <w:t>1.</w:t>
      </w:r>
      <w:r w:rsidRPr="003F3FB4">
        <w:rPr>
          <w:rFonts w:eastAsia="Calibri" w:cstheme="minorHAnsi"/>
          <w:sz w:val="28"/>
          <w:szCs w:val="28"/>
        </w:rPr>
        <w:tab/>
        <w:t>Opis inwestycji:</w:t>
      </w:r>
    </w:p>
    <w:p w14:paraId="07227632" w14:textId="77777777" w:rsidR="00FC2DF6" w:rsidRPr="003F3FB4" w:rsidRDefault="00FC2DF6" w:rsidP="00FC2DF6">
      <w:pPr>
        <w:numPr>
          <w:ilvl w:val="0"/>
          <w:numId w:val="5"/>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t xml:space="preserve">rodzaj: budynek usługowy (usługi medyczne); </w:t>
      </w:r>
    </w:p>
    <w:p w14:paraId="501D187B" w14:textId="77777777" w:rsidR="00FC2DF6" w:rsidRPr="003F3FB4" w:rsidRDefault="00FC2DF6" w:rsidP="00FC2DF6">
      <w:pPr>
        <w:numPr>
          <w:ilvl w:val="0"/>
          <w:numId w:val="5"/>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t>lokalizacja: działka o nr ewid. 741, obręb Śrem, zgodnie z liniami rozgraniczającymi teren inwestycji wyznaczonymi na mapie, stanowiącej załącznik nr 1 do decyzji;</w:t>
      </w:r>
    </w:p>
    <w:p w14:paraId="074108FE" w14:textId="77777777" w:rsidR="00FC2DF6" w:rsidRPr="003F3FB4" w:rsidRDefault="00FC2DF6" w:rsidP="00FC2DF6">
      <w:pPr>
        <w:numPr>
          <w:ilvl w:val="0"/>
          <w:numId w:val="5"/>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t>funkcja zabudowy i zagospodarowania terenu: usługowa.</w:t>
      </w:r>
    </w:p>
    <w:p w14:paraId="6502B7BC" w14:textId="77777777" w:rsidR="00FC2DF6" w:rsidRPr="003F3FB4" w:rsidRDefault="00FC2DF6" w:rsidP="00FC2DF6">
      <w:pPr>
        <w:tabs>
          <w:tab w:val="left" w:pos="426"/>
        </w:tabs>
        <w:spacing w:after="120" w:line="240" w:lineRule="auto"/>
        <w:jc w:val="both"/>
        <w:rPr>
          <w:rFonts w:eastAsia="Calibri" w:cstheme="minorHAnsi"/>
          <w:sz w:val="28"/>
          <w:szCs w:val="28"/>
        </w:rPr>
      </w:pPr>
      <w:r w:rsidRPr="003F3FB4">
        <w:rPr>
          <w:rFonts w:eastAsia="Calibri" w:cstheme="minorHAnsi"/>
          <w:sz w:val="28"/>
          <w:szCs w:val="28"/>
        </w:rPr>
        <w:t>2.</w:t>
      </w:r>
      <w:r w:rsidRPr="003F3FB4">
        <w:rPr>
          <w:rFonts w:eastAsia="Calibri" w:cstheme="minorHAnsi"/>
          <w:sz w:val="28"/>
          <w:szCs w:val="28"/>
        </w:rPr>
        <w:tab/>
        <w:t>Warunki i szczegółowe zasady zagospodarowania terenu oraz jego zabudowy wynikające z przepisów odrębnych w zakresie:</w:t>
      </w:r>
    </w:p>
    <w:p w14:paraId="344FA1BB" w14:textId="77777777" w:rsidR="00FC2DF6" w:rsidRPr="003F3FB4" w:rsidRDefault="00FC2DF6" w:rsidP="00FC2DF6">
      <w:pPr>
        <w:spacing w:after="120" w:line="240" w:lineRule="auto"/>
        <w:rPr>
          <w:rFonts w:eastAsia="Calibri" w:cstheme="minorHAnsi"/>
          <w:sz w:val="28"/>
          <w:szCs w:val="28"/>
        </w:rPr>
      </w:pPr>
      <w:r w:rsidRPr="003F3FB4">
        <w:rPr>
          <w:rFonts w:eastAsia="Calibri" w:cstheme="minorHAnsi"/>
          <w:sz w:val="28"/>
          <w:szCs w:val="28"/>
        </w:rPr>
        <w:br w:type="page"/>
      </w:r>
    </w:p>
    <w:p w14:paraId="6DFC5521" w14:textId="77777777" w:rsidR="00FC2DF6" w:rsidRPr="003F3FB4" w:rsidRDefault="00FC2DF6" w:rsidP="00FC2DF6">
      <w:pPr>
        <w:numPr>
          <w:ilvl w:val="0"/>
          <w:numId w:val="6"/>
        </w:numPr>
        <w:tabs>
          <w:tab w:val="left" w:pos="567"/>
        </w:tabs>
        <w:spacing w:after="120" w:line="240" w:lineRule="auto"/>
        <w:ind w:left="567"/>
        <w:contextualSpacing/>
        <w:jc w:val="both"/>
        <w:rPr>
          <w:rFonts w:eastAsia="Calibri" w:cstheme="minorHAnsi"/>
          <w:sz w:val="28"/>
          <w:szCs w:val="28"/>
        </w:rPr>
      </w:pPr>
      <w:r w:rsidRPr="003F3FB4">
        <w:rPr>
          <w:rFonts w:eastAsia="Calibri" w:cstheme="minorHAnsi"/>
          <w:sz w:val="28"/>
          <w:szCs w:val="28"/>
        </w:rPr>
        <w:lastRenderedPageBreak/>
        <w:t>warunków i wymagań ochrony i kształtowania ładu przestrzennego:</w:t>
      </w:r>
    </w:p>
    <w:p w14:paraId="045AB6CC"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linie zabudowy: </w:t>
      </w:r>
    </w:p>
    <w:p w14:paraId="2723617D" w14:textId="77777777" w:rsidR="00FC2DF6" w:rsidRPr="003F3FB4" w:rsidRDefault="00FC2DF6" w:rsidP="00FC2DF6">
      <w:pPr>
        <w:numPr>
          <w:ilvl w:val="0"/>
          <w:numId w:val="30"/>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obowiązująca ustalona jako przedłużenie linii istniejącego budynku mieszkalnego zlokalizowanego na działce o nr ewid. 740, obręb Śrem, w odległości 4,0 m, od strony ul. Floriana Marciniaka i oznaczająca linię, na której musi się znajdować nie mniej niż 60 % długości elewacji frontowej budynku usługowego, rozumianej jako elewacji, której lico skierowane jest w stronę tej drogi, </w:t>
      </w:r>
    </w:p>
    <w:p w14:paraId="135FC6CA" w14:textId="77777777" w:rsidR="00FC2DF6" w:rsidRPr="003F3FB4" w:rsidRDefault="00FC2DF6" w:rsidP="00FC2DF6">
      <w:pPr>
        <w:numPr>
          <w:ilvl w:val="0"/>
          <w:numId w:val="30"/>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nieprzekraczalna ustalona w odległości 6,0 m od granicy drogi gminnej – ul. Krętej i oznaczająca linię wyznaczającą najmniejszą odległość, w której mogą być zlokalizowane zewnętrzne krawędzie ścian zewnętrznych budynku, </w:t>
      </w:r>
    </w:p>
    <w:p w14:paraId="5C59E6B5" w14:textId="77777777" w:rsidR="00FC2DF6" w:rsidRPr="003F3FB4" w:rsidRDefault="00FC2DF6" w:rsidP="00FC2DF6">
      <w:pPr>
        <w:spacing w:after="120" w:line="240" w:lineRule="auto"/>
        <w:jc w:val="both"/>
        <w:rPr>
          <w:rFonts w:eastAsia="Calibri" w:cstheme="minorHAnsi"/>
          <w:sz w:val="28"/>
          <w:szCs w:val="28"/>
        </w:rPr>
      </w:pPr>
      <w:r w:rsidRPr="003F3FB4">
        <w:rPr>
          <w:rFonts w:eastAsia="Calibri" w:cstheme="minorHAnsi"/>
          <w:sz w:val="28"/>
          <w:szCs w:val="28"/>
        </w:rPr>
        <w:t>przy czym:</w:t>
      </w:r>
    </w:p>
    <w:p w14:paraId="7FF497D9" w14:textId="77777777" w:rsidR="00FC2DF6" w:rsidRPr="003F3FB4" w:rsidRDefault="00FC2DF6" w:rsidP="00FC2DF6">
      <w:pPr>
        <w:numPr>
          <w:ilvl w:val="0"/>
          <w:numId w:val="35"/>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okapy i gzymsy, mogą wykraczać przed linie zabudowy o nie więcej niż 0,8 m, </w:t>
      </w:r>
    </w:p>
    <w:p w14:paraId="657267D3" w14:textId="77777777" w:rsidR="00FC2DF6" w:rsidRPr="003F3FB4" w:rsidRDefault="00FC2DF6" w:rsidP="00FC2DF6">
      <w:pPr>
        <w:numPr>
          <w:ilvl w:val="0"/>
          <w:numId w:val="35"/>
        </w:numPr>
        <w:spacing w:after="120" w:line="240" w:lineRule="auto"/>
        <w:contextualSpacing/>
        <w:jc w:val="both"/>
        <w:rPr>
          <w:rFonts w:eastAsia="Calibri" w:cstheme="minorHAnsi"/>
          <w:sz w:val="28"/>
          <w:szCs w:val="28"/>
        </w:rPr>
      </w:pPr>
      <w:r w:rsidRPr="003F3FB4">
        <w:rPr>
          <w:rFonts w:eastAsia="Calibri" w:cstheme="minorHAnsi"/>
          <w:sz w:val="28"/>
          <w:szCs w:val="28"/>
        </w:rPr>
        <w:t>części budynku takie, jak: balkony, galerie, wykusze i ich zadaszenia wyłącznie na kondygnacjach wyższych niż parter, mogą wykraczać poza linie zabudowy o nie więcej niż 1,5 m,</w:t>
      </w:r>
    </w:p>
    <w:p w14:paraId="7105FD90" w14:textId="77777777" w:rsidR="00FC2DF6" w:rsidRPr="003F3FB4" w:rsidRDefault="00FC2DF6" w:rsidP="00FC2DF6">
      <w:pPr>
        <w:numPr>
          <w:ilvl w:val="0"/>
          <w:numId w:val="35"/>
        </w:numPr>
        <w:spacing w:after="120" w:line="240" w:lineRule="auto"/>
        <w:contextualSpacing/>
        <w:jc w:val="both"/>
        <w:rPr>
          <w:rFonts w:eastAsia="Calibri" w:cstheme="minorHAnsi"/>
          <w:color w:val="1F497D"/>
          <w:sz w:val="28"/>
          <w:szCs w:val="28"/>
        </w:rPr>
      </w:pPr>
      <w:r w:rsidRPr="003F3FB4">
        <w:rPr>
          <w:rFonts w:eastAsia="Calibri" w:cstheme="minorHAnsi"/>
          <w:sz w:val="28"/>
          <w:szCs w:val="28"/>
        </w:rPr>
        <w:t>zadaszenia wejściowe, mogą wykraczać poza linie zabudowy o nie więcej niż 1,5 m,</w:t>
      </w:r>
    </w:p>
    <w:p w14:paraId="0DDD7D71"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wskaźnik powierzchni zabudowy: od 18,8 % do 25,8 % powierzchni terenu,</w:t>
      </w:r>
    </w:p>
    <w:p w14:paraId="052222E8"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powierzchnia biologicznie czynna: nie mniejsza niż 25 % powierzchni terenu,</w:t>
      </w:r>
    </w:p>
    <w:p w14:paraId="09A1E35E"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szerokość elewacji frontowej</w:t>
      </w:r>
      <w:r w:rsidRPr="003F3FB4">
        <w:rPr>
          <w:rFonts w:eastAsia="Calibri" w:cstheme="minorHAnsi"/>
          <w:sz w:val="28"/>
          <w:szCs w:val="28"/>
          <w:vertAlign w:val="superscript"/>
        </w:rPr>
        <w:footnoteReference w:id="1"/>
      </w:r>
      <w:r w:rsidRPr="003F3FB4">
        <w:rPr>
          <w:rFonts w:eastAsia="Calibri" w:cstheme="minorHAnsi"/>
          <w:sz w:val="28"/>
          <w:szCs w:val="28"/>
        </w:rPr>
        <w:t xml:space="preserve"> budynku: od 12,0 m do 14,0 m,</w:t>
      </w:r>
    </w:p>
    <w:p w14:paraId="229C52C2"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wysokość górnej krawędzi elewacji frontowej budynku, jej gzymsu lub attyki:</w:t>
      </w:r>
    </w:p>
    <w:p w14:paraId="621FAC80" w14:textId="77777777" w:rsidR="00FC2DF6" w:rsidRPr="003F3FB4" w:rsidRDefault="00FC2DF6" w:rsidP="00FC2DF6">
      <w:pPr>
        <w:numPr>
          <w:ilvl w:val="0"/>
          <w:numId w:val="31"/>
        </w:numPr>
        <w:spacing w:after="120" w:line="240" w:lineRule="auto"/>
        <w:ind w:left="993"/>
        <w:contextualSpacing/>
        <w:jc w:val="both"/>
        <w:rPr>
          <w:rFonts w:eastAsia="Calibri" w:cstheme="minorHAnsi"/>
          <w:sz w:val="28"/>
          <w:szCs w:val="28"/>
        </w:rPr>
      </w:pPr>
      <w:r w:rsidRPr="003F3FB4">
        <w:rPr>
          <w:rFonts w:eastAsia="Calibri" w:cstheme="minorHAnsi"/>
          <w:sz w:val="28"/>
          <w:szCs w:val="28"/>
        </w:rPr>
        <w:t>części jednokondygnacyjnej: od 3,0 m do 4,0 m,</w:t>
      </w:r>
    </w:p>
    <w:p w14:paraId="74298409" w14:textId="77777777" w:rsidR="00FC2DF6" w:rsidRPr="003F3FB4" w:rsidRDefault="00FC2DF6" w:rsidP="00FC2DF6">
      <w:pPr>
        <w:numPr>
          <w:ilvl w:val="0"/>
          <w:numId w:val="31"/>
        </w:numPr>
        <w:spacing w:after="120" w:line="240" w:lineRule="auto"/>
        <w:ind w:left="993"/>
        <w:contextualSpacing/>
        <w:jc w:val="both"/>
        <w:rPr>
          <w:rFonts w:eastAsia="Calibri" w:cstheme="minorHAnsi"/>
          <w:sz w:val="28"/>
          <w:szCs w:val="28"/>
        </w:rPr>
      </w:pPr>
      <w:r w:rsidRPr="003F3FB4">
        <w:rPr>
          <w:rFonts w:eastAsia="Calibri" w:cstheme="minorHAnsi"/>
          <w:sz w:val="28"/>
          <w:szCs w:val="28"/>
        </w:rPr>
        <w:t>części dwukondygnacyjnej: od 7,5 m, do 8,5 m,</w:t>
      </w:r>
    </w:p>
    <w:p w14:paraId="77BB4FCB" w14:textId="77777777" w:rsidR="00FC2DF6" w:rsidRPr="003F3FB4" w:rsidRDefault="00FC2DF6" w:rsidP="00FC2DF6">
      <w:pPr>
        <w:numPr>
          <w:ilvl w:val="0"/>
          <w:numId w:val="18"/>
        </w:numPr>
        <w:spacing w:after="120" w:line="240" w:lineRule="auto"/>
        <w:contextualSpacing/>
        <w:jc w:val="both"/>
        <w:rPr>
          <w:rFonts w:eastAsia="Calibri" w:cstheme="minorHAnsi"/>
          <w:sz w:val="28"/>
          <w:szCs w:val="28"/>
        </w:rPr>
      </w:pPr>
      <w:r w:rsidRPr="003F3FB4">
        <w:rPr>
          <w:rFonts w:eastAsia="Calibri" w:cstheme="minorHAnsi"/>
          <w:sz w:val="28"/>
          <w:szCs w:val="28"/>
        </w:rPr>
        <w:t>geometria dachu:</w:t>
      </w:r>
    </w:p>
    <w:p w14:paraId="67F108C4" w14:textId="77777777" w:rsidR="00FC2DF6" w:rsidRPr="003F3FB4" w:rsidRDefault="00FC2DF6" w:rsidP="00FC2DF6">
      <w:pPr>
        <w:numPr>
          <w:ilvl w:val="0"/>
          <w:numId w:val="19"/>
        </w:numPr>
        <w:spacing w:after="120" w:line="240" w:lineRule="auto"/>
        <w:ind w:left="993"/>
        <w:contextualSpacing/>
        <w:jc w:val="both"/>
        <w:rPr>
          <w:rFonts w:eastAsia="Calibri" w:cstheme="minorHAnsi"/>
          <w:sz w:val="28"/>
          <w:szCs w:val="28"/>
        </w:rPr>
      </w:pPr>
      <w:r w:rsidRPr="003F3FB4">
        <w:rPr>
          <w:rFonts w:eastAsia="Calibri" w:cstheme="minorHAnsi"/>
          <w:sz w:val="28"/>
          <w:szCs w:val="28"/>
        </w:rPr>
        <w:t xml:space="preserve">kąt nachylenia głównych połaci dachu: nie większy niż 12˚, </w:t>
      </w:r>
    </w:p>
    <w:p w14:paraId="24EA484E" w14:textId="77777777" w:rsidR="00FC2DF6" w:rsidRPr="003F3FB4" w:rsidRDefault="00FC2DF6" w:rsidP="00FC2DF6">
      <w:pPr>
        <w:numPr>
          <w:ilvl w:val="0"/>
          <w:numId w:val="19"/>
        </w:numPr>
        <w:spacing w:after="120" w:line="240" w:lineRule="auto"/>
        <w:ind w:left="993"/>
        <w:contextualSpacing/>
        <w:jc w:val="both"/>
        <w:rPr>
          <w:rFonts w:eastAsia="Calibri" w:cstheme="minorHAnsi"/>
          <w:sz w:val="28"/>
          <w:szCs w:val="28"/>
        </w:rPr>
      </w:pPr>
      <w:r w:rsidRPr="003F3FB4">
        <w:rPr>
          <w:rFonts w:eastAsia="Calibri" w:cstheme="minorHAnsi"/>
          <w:sz w:val="28"/>
          <w:szCs w:val="28"/>
        </w:rPr>
        <w:t>wysokość budynku ze stropodachem:</w:t>
      </w:r>
    </w:p>
    <w:p w14:paraId="4AE4B0E7" w14:textId="77777777" w:rsidR="00FC2DF6" w:rsidRPr="003F3FB4" w:rsidRDefault="00FC2DF6" w:rsidP="00FC2DF6">
      <w:pPr>
        <w:spacing w:after="120" w:line="240" w:lineRule="auto"/>
        <w:ind w:left="709" w:firstLine="423"/>
        <w:contextualSpacing/>
        <w:jc w:val="both"/>
        <w:rPr>
          <w:rFonts w:eastAsia="Calibri" w:cstheme="minorHAnsi"/>
          <w:sz w:val="28"/>
          <w:szCs w:val="28"/>
        </w:rPr>
      </w:pPr>
      <w:r w:rsidRPr="003F3FB4">
        <w:rPr>
          <w:rFonts w:eastAsia="Calibri" w:cstheme="minorHAnsi"/>
          <w:sz w:val="28"/>
          <w:szCs w:val="28"/>
        </w:rPr>
        <w:t>-- części jednokondygnacyjnej: od 3,5 m do 4,0 m,</w:t>
      </w:r>
    </w:p>
    <w:p w14:paraId="42635C38" w14:textId="77777777" w:rsidR="00FC2DF6" w:rsidRPr="003F3FB4" w:rsidRDefault="00FC2DF6" w:rsidP="00FC2DF6">
      <w:pPr>
        <w:spacing w:after="120" w:line="240" w:lineRule="auto"/>
        <w:ind w:left="709" w:firstLine="423"/>
        <w:contextualSpacing/>
        <w:jc w:val="both"/>
        <w:rPr>
          <w:rFonts w:eastAsia="Calibri" w:cstheme="minorHAnsi"/>
          <w:sz w:val="28"/>
          <w:szCs w:val="28"/>
        </w:rPr>
      </w:pPr>
      <w:r w:rsidRPr="003F3FB4">
        <w:rPr>
          <w:rFonts w:eastAsia="Calibri" w:cstheme="minorHAnsi"/>
          <w:sz w:val="28"/>
          <w:szCs w:val="28"/>
        </w:rPr>
        <w:t>-- części dwukondygnacyjnej: od 7,5 m do 8,5 m,</w:t>
      </w:r>
    </w:p>
    <w:p w14:paraId="78D5A310" w14:textId="77777777" w:rsidR="00FC2DF6" w:rsidRPr="003F3FB4" w:rsidRDefault="00FC2DF6" w:rsidP="00FC2DF6">
      <w:pPr>
        <w:numPr>
          <w:ilvl w:val="0"/>
          <w:numId w:val="19"/>
        </w:numPr>
        <w:spacing w:after="120" w:line="240" w:lineRule="auto"/>
        <w:ind w:left="993"/>
        <w:contextualSpacing/>
        <w:jc w:val="both"/>
        <w:rPr>
          <w:rFonts w:eastAsia="Calibri" w:cstheme="minorHAnsi"/>
          <w:sz w:val="28"/>
          <w:szCs w:val="28"/>
        </w:rPr>
      </w:pPr>
      <w:r w:rsidRPr="003F3FB4">
        <w:rPr>
          <w:rFonts w:eastAsia="Calibri" w:cstheme="minorHAnsi"/>
          <w:sz w:val="28"/>
          <w:szCs w:val="28"/>
        </w:rPr>
        <w:lastRenderedPageBreak/>
        <w:t>układ głównych połaci dachu: jednospadowy;</w:t>
      </w:r>
    </w:p>
    <w:p w14:paraId="36DD8B08" w14:textId="77777777" w:rsidR="00FC2DF6" w:rsidRPr="003F3FB4" w:rsidRDefault="00FC2DF6" w:rsidP="00FC2DF6">
      <w:pPr>
        <w:numPr>
          <w:ilvl w:val="0"/>
          <w:numId w:val="6"/>
        </w:numPr>
        <w:spacing w:after="120" w:line="240" w:lineRule="auto"/>
        <w:ind w:left="567"/>
        <w:contextualSpacing/>
        <w:jc w:val="both"/>
        <w:rPr>
          <w:rFonts w:eastAsia="Calibri" w:cstheme="minorHAnsi"/>
          <w:color w:val="0070C0"/>
          <w:sz w:val="28"/>
          <w:szCs w:val="28"/>
        </w:rPr>
      </w:pPr>
      <w:r w:rsidRPr="003F3FB4">
        <w:rPr>
          <w:rFonts w:eastAsia="Calibri" w:cstheme="minorHAnsi"/>
          <w:sz w:val="28"/>
          <w:szCs w:val="28"/>
        </w:rPr>
        <w:t xml:space="preserve">ochrony środowiska i zdrowia ludzi oraz dziedzictwa kulturowego i zabytków oraz dóbr kultury współczesnej: </w:t>
      </w:r>
    </w:p>
    <w:p w14:paraId="6C2B933C" w14:textId="77777777" w:rsidR="00FC2DF6" w:rsidRPr="003F3FB4" w:rsidRDefault="00FC2DF6" w:rsidP="00FC2DF6">
      <w:pPr>
        <w:numPr>
          <w:ilvl w:val="0"/>
          <w:numId w:val="33"/>
        </w:numPr>
        <w:spacing w:after="120" w:line="240" w:lineRule="auto"/>
        <w:contextualSpacing/>
        <w:jc w:val="both"/>
        <w:rPr>
          <w:rFonts w:eastAsia="Calibri" w:cstheme="minorHAnsi"/>
          <w:color w:val="FF0000"/>
          <w:sz w:val="28"/>
          <w:szCs w:val="28"/>
        </w:rPr>
      </w:pPr>
      <w:r w:rsidRPr="003F3FB4">
        <w:rPr>
          <w:rFonts w:eastAsia="Calibri" w:cstheme="minorHAnsi"/>
          <w:sz w:val="28"/>
          <w:szCs w:val="28"/>
        </w:rPr>
        <w:t>należy zapewnić dostępność architektoniczną, co najmniej w zakresie określonym przez minimalne wymagania, o których mowa w art. 6 pkt 1 ustawy z dnia 19 lipca 2019 r. o zapewnianiu dostępności osobom ze szczególnymi potrzebami (Dz. U. z 2022 r. poz. 2240), będącą wynikiem uwzględnienia uniwersalnego projektowania albo zastosowania racjonalnego usprawnienia,</w:t>
      </w:r>
    </w:p>
    <w:p w14:paraId="5EBC6320" w14:textId="77777777" w:rsidR="00FC2DF6" w:rsidRPr="003F3FB4" w:rsidRDefault="00FC2DF6" w:rsidP="00FC2DF6">
      <w:pPr>
        <w:numPr>
          <w:ilvl w:val="0"/>
          <w:numId w:val="33"/>
        </w:numPr>
        <w:spacing w:after="120" w:line="240" w:lineRule="auto"/>
        <w:contextualSpacing/>
        <w:jc w:val="both"/>
        <w:rPr>
          <w:rFonts w:eastAsia="Calibri" w:cstheme="minorHAnsi"/>
          <w:color w:val="0070C0"/>
          <w:sz w:val="28"/>
          <w:szCs w:val="28"/>
        </w:rPr>
      </w:pPr>
      <w:r w:rsidRPr="003F3FB4">
        <w:rPr>
          <w:rFonts w:eastAsia="Calibri" w:cstheme="minorHAnsi"/>
          <w:sz w:val="28"/>
          <w:szCs w:val="28"/>
        </w:rPr>
        <w:t>uwzględnienie ograniczeń w zabudowie i zagospodarowaniu terenu wynikających z lokalizacji terenu w strefie ochrony konserwatorskiej: teren planowanej inwestycji znajduje się w strefie średniowiecznych i nowożytnych nawarstwień kulturowych założenia urbanistycznego miasta Śrem wpisanego do rejestru zabytków pod nr 543/49/A decyzją z dnia 22.02.1956 r. oraz pod nr 2554/A decyzją z dnia 22.10.1992 r., w związku z powyższym zastosowanie mają przepisy ustawy z dnia 23 lipca 2003 r. o ochronie zabytków i opiece nad zabytkami (Dz. U. z 2022 r. poz. 840, z 2023 poz. 951, 1688, z 2017 r. poz. 1595);</w:t>
      </w:r>
    </w:p>
    <w:p w14:paraId="7C33A60D" w14:textId="77777777" w:rsidR="00FC2DF6" w:rsidRPr="003F3FB4" w:rsidRDefault="00FC2DF6" w:rsidP="00FC2DF6">
      <w:pPr>
        <w:numPr>
          <w:ilvl w:val="0"/>
          <w:numId w:val="6"/>
        </w:numPr>
        <w:spacing w:after="120" w:line="240" w:lineRule="auto"/>
        <w:ind w:left="567" w:hanging="425"/>
        <w:contextualSpacing/>
        <w:jc w:val="both"/>
        <w:rPr>
          <w:rFonts w:eastAsia="Calibri" w:cstheme="minorHAnsi"/>
          <w:color w:val="0070C0"/>
          <w:sz w:val="28"/>
          <w:szCs w:val="28"/>
        </w:rPr>
      </w:pPr>
      <w:r w:rsidRPr="003F3FB4">
        <w:rPr>
          <w:rFonts w:eastAsia="Calibri" w:cstheme="minorHAnsi"/>
          <w:sz w:val="28"/>
          <w:szCs w:val="28"/>
        </w:rPr>
        <w:t>obsługi w zakresie infrastruktury technicznej i komunikacji:</w:t>
      </w:r>
    </w:p>
    <w:p w14:paraId="64764259"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sposób zaopatrzenia w wodę: istniejąca sieć wodociągowa (umowa o zaopatrzenie w wodę i odprowadzenie ścieków z dnia 16.12.2022 r.),</w:t>
      </w:r>
    </w:p>
    <w:p w14:paraId="27DC3377"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sposób zaopatrzenia w energię elektryczną: sieć elektroenergetyczna,</w:t>
      </w:r>
    </w:p>
    <w:p w14:paraId="45AF1B9F"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sposób zaopatrzenia w energię cieplną: zgodnie z przepisami odrębnymi,</w:t>
      </w:r>
    </w:p>
    <w:p w14:paraId="69C36FDC"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color w:val="0070C0"/>
          <w:sz w:val="28"/>
          <w:szCs w:val="28"/>
        </w:rPr>
      </w:pPr>
      <w:r w:rsidRPr="003F3FB4">
        <w:rPr>
          <w:rFonts w:eastAsia="Calibri" w:cstheme="minorHAnsi"/>
          <w:sz w:val="28"/>
          <w:szCs w:val="28"/>
        </w:rPr>
        <w:t>odprowadzanie ścieków bytowych: sieć kanalizacji sanitarnej (umowa o zaopatrzenie w wodę i odprowadzenie ścieków z dnia 16.12.2022 r.),</w:t>
      </w:r>
    </w:p>
    <w:p w14:paraId="09A7479B"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7172C25F"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t>gospodarowanie odpadami: zgodnie z przepisami odrębnymi,</w:t>
      </w:r>
    </w:p>
    <w:p w14:paraId="5A97B823"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iCs/>
          <w:color w:val="0070C0"/>
          <w:sz w:val="28"/>
          <w:szCs w:val="28"/>
        </w:rPr>
      </w:pPr>
      <w:r w:rsidRPr="003F3FB4">
        <w:rPr>
          <w:rFonts w:eastAsia="Calibri" w:cstheme="minorHAnsi"/>
          <w:sz w:val="28"/>
          <w:szCs w:val="28"/>
        </w:rPr>
        <w:t xml:space="preserve">dostęp do drogi publicznej: bezpośredni do drogi publicznej (gminnej) – ul. Floriana Marciniaka (działka o nr ewid. 848, obręb Śrem), poprzez istniejący zjazd, </w:t>
      </w:r>
    </w:p>
    <w:p w14:paraId="097FF9D9" w14:textId="77777777" w:rsidR="00FC2DF6" w:rsidRPr="003F3FB4" w:rsidRDefault="00FC2DF6" w:rsidP="00FC2DF6">
      <w:pPr>
        <w:tabs>
          <w:tab w:val="left" w:pos="993"/>
        </w:tabs>
        <w:spacing w:after="120" w:line="240" w:lineRule="auto"/>
        <w:ind w:left="993"/>
        <w:contextualSpacing/>
        <w:jc w:val="both"/>
        <w:rPr>
          <w:rFonts w:eastAsia="Calibri" w:cstheme="minorHAnsi"/>
          <w:sz w:val="28"/>
          <w:szCs w:val="28"/>
        </w:rPr>
      </w:pPr>
    </w:p>
    <w:p w14:paraId="0DA0B93A" w14:textId="77777777" w:rsidR="00FC2DF6" w:rsidRPr="003F3FB4" w:rsidRDefault="00FC2DF6" w:rsidP="00FC2DF6">
      <w:pPr>
        <w:tabs>
          <w:tab w:val="left" w:pos="993"/>
        </w:tabs>
        <w:spacing w:after="120" w:line="240" w:lineRule="auto"/>
        <w:ind w:left="993"/>
        <w:contextualSpacing/>
        <w:jc w:val="both"/>
        <w:rPr>
          <w:rFonts w:eastAsia="Calibri" w:cstheme="minorHAnsi"/>
          <w:iCs/>
          <w:color w:val="0070C0"/>
          <w:sz w:val="28"/>
          <w:szCs w:val="28"/>
        </w:rPr>
      </w:pPr>
    </w:p>
    <w:p w14:paraId="69EE8CCE" w14:textId="77777777" w:rsidR="00FC2DF6" w:rsidRPr="003F3FB4" w:rsidRDefault="00FC2DF6" w:rsidP="00FC2DF6">
      <w:pPr>
        <w:numPr>
          <w:ilvl w:val="0"/>
          <w:numId w:val="21"/>
        </w:numPr>
        <w:tabs>
          <w:tab w:val="left" w:pos="993"/>
        </w:tabs>
        <w:spacing w:after="120" w:line="240" w:lineRule="auto"/>
        <w:ind w:left="993"/>
        <w:contextualSpacing/>
        <w:jc w:val="both"/>
        <w:rPr>
          <w:rFonts w:eastAsia="Calibri" w:cstheme="minorHAnsi"/>
          <w:sz w:val="28"/>
          <w:szCs w:val="28"/>
        </w:rPr>
      </w:pPr>
      <w:r w:rsidRPr="003F3FB4">
        <w:rPr>
          <w:rFonts w:eastAsia="Calibri" w:cstheme="minorHAnsi"/>
          <w:sz w:val="28"/>
          <w:szCs w:val="28"/>
        </w:rPr>
        <w:lastRenderedPageBreak/>
        <w:t>liczba miejsc parkingowych: nie mniej niż jedno miejsce na każde rozpoczęte 50m</w:t>
      </w:r>
      <w:r w:rsidRPr="003F3FB4">
        <w:rPr>
          <w:rFonts w:eastAsia="Calibri" w:cstheme="minorHAnsi"/>
          <w:sz w:val="28"/>
          <w:szCs w:val="28"/>
          <w:vertAlign w:val="superscript"/>
        </w:rPr>
        <w:t>2</w:t>
      </w:r>
      <w:r w:rsidRPr="003F3FB4">
        <w:rPr>
          <w:rFonts w:eastAsia="Calibri" w:cstheme="minorHAnsi"/>
          <w:sz w:val="28"/>
          <w:szCs w:val="28"/>
        </w:rPr>
        <w:t xml:space="preserve"> powierzchni użytkowej części usługowej budynku oraz przeznaczone dla pojazdów zaopatrzonych w kartę parkingową, zgodnie z przepisami odrębnymi, zlokalizowane na terenie inwestycji; </w:t>
      </w:r>
    </w:p>
    <w:p w14:paraId="7F9CB783" w14:textId="77777777" w:rsidR="00FC2DF6" w:rsidRPr="003F3FB4" w:rsidRDefault="00FC2DF6" w:rsidP="00FC2DF6">
      <w:pPr>
        <w:numPr>
          <w:ilvl w:val="0"/>
          <w:numId w:val="6"/>
        </w:numPr>
        <w:tabs>
          <w:tab w:val="left" w:pos="993"/>
        </w:tabs>
        <w:spacing w:after="120" w:line="240" w:lineRule="auto"/>
        <w:ind w:left="567" w:hanging="425"/>
        <w:contextualSpacing/>
        <w:jc w:val="both"/>
        <w:rPr>
          <w:rFonts w:eastAsia="Calibri" w:cstheme="minorHAnsi"/>
          <w:sz w:val="28"/>
          <w:szCs w:val="28"/>
        </w:rPr>
      </w:pPr>
      <w:r w:rsidRPr="003F3FB4">
        <w:rPr>
          <w:rFonts w:eastAsia="Calibri" w:cstheme="minorHAnsi"/>
          <w:sz w:val="28"/>
          <w:szCs w:val="28"/>
        </w:rPr>
        <w:t>wymagań dotyczących ochrony interesów osób trzecich:</w:t>
      </w:r>
    </w:p>
    <w:p w14:paraId="3A392662" w14:textId="77777777" w:rsidR="00FC2DF6" w:rsidRPr="003F3FB4" w:rsidRDefault="00FC2DF6" w:rsidP="00FC2DF6">
      <w:pPr>
        <w:numPr>
          <w:ilvl w:val="0"/>
          <w:numId w:val="7"/>
        </w:numPr>
        <w:spacing w:after="120" w:line="240" w:lineRule="auto"/>
        <w:contextualSpacing/>
        <w:jc w:val="both"/>
        <w:rPr>
          <w:rFonts w:eastAsia="Calibri" w:cstheme="minorHAnsi"/>
          <w:sz w:val="28"/>
          <w:szCs w:val="28"/>
        </w:rPr>
      </w:pPr>
      <w:r w:rsidRPr="003F3FB4">
        <w:rPr>
          <w:rFonts w:eastAsia="Calibri" w:cstheme="minorHAnsi"/>
          <w:sz w:val="28"/>
          <w:szCs w:val="28"/>
        </w:rPr>
        <w:t xml:space="preserve">warunki ochrony przed pozbawieniem: </w:t>
      </w:r>
    </w:p>
    <w:p w14:paraId="3D8258F1" w14:textId="77777777" w:rsidR="00FC2DF6" w:rsidRPr="003F3FB4" w:rsidRDefault="00FC2DF6" w:rsidP="00FC2DF6">
      <w:pPr>
        <w:numPr>
          <w:ilvl w:val="0"/>
          <w:numId w:val="8"/>
        </w:numPr>
        <w:spacing w:after="120" w:line="240" w:lineRule="auto"/>
        <w:ind w:left="993" w:hanging="426"/>
        <w:contextualSpacing/>
        <w:jc w:val="both"/>
        <w:rPr>
          <w:rFonts w:eastAsia="Calibri" w:cstheme="minorHAnsi"/>
          <w:sz w:val="28"/>
          <w:szCs w:val="28"/>
        </w:rPr>
      </w:pPr>
      <w:r w:rsidRPr="003F3FB4">
        <w:rPr>
          <w:rFonts w:eastAsia="Calibri"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4C9AD923" w14:textId="77777777" w:rsidR="00FC2DF6" w:rsidRPr="003F3FB4" w:rsidRDefault="00FC2DF6" w:rsidP="00FC2DF6">
      <w:pPr>
        <w:numPr>
          <w:ilvl w:val="0"/>
          <w:numId w:val="8"/>
        </w:numPr>
        <w:spacing w:after="120" w:line="240" w:lineRule="auto"/>
        <w:ind w:left="993" w:hanging="426"/>
        <w:contextualSpacing/>
        <w:jc w:val="both"/>
        <w:rPr>
          <w:rFonts w:eastAsia="Calibri" w:cstheme="minorHAnsi"/>
          <w:sz w:val="28"/>
          <w:szCs w:val="28"/>
        </w:rPr>
      </w:pPr>
      <w:r w:rsidRPr="003F3FB4">
        <w:rPr>
          <w:rFonts w:eastAsia="Calibri" w:cstheme="minorHAnsi"/>
          <w:sz w:val="28"/>
          <w:szCs w:val="28"/>
        </w:rPr>
        <w:t>dostępu światła dziennego do pomieszczeń przeznaczonych na pobyt ludzi – inwestycja i sposób zagospodarowania terenu powinny spełniać wymogi zawarte w przepisach techniczno – budowlanych, a jednocześnie na etapie opracowania projektu budowlanego należy uwzględnić wymagania w zakresie ochrony uzasadnionych interesów osób trzecich,</w:t>
      </w:r>
    </w:p>
    <w:p w14:paraId="6B88E768" w14:textId="77777777" w:rsidR="00FC2DF6" w:rsidRPr="003F3FB4" w:rsidRDefault="00FC2DF6" w:rsidP="00FC2DF6">
      <w:pPr>
        <w:numPr>
          <w:ilvl w:val="0"/>
          <w:numId w:val="7"/>
        </w:numPr>
        <w:spacing w:after="120" w:line="240" w:lineRule="auto"/>
        <w:contextualSpacing/>
        <w:jc w:val="both"/>
        <w:rPr>
          <w:rFonts w:eastAsia="Calibri" w:cstheme="minorHAnsi"/>
          <w:sz w:val="28"/>
          <w:szCs w:val="28"/>
        </w:rPr>
      </w:pPr>
      <w:r w:rsidRPr="003F3FB4">
        <w:rPr>
          <w:rFonts w:eastAsia="Calibri"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7E227CDC" w14:textId="77777777" w:rsidR="00FC2DF6" w:rsidRPr="003F3FB4" w:rsidRDefault="00FC2DF6" w:rsidP="00FC2DF6">
      <w:pPr>
        <w:tabs>
          <w:tab w:val="left" w:pos="426"/>
        </w:tabs>
        <w:spacing w:after="120" w:line="240" w:lineRule="auto"/>
        <w:jc w:val="both"/>
        <w:rPr>
          <w:rFonts w:eastAsia="Calibri" w:cstheme="minorHAnsi"/>
          <w:bCs/>
          <w:sz w:val="28"/>
          <w:szCs w:val="28"/>
        </w:rPr>
      </w:pPr>
      <w:r w:rsidRPr="003F3FB4">
        <w:rPr>
          <w:rFonts w:eastAsia="Calibri" w:cstheme="minorHAnsi"/>
          <w:bCs/>
          <w:sz w:val="28"/>
          <w:szCs w:val="28"/>
        </w:rPr>
        <w:t>3.</w:t>
      </w:r>
      <w:r w:rsidRPr="003F3FB4">
        <w:rPr>
          <w:rFonts w:eastAsia="Calibri" w:cstheme="minorHAnsi"/>
          <w:bCs/>
          <w:sz w:val="28"/>
          <w:szCs w:val="28"/>
        </w:rPr>
        <w:tab/>
        <w:t>Linie rozgraniczające teren inwestycji wyznaczone na mapie zasadniczej w skali 1:1000.</w:t>
      </w:r>
    </w:p>
    <w:p w14:paraId="0C1CFC56" w14:textId="77777777"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Uzasadnienie</w:t>
      </w:r>
    </w:p>
    <w:p w14:paraId="4F091ED2"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Stosownie do art. 59 ust. 2 ustawy z dnia 7 lipca 2023 r. o zmianie u.p.z.p.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2BF0453E" w14:textId="77777777" w:rsidR="00FC2DF6" w:rsidRPr="003F3FB4" w:rsidRDefault="00FC2DF6" w:rsidP="00FC2DF6">
      <w:pPr>
        <w:numPr>
          <w:ilvl w:val="0"/>
          <w:numId w:val="25"/>
        </w:numPr>
        <w:spacing w:after="120" w:line="240" w:lineRule="auto"/>
        <w:ind w:firstLine="360"/>
        <w:contextualSpacing/>
        <w:jc w:val="both"/>
        <w:rPr>
          <w:rFonts w:eastAsia="Calibri" w:cstheme="minorHAnsi"/>
          <w:sz w:val="28"/>
          <w:szCs w:val="28"/>
        </w:rPr>
      </w:pPr>
      <w:r w:rsidRPr="003F3FB4">
        <w:rPr>
          <w:rFonts w:eastAsia="Calibri" w:cstheme="minorHAnsi"/>
          <w:sz w:val="28"/>
          <w:szCs w:val="28"/>
        </w:rPr>
        <w:t>stosuje się przepisy art. 54 oraz art. 61 ust. 1 pkt 1, ust. 2, 3 i 5a ustawy zmienianej w art. 1 w brzmieniu dotychczasowym;</w:t>
      </w:r>
    </w:p>
    <w:p w14:paraId="3B9D2507" w14:textId="77777777" w:rsidR="00FC2DF6" w:rsidRPr="003F3FB4" w:rsidRDefault="00FC2DF6" w:rsidP="00FC2DF6">
      <w:pPr>
        <w:numPr>
          <w:ilvl w:val="0"/>
          <w:numId w:val="25"/>
        </w:numPr>
        <w:spacing w:after="120" w:line="240" w:lineRule="auto"/>
        <w:ind w:firstLine="360"/>
        <w:contextualSpacing/>
        <w:jc w:val="both"/>
        <w:rPr>
          <w:rFonts w:eastAsia="Calibri" w:cstheme="minorHAnsi"/>
          <w:sz w:val="28"/>
          <w:szCs w:val="28"/>
        </w:rPr>
      </w:pPr>
      <w:r w:rsidRPr="003F3FB4">
        <w:rPr>
          <w:rFonts w:eastAsia="Calibri" w:cstheme="minorHAnsi"/>
          <w:sz w:val="28"/>
          <w:szCs w:val="28"/>
        </w:rPr>
        <w:t xml:space="preserve">nie stosuje się przepisów art. 61 ust. 1 pkt 1, ust. 2, 3 i 5a ustawy zmienianej w art.1. </w:t>
      </w:r>
    </w:p>
    <w:p w14:paraId="16A25EA7" w14:textId="77777777" w:rsidR="00FC2DF6" w:rsidRPr="003F3FB4" w:rsidRDefault="00FC2DF6" w:rsidP="00FC2DF6">
      <w:pPr>
        <w:spacing w:after="120" w:line="240" w:lineRule="auto"/>
        <w:ind w:firstLine="567"/>
        <w:jc w:val="both"/>
        <w:rPr>
          <w:rFonts w:eastAsia="Calibri" w:cstheme="minorHAnsi"/>
          <w:sz w:val="28"/>
          <w:szCs w:val="28"/>
        </w:rPr>
      </w:pPr>
    </w:p>
    <w:p w14:paraId="6E15EFB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5A9AA236"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 myśl art. 59 ust. 1 u.p.z.p.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794DE454"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Zgodnie z art. 60 ust. 1 u.p.z.p. decyzję o warunkach zabudowy wydaje, z zastrzeżeniem ust. 3, wójt, burmistrz albo prezydent miasta po uzgodnieniu z organami, o których mowa w art. 53 ust. 4, i uzyskaniu uzgodnień lub decyzji wymaganych przepisami odrębnymi.</w:t>
      </w:r>
    </w:p>
    <w:p w14:paraId="3C3D6E3D"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1BBB0097"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Do wniosku o ustalenie warunków zabudowy Wnioskodawcy załączyli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Wnioskodawcy wskazali również obszar, na który planowana inwestycja będzie oddziaływać. Wniosek zatem był kompletny. </w:t>
      </w:r>
    </w:p>
    <w:p w14:paraId="70125FF1"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Planowana inwestycja polega na budowie budynku usługowego wraz z zagospodarowaniem terenu i infrastrukturą towarzyszącą na terenie działki o nr ewid. 741, obręb Śrem. Budynek usługowy ma składać się z dwóch części: jednokondygnacyjnej oraz części dwukondygnacyjnej. Całość będzie stanowić jedną bryłę. Dla planowanego budynku jest przewidziana budowa piwnicy. Na terenie objętym wnioskiem znajduje się budynek mieszkalny jednorodzinny oraz dwa budynki gospodarczo-garażowe. Wnioskodawcy planują rozbiórkę istniejących budynków, co wskazali w załączniku graficznym dołączonym do wniosku. </w:t>
      </w:r>
    </w:p>
    <w:p w14:paraId="0BF79E82"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p>
    <w:p w14:paraId="3588A1BE"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Charakterystyka planowanej inwestycji na podstawie wniosku po zmianach:</w:t>
      </w:r>
    </w:p>
    <w:p w14:paraId="55B1B88F"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powierzchnia zabudowy: od 147,5 m</w:t>
      </w:r>
      <w:r w:rsidRPr="003F3FB4">
        <w:rPr>
          <w:rFonts w:eastAsia="Calibri" w:cstheme="minorHAnsi"/>
          <w:sz w:val="28"/>
          <w:szCs w:val="28"/>
          <w:vertAlign w:val="superscript"/>
        </w:rPr>
        <w:t>2</w:t>
      </w:r>
      <w:r w:rsidRPr="003F3FB4">
        <w:rPr>
          <w:rFonts w:eastAsia="Calibri" w:cstheme="minorHAnsi"/>
          <w:sz w:val="28"/>
          <w:szCs w:val="28"/>
        </w:rPr>
        <w:t xml:space="preserve"> do 202,5 m</w:t>
      </w:r>
      <w:r w:rsidRPr="003F3FB4">
        <w:rPr>
          <w:rFonts w:eastAsia="Calibri" w:cstheme="minorHAnsi"/>
          <w:sz w:val="28"/>
          <w:szCs w:val="28"/>
          <w:vertAlign w:val="superscript"/>
        </w:rPr>
        <w:t>2</w:t>
      </w:r>
      <w:r w:rsidRPr="003F3FB4">
        <w:rPr>
          <w:rFonts w:eastAsia="Calibri" w:cstheme="minorHAnsi"/>
          <w:sz w:val="28"/>
          <w:szCs w:val="28"/>
        </w:rPr>
        <w:t>,</w:t>
      </w:r>
    </w:p>
    <w:p w14:paraId="1E022B2E"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liczba kondygnacji: 1 i 2,</w:t>
      </w:r>
    </w:p>
    <w:p w14:paraId="543F4665"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wysokość górnej krawędzi elewacji frontowej:</w:t>
      </w:r>
    </w:p>
    <w:p w14:paraId="1A7C83DC" w14:textId="77777777" w:rsidR="00FC2DF6" w:rsidRPr="003F3FB4" w:rsidRDefault="00FC2DF6" w:rsidP="00FC2DF6">
      <w:pPr>
        <w:numPr>
          <w:ilvl w:val="0"/>
          <w:numId w:val="38"/>
        </w:numPr>
        <w:tabs>
          <w:tab w:val="left" w:pos="851"/>
        </w:tabs>
        <w:spacing w:after="120" w:line="240" w:lineRule="auto"/>
        <w:ind w:left="1276"/>
        <w:contextualSpacing/>
        <w:jc w:val="both"/>
        <w:rPr>
          <w:rFonts w:eastAsia="Calibri" w:cstheme="minorHAnsi"/>
          <w:sz w:val="28"/>
          <w:szCs w:val="28"/>
        </w:rPr>
      </w:pPr>
      <w:r w:rsidRPr="003F3FB4">
        <w:rPr>
          <w:rFonts w:eastAsia="Calibri" w:cstheme="minorHAnsi"/>
          <w:sz w:val="28"/>
          <w:szCs w:val="28"/>
        </w:rPr>
        <w:t>części jednokondygnacyjnej: od 3,0 m do 4,5 m,</w:t>
      </w:r>
    </w:p>
    <w:p w14:paraId="35DB495E" w14:textId="77777777" w:rsidR="00FC2DF6" w:rsidRPr="003F3FB4" w:rsidRDefault="00FC2DF6" w:rsidP="00FC2DF6">
      <w:pPr>
        <w:numPr>
          <w:ilvl w:val="0"/>
          <w:numId w:val="38"/>
        </w:numPr>
        <w:tabs>
          <w:tab w:val="left" w:pos="851"/>
        </w:tabs>
        <w:spacing w:after="120" w:line="240" w:lineRule="auto"/>
        <w:ind w:left="1276"/>
        <w:contextualSpacing/>
        <w:jc w:val="both"/>
        <w:rPr>
          <w:rFonts w:eastAsia="Calibri" w:cstheme="minorHAnsi"/>
          <w:sz w:val="28"/>
          <w:szCs w:val="28"/>
        </w:rPr>
      </w:pPr>
      <w:r w:rsidRPr="003F3FB4">
        <w:rPr>
          <w:rFonts w:eastAsia="Calibri" w:cstheme="minorHAnsi"/>
          <w:sz w:val="28"/>
          <w:szCs w:val="28"/>
        </w:rPr>
        <w:t>części dwukondygnacyjnej: od 7,5 m do 8,5 m,</w:t>
      </w:r>
    </w:p>
    <w:p w14:paraId="389A68B3"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szerokość elewacji frontowej: od 12,0 m do 14,0 m,</w:t>
      </w:r>
    </w:p>
    <w:p w14:paraId="16AF74CB" w14:textId="77777777" w:rsidR="00FC2DF6" w:rsidRPr="003F3FB4" w:rsidRDefault="00FC2DF6" w:rsidP="00FC2DF6">
      <w:pPr>
        <w:numPr>
          <w:ilvl w:val="0"/>
          <w:numId w:val="37"/>
        </w:numPr>
        <w:tabs>
          <w:tab w:val="left" w:pos="851"/>
        </w:tabs>
        <w:spacing w:after="120" w:line="240" w:lineRule="auto"/>
        <w:contextualSpacing/>
        <w:jc w:val="both"/>
        <w:rPr>
          <w:rFonts w:eastAsia="Calibri" w:cstheme="minorHAnsi"/>
          <w:sz w:val="28"/>
          <w:szCs w:val="28"/>
        </w:rPr>
      </w:pPr>
      <w:r w:rsidRPr="003F3FB4">
        <w:rPr>
          <w:rFonts w:eastAsia="Calibri" w:cstheme="minorHAnsi"/>
          <w:sz w:val="28"/>
          <w:szCs w:val="28"/>
        </w:rPr>
        <w:t>kąt nachylenia dachu: nie większy niż 12˚.</w:t>
      </w:r>
    </w:p>
    <w:p w14:paraId="64205A73"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Przedmiotowy teren o powierzchni 785 m</w:t>
      </w:r>
      <w:r w:rsidRPr="003F3FB4">
        <w:rPr>
          <w:rFonts w:eastAsia="Calibri" w:cstheme="minorHAnsi"/>
          <w:sz w:val="28"/>
          <w:szCs w:val="28"/>
          <w:vertAlign w:val="superscript"/>
        </w:rPr>
        <w:t>2</w:t>
      </w:r>
      <w:r w:rsidRPr="003F3FB4">
        <w:rPr>
          <w:rFonts w:eastAsia="Calibri" w:cstheme="minorHAnsi"/>
          <w:sz w:val="28"/>
          <w:szCs w:val="28"/>
        </w:rPr>
        <w:t xml:space="preserve">, zgodnie z prowadzoną przez Starostę Śremskiego ewidencją gruntów i budynków, stanowi tereny mieszkaniowe B. Front terenu przylega do drogi publicznej – ul. Floriana Marciniaka (droga gminna) i wynosi ca 19,0 m. Trzykrotna szerokość działki wynosi 57,0 m, czyli nie mniej niż 50 m. Teren objęty wnioskiem od strony północnej i południowej graniczy z terenami zabudowy mieszkaniowej jednorodzinnej, od pozostałych stron graniczy z drogami. </w:t>
      </w:r>
    </w:p>
    <w:p w14:paraId="483ACB4A"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Dla terenu projektowanej inwestycji nie został uchwalony miejscowy plan zagospodarowania przestrzennego, plan ogólny gminy ani nie została podjęta uchwała w sprawie przystąpienia do sporządzenia miejscowego planu zagospodarowania przestrzennego.</w:t>
      </w:r>
    </w:p>
    <w:p w14:paraId="1295A3BD"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11B73293"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Zgodnie z art. 60 ust. 4 u.p.z.p. sporządzenie projektu decyzji o</w:t>
      </w:r>
      <w:r w:rsidRPr="00FC2DF6">
        <w:rPr>
          <w:rFonts w:eastAsia="Calibri" w:cstheme="minorHAnsi"/>
          <w:sz w:val="28"/>
          <w:szCs w:val="28"/>
        </w:rPr>
        <w:t> </w:t>
      </w:r>
      <w:r w:rsidRPr="003F3FB4">
        <w:rPr>
          <w:rFonts w:eastAsia="Calibri" w:cstheme="minorHAnsi"/>
          <w:sz w:val="28"/>
          <w:szCs w:val="28"/>
        </w:rPr>
        <w:t>warunków zabudowy powierzono osobie spełniającej warunki określone w</w:t>
      </w:r>
      <w:r w:rsidRPr="00FC2DF6">
        <w:rPr>
          <w:rFonts w:eastAsia="Calibri" w:cstheme="minorHAnsi"/>
          <w:sz w:val="28"/>
          <w:szCs w:val="28"/>
        </w:rPr>
        <w:t> </w:t>
      </w:r>
      <w:r w:rsidRPr="003F3FB4">
        <w:rPr>
          <w:rFonts w:eastAsia="Calibri" w:cstheme="minorHAnsi"/>
          <w:sz w:val="28"/>
          <w:szCs w:val="28"/>
        </w:rPr>
        <w:t xml:space="preserve">art. 5 pkt 4. Projekt decyzji znajduje się w aktach sprawy. </w:t>
      </w:r>
    </w:p>
    <w:p w14:paraId="3C1BEB9F"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162B11C6"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występowaniem złóż kopalin oraz obecnych i przyszłych potrzeb eksploatacji tych złóż;</w:t>
      </w:r>
    </w:p>
    <w:p w14:paraId="0D5598B2"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ochroną wód, gleby i ziemi przed zanieczyszczeniem w związku z prowadzeniem gospodarki rolnej;</w:t>
      </w:r>
    </w:p>
    <w:p w14:paraId="27CFAE3F"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potrzebami w zakresie zapobiegania ruchom masowym ziemi i ich skutkom;</w:t>
      </w:r>
    </w:p>
    <w:p w14:paraId="655C6899"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lastRenderedPageBreak/>
        <w:t>innymi potrzebami w zakresie ochrony powietrza, wód, gleby, ziemi, ochrony przed hałasem, wibracjami i polami elektromagnetycznymi;</w:t>
      </w:r>
    </w:p>
    <w:p w14:paraId="25259AE3" w14:textId="77777777" w:rsidR="00FC2DF6" w:rsidRPr="00FC2DF6"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ograniczeniami wynikającymi z ustanowienia w trybie ustawy z dnia 16 kwietnia 2004 r. o ochronie przyrody (Dz. U. z 2023 r. poz. 1336, 1688 i 1890, z 2022 r. poz. 2375) form ochrony przyrody oraz ustaleń obowiązujących planów ochrony;</w:t>
      </w:r>
    </w:p>
    <w:p w14:paraId="2EB3C01F" w14:textId="77777777" w:rsidR="00FC2DF6" w:rsidRPr="003F3FB4" w:rsidRDefault="00FC2DF6" w:rsidP="00FC2DF6">
      <w:pPr>
        <w:numPr>
          <w:ilvl w:val="0"/>
          <w:numId w:val="10"/>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40DE2DF1" w14:textId="77777777" w:rsidR="00FC2DF6" w:rsidRPr="003F3FB4" w:rsidRDefault="00FC2DF6" w:rsidP="00FC2DF6">
      <w:pPr>
        <w:widowControl w:val="0"/>
        <w:tabs>
          <w:tab w:val="left" w:pos="993"/>
        </w:tabs>
        <w:autoSpaceDE w:val="0"/>
        <w:spacing w:after="120" w:line="240" w:lineRule="auto"/>
        <w:ind w:firstLine="567"/>
        <w:jc w:val="both"/>
        <w:rPr>
          <w:rFonts w:eastAsia="Calibri" w:cstheme="minorHAnsi"/>
          <w:sz w:val="28"/>
          <w:szCs w:val="28"/>
        </w:rPr>
      </w:pPr>
      <w:bookmarkStart w:id="0" w:name="_Hlk152135935"/>
      <w:r w:rsidRPr="003F3FB4">
        <w:rPr>
          <w:rFonts w:eastAsia="Calibri" w:cstheme="minorHAnsi"/>
          <w:sz w:val="28"/>
          <w:szCs w:val="28"/>
        </w:rPr>
        <w:t>oraz ochroną obiektów budowlanych na terenach górniczych, w</w:t>
      </w:r>
      <w:r w:rsidRPr="00FC2DF6">
        <w:rPr>
          <w:rFonts w:eastAsia="Calibri" w:cstheme="minorHAnsi"/>
          <w:sz w:val="28"/>
          <w:szCs w:val="28"/>
        </w:rPr>
        <w:t> </w:t>
      </w:r>
      <w:r w:rsidRPr="003F3FB4">
        <w:rPr>
          <w:rFonts w:eastAsia="Calibri" w:cstheme="minorHAnsi"/>
          <w:sz w:val="28"/>
          <w:szCs w:val="28"/>
        </w:rPr>
        <w:t>zakresie granic i sposobów zagospodarowania terenów lub obiektów podlegających ochronie, ustalonych na podstawie odrębnych przepisów, w</w:t>
      </w:r>
      <w:r w:rsidRPr="00FC2DF6">
        <w:rPr>
          <w:rFonts w:eastAsia="Calibri" w:cstheme="minorHAnsi"/>
          <w:sz w:val="28"/>
          <w:szCs w:val="28"/>
        </w:rPr>
        <w:t> </w:t>
      </w:r>
      <w:r w:rsidRPr="003F3FB4">
        <w:rPr>
          <w:rFonts w:eastAsia="Calibri" w:cstheme="minorHAnsi"/>
          <w:sz w:val="28"/>
          <w:szCs w:val="28"/>
        </w:rPr>
        <w:t>tym terenów górniczych, a także narażonych na niebezpieczeństwo powodzi oraz zagrożonych osuwaniem się mas ziemnych,</w:t>
      </w:r>
    </w:p>
    <w:bookmarkEnd w:id="0"/>
    <w:p w14:paraId="269557BC" w14:textId="77777777" w:rsidR="00FC2DF6" w:rsidRPr="003F3FB4" w:rsidRDefault="00FC2DF6" w:rsidP="00FC2DF6">
      <w:pPr>
        <w:widowControl w:val="0"/>
        <w:tabs>
          <w:tab w:val="left" w:pos="993"/>
        </w:tabs>
        <w:autoSpaceDE w:val="0"/>
        <w:spacing w:after="120" w:line="240" w:lineRule="auto"/>
        <w:jc w:val="both"/>
        <w:rPr>
          <w:rFonts w:eastAsia="Calibri" w:cstheme="minorHAnsi"/>
          <w:sz w:val="28"/>
          <w:szCs w:val="28"/>
        </w:rPr>
      </w:pPr>
      <w:r w:rsidRPr="003F3FB4">
        <w:rPr>
          <w:rFonts w:eastAsia="Calibri" w:cstheme="minorHAnsi"/>
          <w:sz w:val="28"/>
          <w:szCs w:val="28"/>
        </w:rPr>
        <w:t>ponieważ nie wynikały z nich żadne nakazy, zakazy i ograniczenia w zagospodarowaniu przedmiotowego terenu.</w:t>
      </w:r>
    </w:p>
    <w:p w14:paraId="4A539153"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Wydanie decyzji o warunkach zabudowy jest możliwe jedynie w przypadku łącznego spełnienia warunków, o których mowa w art. 61 ust. 1 u.p.z.p., a mianowicie:</w:t>
      </w:r>
    </w:p>
    <w:p w14:paraId="02FB08AE"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1)</w:t>
      </w:r>
      <w:r w:rsidRPr="003F3FB4">
        <w:rPr>
          <w:rFonts w:eastAsia="Calibri" w:cstheme="minorHAns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7388A16C"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2)</w:t>
      </w:r>
      <w:r w:rsidRPr="003F3FB4">
        <w:rPr>
          <w:rFonts w:eastAsia="Calibri" w:cstheme="minorHAnsi"/>
          <w:sz w:val="28"/>
          <w:szCs w:val="28"/>
        </w:rPr>
        <w:tab/>
        <w:t>teren ma dostęp do drogi publicznej rozumiany jako bezpośredni dostęp do tej drogi albo dostęp do niej przez drogę wewnętrzną lub przez ustanowienie odpowiedniej służebności drogowej;</w:t>
      </w:r>
    </w:p>
    <w:p w14:paraId="5BA59E80"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3)</w:t>
      </w:r>
      <w:r w:rsidRPr="003F3FB4">
        <w:rPr>
          <w:rFonts w:eastAsia="Calibri" w:cstheme="minorHAns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7BBE856A"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4)</w:t>
      </w:r>
      <w:r w:rsidRPr="003F3FB4">
        <w:rPr>
          <w:rFonts w:eastAsia="Calibri" w:cstheme="minorHAns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57112972"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5)</w:t>
      </w:r>
      <w:r w:rsidRPr="003F3FB4">
        <w:rPr>
          <w:rFonts w:eastAsia="Calibri" w:cstheme="minorHAnsi"/>
          <w:sz w:val="28"/>
          <w:szCs w:val="28"/>
        </w:rPr>
        <w:tab/>
        <w:t>decyzja jest zgodna z przepisami odrębnymi;</w:t>
      </w:r>
    </w:p>
    <w:p w14:paraId="486FD0A8"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6)</w:t>
      </w:r>
      <w:r w:rsidRPr="003F3FB4">
        <w:rPr>
          <w:rFonts w:eastAsia="Calibri" w:cstheme="minorHAnsi"/>
          <w:sz w:val="28"/>
          <w:szCs w:val="28"/>
        </w:rPr>
        <w:tab/>
      </w:r>
      <w:r w:rsidRPr="003F3FB4">
        <w:rPr>
          <w:rFonts w:eastAsia="Calibri" w:cstheme="minorHAnsi"/>
          <w:sz w:val="28"/>
          <w:szCs w:val="28"/>
          <w:shd w:val="clear" w:color="auto" w:fill="FFFFFF"/>
        </w:rPr>
        <w:t>zamierzenie budowlane nie znajdzie się w obszarze</w:t>
      </w:r>
      <w:r w:rsidRPr="003F3FB4">
        <w:rPr>
          <w:rFonts w:eastAsia="Calibri" w:cstheme="minorHAnsi"/>
          <w:sz w:val="28"/>
          <w:szCs w:val="28"/>
          <w:lang w:eastAsia="pl-PL"/>
        </w:rPr>
        <w:t xml:space="preserve">: </w:t>
      </w:r>
    </w:p>
    <w:p w14:paraId="04A4997F" w14:textId="77777777" w:rsidR="00FC2DF6" w:rsidRPr="003F3FB4" w:rsidRDefault="00FC2DF6" w:rsidP="00FC2DF6">
      <w:pPr>
        <w:numPr>
          <w:ilvl w:val="0"/>
          <w:numId w:val="22"/>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rPr>
        <w:t xml:space="preserve">w stosunku do którego decyzją o ustaleniu lokalizacji strategicznej inwestycji w zakresie sieci przesyłowej, o której mowa w art. 5 ust. 1 ustawy z dnia 24 lipca 2015 r. o przygotowaniu i realizacji strategicznych inwestycji w zakresie sieci przesyłowych (Dz. U. z 2023 r. poz. 1680, 1506, 1688 i 2029), ustanowiony został zakaz, o którym mowa w art. 22 ust. 2 pkt 1 tej ustawy, </w:t>
      </w:r>
    </w:p>
    <w:p w14:paraId="39A15628" w14:textId="77777777" w:rsidR="00FC2DF6" w:rsidRPr="003F3FB4" w:rsidRDefault="00FC2DF6" w:rsidP="00FC2DF6">
      <w:pPr>
        <w:numPr>
          <w:ilvl w:val="0"/>
          <w:numId w:val="22"/>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 xml:space="preserve">strefy kontrolowanej wyznaczonej po obu stronach gazociągu, </w:t>
      </w:r>
    </w:p>
    <w:p w14:paraId="7D731F22" w14:textId="77777777" w:rsidR="00FC2DF6" w:rsidRPr="003F3FB4" w:rsidRDefault="00FC2DF6" w:rsidP="00FC2DF6">
      <w:pPr>
        <w:numPr>
          <w:ilvl w:val="0"/>
          <w:numId w:val="22"/>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strefy bezpieczeństwa wyznaczonej po obu stronach rurociągu.</w:t>
      </w:r>
    </w:p>
    <w:p w14:paraId="447E5D0D"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 xml:space="preserve">Stosownie do art. 61 ust. 5a </w:t>
      </w:r>
      <w:r w:rsidRPr="003F3FB4">
        <w:rPr>
          <w:rFonts w:eastAsia="Calibri" w:cstheme="minorHAnsi"/>
          <w:sz w:val="28"/>
          <w:szCs w:val="28"/>
        </w:rPr>
        <w:t xml:space="preserve">u.p.z.p. </w:t>
      </w:r>
      <w:r w:rsidRPr="003F3FB4">
        <w:rPr>
          <w:rFonts w:eastAsia="Calibri" w:cstheme="minorHAnsi"/>
          <w:iCs/>
          <w:sz w:val="28"/>
          <w:szCs w:val="28"/>
        </w:rPr>
        <w:t xml:space="preserve">Burmistrz Śremu wyznaczył wokół terenu, którego dotyczy wniosek o ustalenie warunków zabudowy, obszar analizowany i przeprowadził na nim analizę funkcji oraz cech zabudowy i zagospodarowania terenu w zakresie warunków, o których mowa w art. 61 ust. 1 – 5 </w:t>
      </w:r>
      <w:r w:rsidRPr="003F3FB4">
        <w:rPr>
          <w:rFonts w:eastAsia="Calibri" w:cstheme="minorHAnsi"/>
          <w:sz w:val="28"/>
          <w:szCs w:val="28"/>
        </w:rPr>
        <w:t>u.p.z.p</w:t>
      </w:r>
      <w:r w:rsidRPr="003F3FB4">
        <w:rPr>
          <w:rFonts w:eastAsia="Calibri" w:cstheme="minorHAnsi"/>
          <w:iCs/>
          <w:sz w:val="28"/>
          <w:szCs w:val="28"/>
        </w:rPr>
        <w:t>.</w:t>
      </w:r>
    </w:p>
    <w:p w14:paraId="3EC4A5BF"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Front terenu przylega do drogi publicznej (gminnej) – ul. Floriana Marciniaka i wynosi ca 19,0 m. Trzykrotna szerokość frontu terenu wynosi 57,0 m, czyli nie mniej niż 50 m.</w:t>
      </w:r>
    </w:p>
    <w:p w14:paraId="19176B0D"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 xml:space="preserve">Granice obszaru analizowanego wyznaczone zostały w następujący sposób: w odległości wynoszącej 57 m wokół terenu, którego dotyczy wniosek, spełniając tym samym wymóg, o którym mowa w art. 61 ust. 5a </w:t>
      </w:r>
      <w:r w:rsidRPr="003F3FB4">
        <w:rPr>
          <w:rFonts w:eastAsia="Calibri" w:cstheme="minorHAnsi"/>
          <w:sz w:val="28"/>
          <w:szCs w:val="28"/>
        </w:rPr>
        <w:t>u.p.z.p</w:t>
      </w:r>
      <w:r w:rsidRPr="003F3FB4">
        <w:rPr>
          <w:rFonts w:eastAsia="Calibri" w:cstheme="minorHAnsi"/>
          <w:iCs/>
          <w:sz w:val="28"/>
          <w:szCs w:val="28"/>
        </w:rPr>
        <w:t>. Sposób wyznaczenia granic obszaru analizowanego został przedstawiony w formie graficznej, stanowiącej załącznik nr 1 do analizy i załącznik nr 3 do decyzji.</w:t>
      </w:r>
    </w:p>
    <w:p w14:paraId="3272A352" w14:textId="77777777" w:rsidR="00FC2DF6" w:rsidRPr="003F3FB4" w:rsidRDefault="00FC2DF6" w:rsidP="00FC2DF6">
      <w:pPr>
        <w:tabs>
          <w:tab w:val="left" w:pos="993"/>
        </w:tabs>
        <w:spacing w:after="120" w:line="240" w:lineRule="auto"/>
        <w:ind w:firstLine="567"/>
        <w:jc w:val="both"/>
        <w:rPr>
          <w:rFonts w:eastAsia="Calibri" w:cstheme="minorHAnsi"/>
          <w:iCs/>
          <w:sz w:val="28"/>
          <w:szCs w:val="28"/>
        </w:rPr>
      </w:pPr>
      <w:r w:rsidRPr="003F3FB4">
        <w:rPr>
          <w:rFonts w:eastAsia="Calibri" w:cstheme="minorHAnsi"/>
          <w:iCs/>
          <w:sz w:val="28"/>
          <w:szCs w:val="28"/>
        </w:rPr>
        <w:t xml:space="preserve">Wyznaczając granice obszaru analizowanego Burmistrz Śremu ograniczył się do zastosowania odległości standardowej, zgodnie z regułą opisaną powyżej, gdyż wielkość tego obszaru jest wystraczająca dla zadośćuczynienia ustawowemu wymogowi zachowania ładu przestrzennego i tej zasadzie służy. </w:t>
      </w:r>
    </w:p>
    <w:p w14:paraId="72F05335"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W tak wyznaczonym obszarze analizowanym znajdują się działki zabudowane, które pozwoliły na ustalenie wymagań dla nowej zabudowy, zgodnie z zasadą określoną w art. 61 ust. 1 pkt 1 u.p.z.p.</w:t>
      </w:r>
    </w:p>
    <w:p w14:paraId="08B510F8"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Analiza warunków, o których mowa w art. 61 ust. 1 u.p.z.p. dokonana w trakcie prowadzonego postępowania potwierdziła, że zostały one spełnione, bowiem:</w:t>
      </w:r>
    </w:p>
    <w:p w14:paraId="25589F2F" w14:textId="77777777" w:rsidR="00FC2DF6" w:rsidRPr="003F3FB4" w:rsidRDefault="00FC2DF6" w:rsidP="00FC2DF6">
      <w:pPr>
        <w:numPr>
          <w:ilvl w:val="0"/>
          <w:numId w:val="32"/>
        </w:numPr>
        <w:tabs>
          <w:tab w:val="left" w:pos="993"/>
        </w:tabs>
        <w:spacing w:after="120" w:line="240" w:lineRule="auto"/>
        <w:ind w:left="0" w:firstLine="567"/>
        <w:contextualSpacing/>
        <w:jc w:val="both"/>
        <w:rPr>
          <w:rFonts w:eastAsia="Calibri" w:cstheme="minorHAnsi"/>
          <w:sz w:val="28"/>
          <w:szCs w:val="28"/>
        </w:rPr>
      </w:pPr>
      <w:r w:rsidRPr="003F3FB4">
        <w:rPr>
          <w:rFonts w:eastAsia="Calibri" w:cstheme="minorHAnsi"/>
          <w:sz w:val="28"/>
          <w:szCs w:val="28"/>
        </w:rPr>
        <w:t xml:space="preserve">zabudowa działek sąsiednich, które wraz z terenem planowanej inwestycji tworzą urbanistyczną całość (działki o nr ewid.: 737; 738; 739; 740; 742; 743; 745; 746; 747; 748; 749; 751; 753; 754; 755; 756; 757/1; 761/11; </w:t>
      </w:r>
      <w:r w:rsidRPr="003F3FB4">
        <w:rPr>
          <w:rFonts w:eastAsia="Calibri" w:cstheme="minorHAnsi"/>
          <w:sz w:val="28"/>
          <w:szCs w:val="28"/>
        </w:rPr>
        <w:lastRenderedPageBreak/>
        <w:t>758; 759/1; 759/2; 760; 771; 772; 770; 761/12) pozwala na określenie wymagań dla nowej zabudowy pod względem kontynuacji funkcji oraz parametrów i cech zabudowy. W obszarze analizowanym występują budynki mieszkalne, w dalszym sąsiedztwie również usługowe (ul. Żurawia). Mimo że w obszarze analizowanym nie występuje funkcja usługowa, to jest ona uważana za niekolizyjną, a nawet komplementarną w stosunku do mieszkaniowej. Zgodnie z wyrokiem NSA z 10.05.2019 r. sygn. akt II OSK 1109/19: „</w:t>
      </w:r>
      <w:r w:rsidRPr="003F3FB4">
        <w:rPr>
          <w:rFonts w:eastAsia="Calibri" w:cstheme="minorHAnsi"/>
          <w:b/>
          <w:bCs/>
          <w:sz w:val="28"/>
          <w:szCs w:val="28"/>
        </w:rPr>
        <w:t>kontynuacja funkcji</w:t>
      </w:r>
      <w:r w:rsidRPr="003F3FB4">
        <w:rPr>
          <w:rFonts w:eastAsia="Calibri" w:cstheme="minorHAnsi"/>
          <w:sz w:val="28"/>
          <w:szCs w:val="28"/>
        </w:rPr>
        <w:t xml:space="preserve"> (…) </w:t>
      </w:r>
      <w:r w:rsidRPr="003F3FB4">
        <w:rPr>
          <w:rFonts w:eastAsia="Calibri" w:cstheme="minorHAnsi"/>
          <w:b/>
          <w:bCs/>
          <w:sz w:val="28"/>
          <w:szCs w:val="28"/>
        </w:rPr>
        <w:t>nie oznacza tożsamości</w:t>
      </w:r>
      <w:r w:rsidRPr="003F3FB4">
        <w:rPr>
          <w:rFonts w:eastAsia="Calibri" w:cstheme="minorHAnsi"/>
          <w:sz w:val="28"/>
          <w:szCs w:val="28"/>
        </w:rPr>
        <w:t>, lecz umożliwia uzupełnienie funkcji istniejącej o zagospodarowanie uznawane za uzupełniające i nie wchodzące z nią w kolizję. (…) Nie jest wadliwy wniosek, że kontynuacja funkcji nie oznacza nakazu mechanicznego powielenia istniejącej zabudowy, wystarczające jest, gdy nowa zabudowa nie koliduje z istniejącą w obszarze analizowanym. Budynkom mieszkalnym towarzyszyć mogą nie tylko budynki tego samego rodzaju, lecz także obiekty uzupełniające tę zabudowę.” Budynek usługowy (usługi stomatologiczne) pełni funkcję komplementarną i nie zakłóca ładu przestrzennego w analizowanym obszarze;</w:t>
      </w:r>
    </w:p>
    <w:p w14:paraId="53DFA48A"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2)</w:t>
      </w:r>
      <w:r w:rsidRPr="003F3FB4">
        <w:rPr>
          <w:rFonts w:eastAsia="Calibri" w:cstheme="minorHAnsi"/>
          <w:sz w:val="28"/>
          <w:szCs w:val="28"/>
        </w:rPr>
        <w:tab/>
        <w:t>teren ma zapewniony bezpośredni dostęp do drogi publicznej (gminnej) – ul. Floriana Marciniaka, poprzez istniejący zjazd;</w:t>
      </w:r>
    </w:p>
    <w:p w14:paraId="45B83380" w14:textId="77777777" w:rsidR="00FC2DF6" w:rsidRPr="003F3FB4" w:rsidRDefault="00FC2DF6" w:rsidP="00FC2DF6">
      <w:pPr>
        <w:tabs>
          <w:tab w:val="left" w:pos="993"/>
        </w:tabs>
        <w:spacing w:after="120" w:line="240" w:lineRule="auto"/>
        <w:ind w:firstLine="567"/>
        <w:jc w:val="both"/>
        <w:rPr>
          <w:rFonts w:eastAsia="Calibri" w:cstheme="minorHAnsi"/>
          <w:sz w:val="28"/>
          <w:szCs w:val="28"/>
          <w:highlight w:val="yellow"/>
        </w:rPr>
      </w:pPr>
      <w:r w:rsidRPr="003F3FB4">
        <w:rPr>
          <w:rFonts w:eastAsia="Calibri" w:cstheme="minorHAnsi"/>
          <w:sz w:val="28"/>
          <w:szCs w:val="28"/>
        </w:rPr>
        <w:t>3)</w:t>
      </w:r>
      <w:r w:rsidRPr="003F3FB4">
        <w:rPr>
          <w:rFonts w:eastAsia="Calibri" w:cstheme="minorHAnsi"/>
          <w:sz w:val="28"/>
          <w:szCs w:val="28"/>
        </w:rPr>
        <w:tab/>
        <w:t>istniejące uzbrojenie terenu (sieć energii elektrycznej, sieć wodociągowa i sieć kanalizacji sanitarnej) jest wystarczające dla zamierzenia budowlanego;</w:t>
      </w:r>
    </w:p>
    <w:p w14:paraId="469C8885"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4)</w:t>
      </w:r>
      <w:r w:rsidRPr="003F3FB4">
        <w:rPr>
          <w:rFonts w:eastAsia="Calibri" w:cstheme="minorHAnsi"/>
          <w:sz w:val="28"/>
          <w:szCs w:val="28"/>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mieszkaniowe B;</w:t>
      </w:r>
    </w:p>
    <w:p w14:paraId="7E2E3A0B" w14:textId="77777777" w:rsidR="00FC2DF6" w:rsidRPr="00FC2DF6" w:rsidRDefault="00FC2DF6" w:rsidP="00FC2DF6">
      <w:pPr>
        <w:tabs>
          <w:tab w:val="left" w:pos="993"/>
        </w:tabs>
        <w:spacing w:after="120" w:line="240" w:lineRule="auto"/>
        <w:ind w:firstLine="567"/>
        <w:jc w:val="both"/>
        <w:rPr>
          <w:rFonts w:eastAsia="Calibri" w:cstheme="minorHAnsi"/>
          <w:sz w:val="28"/>
          <w:szCs w:val="28"/>
        </w:rPr>
      </w:pPr>
      <w:r w:rsidRPr="003F3FB4">
        <w:rPr>
          <w:rFonts w:eastAsia="Calibri" w:cstheme="minorHAnsi"/>
          <w:sz w:val="28"/>
          <w:szCs w:val="28"/>
        </w:rPr>
        <w:t>5)</w:t>
      </w:r>
      <w:r w:rsidRPr="003F3FB4">
        <w:rPr>
          <w:rFonts w:eastAsia="Calibri" w:cstheme="minorHAnsi"/>
          <w:sz w:val="28"/>
          <w:szCs w:val="28"/>
        </w:rPr>
        <w:tab/>
        <w:t>decyzja jest zgodna z przepisami odrębnymi;</w:t>
      </w:r>
    </w:p>
    <w:p w14:paraId="4E75AF22" w14:textId="77777777" w:rsidR="00FC2DF6" w:rsidRPr="003F3FB4" w:rsidRDefault="00FC2DF6" w:rsidP="00FC2DF6">
      <w:pPr>
        <w:tabs>
          <w:tab w:val="left" w:pos="993"/>
        </w:tabs>
        <w:spacing w:after="120" w:line="240" w:lineRule="auto"/>
        <w:ind w:firstLine="567"/>
        <w:jc w:val="both"/>
        <w:rPr>
          <w:rFonts w:eastAsia="Calibri" w:cstheme="minorHAnsi"/>
          <w:sz w:val="28"/>
          <w:szCs w:val="28"/>
        </w:rPr>
      </w:pPr>
      <w:r w:rsidRPr="00FC2DF6">
        <w:rPr>
          <w:rFonts w:eastAsia="Calibri" w:cstheme="minorHAnsi"/>
          <w:sz w:val="28"/>
          <w:szCs w:val="28"/>
        </w:rPr>
        <w:t>6)</w:t>
      </w:r>
      <w:r w:rsidRPr="00FC2DF6">
        <w:rPr>
          <w:rFonts w:eastAsia="Calibri" w:cstheme="minorHAnsi"/>
          <w:sz w:val="28"/>
          <w:szCs w:val="28"/>
        </w:rPr>
        <w:tab/>
      </w:r>
      <w:r w:rsidRPr="003F3FB4">
        <w:rPr>
          <w:rFonts w:eastAsia="Calibri" w:cstheme="minorHAnsi"/>
          <w:sz w:val="28"/>
          <w:szCs w:val="28"/>
        </w:rPr>
        <w:t>zamierzenie budowlane nie znajdzie się w obszarze:</w:t>
      </w:r>
    </w:p>
    <w:p w14:paraId="13CC7E00" w14:textId="77777777" w:rsidR="00FC2DF6" w:rsidRPr="003F3FB4" w:rsidRDefault="00FC2DF6" w:rsidP="00FC2DF6">
      <w:pPr>
        <w:numPr>
          <w:ilvl w:val="0"/>
          <w:numId w:val="23"/>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shd w:val="clear" w:color="auto" w:fill="FFFFFF"/>
        </w:rPr>
        <w:t>objętym zakazem wznoszenia i utrzymywania obiektów budowlanych przeznaczonych na pobyt ludzi związanym z lokalizacją sieci przesyłowej,</w:t>
      </w:r>
    </w:p>
    <w:p w14:paraId="270A86E4" w14:textId="77777777" w:rsidR="00FC2DF6" w:rsidRPr="003F3FB4" w:rsidRDefault="00FC2DF6" w:rsidP="00FC2DF6">
      <w:pPr>
        <w:numPr>
          <w:ilvl w:val="0"/>
          <w:numId w:val="23"/>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 xml:space="preserve">strefy kontrolowanej wyznaczonej po obu stronach gazociągu, </w:t>
      </w:r>
    </w:p>
    <w:p w14:paraId="6E32FF47" w14:textId="65191D69" w:rsidR="00FC2DF6" w:rsidRDefault="00FC2DF6" w:rsidP="00FC2DF6">
      <w:pPr>
        <w:numPr>
          <w:ilvl w:val="0"/>
          <w:numId w:val="23"/>
        </w:numPr>
        <w:tabs>
          <w:tab w:val="left" w:pos="1134"/>
        </w:tabs>
        <w:spacing w:after="120" w:line="240" w:lineRule="auto"/>
        <w:ind w:left="1134"/>
        <w:contextualSpacing/>
        <w:jc w:val="both"/>
        <w:rPr>
          <w:rFonts w:eastAsia="Calibri" w:cstheme="minorHAnsi"/>
          <w:sz w:val="28"/>
          <w:szCs w:val="28"/>
        </w:rPr>
      </w:pPr>
      <w:r w:rsidRPr="003F3FB4">
        <w:rPr>
          <w:rFonts w:eastAsia="Calibri" w:cstheme="minorHAnsi"/>
          <w:sz w:val="28"/>
          <w:szCs w:val="28"/>
          <w:lang w:eastAsia="pl-PL"/>
        </w:rPr>
        <w:t>strefy bezpieczeństwa wyznaczonej po obu stronach rurociągu.</w:t>
      </w:r>
    </w:p>
    <w:p w14:paraId="4185B333" w14:textId="77777777" w:rsidR="00FC2DF6" w:rsidRDefault="00FC2DF6" w:rsidP="00FC2DF6">
      <w:pPr>
        <w:tabs>
          <w:tab w:val="left" w:pos="1134"/>
        </w:tabs>
        <w:spacing w:after="120" w:line="240" w:lineRule="auto"/>
        <w:contextualSpacing/>
        <w:jc w:val="both"/>
        <w:rPr>
          <w:rFonts w:eastAsia="Calibri" w:cstheme="minorHAnsi"/>
          <w:sz w:val="28"/>
          <w:szCs w:val="28"/>
        </w:rPr>
      </w:pPr>
    </w:p>
    <w:p w14:paraId="32442318" w14:textId="77777777" w:rsidR="00FC2DF6" w:rsidRDefault="00FC2DF6" w:rsidP="00FC2DF6">
      <w:pPr>
        <w:tabs>
          <w:tab w:val="left" w:pos="1134"/>
        </w:tabs>
        <w:spacing w:after="120" w:line="240" w:lineRule="auto"/>
        <w:contextualSpacing/>
        <w:jc w:val="both"/>
        <w:rPr>
          <w:rFonts w:eastAsia="Calibri" w:cstheme="minorHAnsi"/>
          <w:sz w:val="28"/>
          <w:szCs w:val="28"/>
        </w:rPr>
      </w:pPr>
    </w:p>
    <w:p w14:paraId="4307E880" w14:textId="77777777" w:rsidR="00FC2DF6" w:rsidRDefault="00FC2DF6" w:rsidP="00FC2DF6">
      <w:pPr>
        <w:tabs>
          <w:tab w:val="left" w:pos="1134"/>
        </w:tabs>
        <w:spacing w:after="120" w:line="240" w:lineRule="auto"/>
        <w:contextualSpacing/>
        <w:jc w:val="both"/>
        <w:rPr>
          <w:rFonts w:eastAsia="Calibri" w:cstheme="minorHAnsi"/>
          <w:sz w:val="28"/>
          <w:szCs w:val="28"/>
        </w:rPr>
      </w:pPr>
    </w:p>
    <w:p w14:paraId="47A05D4F" w14:textId="77777777" w:rsidR="00FC2DF6" w:rsidRPr="00FC2DF6" w:rsidRDefault="00FC2DF6" w:rsidP="00FC2DF6">
      <w:pPr>
        <w:tabs>
          <w:tab w:val="left" w:pos="1134"/>
        </w:tabs>
        <w:spacing w:after="120" w:line="240" w:lineRule="auto"/>
        <w:contextualSpacing/>
        <w:jc w:val="both"/>
        <w:rPr>
          <w:rFonts w:eastAsia="Calibri" w:cstheme="minorHAnsi"/>
          <w:sz w:val="28"/>
          <w:szCs w:val="28"/>
        </w:rPr>
      </w:pPr>
    </w:p>
    <w:p w14:paraId="3578285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W związku z tym, że sąsiednie działki dostępne z tej samej drogi gminnej – ul. Floriana Marciniaka,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w:t>
      </w:r>
      <w:r w:rsidRPr="00FC2DF6">
        <w:rPr>
          <w:rFonts w:eastAsia="Calibri" w:cstheme="minorHAnsi"/>
          <w:sz w:val="28"/>
          <w:szCs w:val="28"/>
        </w:rPr>
        <w:t> </w:t>
      </w:r>
      <w:r w:rsidRPr="003F3FB4">
        <w:rPr>
          <w:rFonts w:eastAsia="Calibri" w:cstheme="minorHAnsi"/>
          <w:sz w:val="28"/>
          <w:szCs w:val="28"/>
        </w:rPr>
        <w:t>analizie funkcji oraz cech zabudowy i zagospodarowania terenu. Natomiast</w:t>
      </w:r>
      <w:r w:rsidRPr="00FC2DF6">
        <w:rPr>
          <w:rFonts w:eastAsia="Calibri" w:cstheme="minorHAnsi"/>
          <w:sz w:val="28"/>
          <w:szCs w:val="28"/>
        </w:rPr>
        <w:t xml:space="preserve"> </w:t>
      </w:r>
      <w:r w:rsidRPr="003F3FB4">
        <w:rPr>
          <w:rFonts w:eastAsia="Calibri" w:cstheme="minorHAnsi"/>
          <w:sz w:val="28"/>
          <w:szCs w:val="28"/>
        </w:rPr>
        <w:t>wyniki tej analizy, zawierające część tekstową i graficzną, stanowią załączniki nr 2 i 3 do decyzji.</w:t>
      </w:r>
    </w:p>
    <w:p w14:paraId="5DB0CB5A"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Ustalenia zawarte w niniejszej decyzji odpowiadają wymogom rozporządzenia </w:t>
      </w:r>
      <w:r w:rsidRPr="003F3FB4">
        <w:rPr>
          <w:rFonts w:eastAsia="Calibri" w:cstheme="minorHAnsi"/>
          <w:iCs/>
          <w:sz w:val="28"/>
          <w:szCs w:val="28"/>
        </w:rPr>
        <w:t>Ministra Infrastruktury z dnia 26 sierpnia 2003 r. w sprawie sposobu ustalania wymagań dotyczących nowej zabudowy i zagospodarowania terenu w przypadku braku miejscowego planu zagospodarowania przestrzennego (Dz. U. Nr 164, poz. 1588, z 2021 r. poz. 2399), zwanej dalej rozporządzeniem.</w:t>
      </w:r>
    </w:p>
    <w:p w14:paraId="6276208C"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68CB876E"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6317685E" w14:textId="77777777" w:rsidR="00FC2DF6" w:rsidRPr="003F3FB4" w:rsidRDefault="00FC2DF6" w:rsidP="00FC2DF6">
      <w:pPr>
        <w:spacing w:after="120" w:line="240" w:lineRule="auto"/>
        <w:ind w:firstLine="567"/>
        <w:jc w:val="both"/>
        <w:rPr>
          <w:rFonts w:eastAsia="Calibri" w:cstheme="minorHAnsi"/>
          <w:sz w:val="28"/>
          <w:szCs w:val="28"/>
          <w:highlight w:val="yellow"/>
        </w:rPr>
      </w:pPr>
    </w:p>
    <w:p w14:paraId="140BBD16" w14:textId="77777777" w:rsidR="00FC2DF6" w:rsidRPr="003F3FB4" w:rsidRDefault="00FC2DF6" w:rsidP="00FC2DF6">
      <w:pPr>
        <w:spacing w:after="120" w:line="240" w:lineRule="auto"/>
        <w:ind w:firstLine="567"/>
        <w:jc w:val="both"/>
        <w:rPr>
          <w:rFonts w:eastAsia="Calibri" w:cstheme="minorHAnsi"/>
          <w:sz w:val="28"/>
          <w:szCs w:val="28"/>
          <w:highlight w:val="yellow"/>
        </w:rPr>
      </w:pPr>
    </w:p>
    <w:p w14:paraId="2161ADCA" w14:textId="77777777" w:rsidR="00FC2DF6" w:rsidRPr="003F3FB4" w:rsidRDefault="00FC2DF6" w:rsidP="00FC2DF6">
      <w:pPr>
        <w:spacing w:after="120" w:line="240" w:lineRule="auto"/>
        <w:ind w:firstLine="567"/>
        <w:jc w:val="both"/>
        <w:rPr>
          <w:rFonts w:eastAsia="Calibri" w:cstheme="minorHAnsi"/>
          <w:sz w:val="28"/>
          <w:szCs w:val="28"/>
          <w:highlight w:val="yellow"/>
        </w:rPr>
      </w:pPr>
      <w:r w:rsidRPr="003F3FB4">
        <w:rPr>
          <w:rFonts w:eastAsia="Calibri" w:cstheme="minorHAnsi"/>
          <w:sz w:val="28"/>
          <w:szCs w:val="28"/>
        </w:rPr>
        <w:lastRenderedPageBreak/>
        <w:t>Dla planowanej inwestycji ustalono nieprzekraczalną linię zabudowy wyznaczoną w odległości 6,0 m od granicy z działką drogową – ul. Krętą, oznaczoną jako linię ciągłą, z umieszczonymi stycznie niewypełnionymi trójkątami oraz obowiązującą linię zabudowy jako przedłużenie linii istniejącego budynku mieszkalnego), w odległości 4,0 m, od strony drogi publicznej – ul. Floriana Marciniaka (działka o nr ewid. 740, obręb Śrem, oznaczoną jako linię ciągłą, z umieszczonymi stycznie wypełnionymi trójkątami. Stosownie bowiem do § 3 ust. 3 rozporządzenia Ministra Infrastruktury z dnia 26 sierpnia 2003 r. w sprawie oznaczeń i nazewnictwa stosowanych w decyzji o ustaleniu lokalizacji inwestycji celu publicznego oraz w decyzji o warunkach zabudowy (Dz. U. Nr 64, poz. 1589)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w:t>
      </w:r>
      <w:r w:rsidRPr="00FC2DF6">
        <w:rPr>
          <w:rFonts w:eastAsia="Calibri" w:cstheme="minorHAnsi"/>
          <w:sz w:val="28"/>
          <w:szCs w:val="28"/>
        </w:rPr>
        <w:t> </w:t>
      </w:r>
      <w:r w:rsidRPr="003F3FB4">
        <w:rPr>
          <w:rFonts w:eastAsia="Calibri" w:cstheme="minorHAnsi"/>
          <w:sz w:val="28"/>
          <w:szCs w:val="28"/>
        </w:rPr>
        <w:t>zakresie obowiązku wyznaczenia linii zabudowy (adekwatnie w</w:t>
      </w:r>
      <w:r w:rsidRPr="00FC2DF6">
        <w:rPr>
          <w:rFonts w:eastAsia="Calibri" w:cstheme="minorHAnsi"/>
          <w:sz w:val="28"/>
          <w:szCs w:val="28"/>
        </w:rPr>
        <w:t> </w:t>
      </w:r>
      <w:r w:rsidRPr="003F3FB4">
        <w:rPr>
          <w:rFonts w:eastAsia="Calibri" w:cstheme="minorHAnsi"/>
          <w:sz w:val="28"/>
          <w:szCs w:val="28"/>
        </w:rPr>
        <w:t xml:space="preserve">miejscowym planie zagospodarowania przestrzennego). </w:t>
      </w:r>
    </w:p>
    <w:p w14:paraId="3B54EC16"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Wyznaczone w niniejszej decyzji linie zabudowy mają charakter nieprzekraczalnej i obowiązującej, co oznacza, że obowiązująca określa położenie frontowej ściany budynku na działce od strony ul. Floriana Marciniaka, a nieprzekraczalna od strony ul. Krętej określa jedynie maksymalny zasięg położenia planowanej zabudowy.</w:t>
      </w:r>
    </w:p>
    <w:p w14:paraId="43F1C954"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Wskaźnik wielkości powierzchni nowej zabudowy, oznaczający łączną powierzchnię terenu wyznaczoną przez rzuty pionowe nadziemnych zewnętrznych ścian wszystkich budynków w stanie wykończonym na powierzchnię terenu, nie został</w:t>
      </w:r>
      <w:r w:rsidRPr="003F3FB4">
        <w:rPr>
          <w:rFonts w:eastAsia="Calibri" w:cstheme="minorHAnsi"/>
          <w:color w:val="1F497D"/>
          <w:sz w:val="28"/>
          <w:szCs w:val="28"/>
        </w:rPr>
        <w:t xml:space="preserve"> </w:t>
      </w:r>
      <w:r w:rsidRPr="003F3FB4">
        <w:rPr>
          <w:rFonts w:eastAsia="Calibri" w:cstheme="minorHAnsi"/>
          <w:sz w:val="28"/>
          <w:szCs w:val="28"/>
        </w:rPr>
        <w:t xml:space="preserve">wyznaczony na podstawie średniego wskaźnika tej wielkości dla obszaru analizowanego. </w:t>
      </w:r>
      <w:r w:rsidRPr="003F3FB4">
        <w:rPr>
          <w:rFonts w:eastAsia="Calibri" w:cstheme="minorHAnsi"/>
          <w:b/>
          <w:bCs/>
          <w:sz w:val="28"/>
          <w:szCs w:val="28"/>
        </w:rPr>
        <w:t>Średni wskaźnik w obszarze analizowanym wynosi 21,3 %</w:t>
      </w:r>
      <w:r w:rsidRPr="003F3FB4">
        <w:rPr>
          <w:rFonts w:eastAsia="Calibri" w:cstheme="minorHAnsi"/>
          <w:sz w:val="28"/>
          <w:szCs w:val="28"/>
        </w:rPr>
        <w:t xml:space="preserve">, przy czym w obszarze analizowanym waha się pomiędzy 6,9 %, a 65,8 %. Planowana inwestycja charakteryzuje się wskaźnikiem od 18,8 % do 25,8 %, który jest wskaźnikiem zbliżonym do wartości średniej, a ponadto pośrednim wśród wskaźników istniejących w obszarze analizowanym. Wskaźniki na działkach o nr ewid.: 737; 738; 739; 740; 742; 743; 745; 746; 747; 748; 749; 751; 753; 754; 755; 756; 757/1; 761/11; 758; 759/1; 759/2; 760; 771; 772; 770; 761/12, wynoszą odpowiednio: 7,2 %, 10,2 %, </w:t>
      </w:r>
      <w:r w:rsidRPr="003F3FB4">
        <w:rPr>
          <w:rFonts w:eastAsia="Calibri" w:cstheme="minorHAnsi"/>
          <w:b/>
          <w:bCs/>
          <w:sz w:val="28"/>
          <w:szCs w:val="28"/>
        </w:rPr>
        <w:t>18,7 %</w:t>
      </w:r>
      <w:r w:rsidRPr="003F3FB4">
        <w:rPr>
          <w:rFonts w:eastAsia="Calibri" w:cstheme="minorHAnsi"/>
          <w:sz w:val="28"/>
          <w:szCs w:val="28"/>
        </w:rPr>
        <w:t xml:space="preserve">, </w:t>
      </w:r>
      <w:r w:rsidRPr="003F3FB4">
        <w:rPr>
          <w:rFonts w:eastAsia="Calibri" w:cstheme="minorHAnsi"/>
          <w:b/>
          <w:bCs/>
          <w:sz w:val="28"/>
          <w:szCs w:val="28"/>
        </w:rPr>
        <w:t>24,3 %</w:t>
      </w:r>
      <w:r w:rsidRPr="003F3FB4">
        <w:rPr>
          <w:rFonts w:eastAsia="Calibri" w:cstheme="minorHAnsi"/>
          <w:sz w:val="28"/>
          <w:szCs w:val="28"/>
        </w:rPr>
        <w:t xml:space="preserve">, 15,8 %, </w:t>
      </w:r>
      <w:r w:rsidRPr="003F3FB4">
        <w:rPr>
          <w:rFonts w:eastAsia="Calibri" w:cstheme="minorHAnsi"/>
          <w:b/>
          <w:bCs/>
          <w:sz w:val="28"/>
          <w:szCs w:val="28"/>
        </w:rPr>
        <w:t>25,8 %</w:t>
      </w:r>
      <w:r w:rsidRPr="003F3FB4">
        <w:rPr>
          <w:rFonts w:eastAsia="Calibri" w:cstheme="minorHAnsi"/>
          <w:sz w:val="28"/>
          <w:szCs w:val="28"/>
        </w:rPr>
        <w:t xml:space="preserve">, </w:t>
      </w:r>
      <w:r w:rsidRPr="003F3FB4">
        <w:rPr>
          <w:rFonts w:eastAsia="Calibri" w:cstheme="minorHAnsi"/>
          <w:b/>
          <w:bCs/>
          <w:sz w:val="28"/>
          <w:szCs w:val="28"/>
        </w:rPr>
        <w:t>19,2%</w:t>
      </w:r>
      <w:r w:rsidRPr="003F3FB4">
        <w:rPr>
          <w:rFonts w:eastAsia="Calibri" w:cstheme="minorHAnsi"/>
          <w:sz w:val="28"/>
          <w:szCs w:val="28"/>
        </w:rPr>
        <w:t xml:space="preserve">, 10,4 %, 6,9 %, 13,4 %, 14,5 %, 7,6 %, </w:t>
      </w:r>
      <w:r w:rsidRPr="003F3FB4">
        <w:rPr>
          <w:rFonts w:eastAsia="Calibri" w:cstheme="minorHAnsi"/>
          <w:b/>
          <w:bCs/>
          <w:sz w:val="28"/>
          <w:szCs w:val="28"/>
        </w:rPr>
        <w:t>23,3 %</w:t>
      </w:r>
      <w:r w:rsidRPr="003F3FB4">
        <w:rPr>
          <w:rFonts w:eastAsia="Calibri" w:cstheme="minorHAnsi"/>
          <w:sz w:val="28"/>
          <w:szCs w:val="28"/>
        </w:rPr>
        <w:t xml:space="preserve">, </w:t>
      </w:r>
      <w:r w:rsidRPr="003F3FB4">
        <w:rPr>
          <w:rFonts w:eastAsia="Calibri" w:cstheme="minorHAnsi"/>
          <w:b/>
          <w:bCs/>
          <w:sz w:val="28"/>
          <w:szCs w:val="28"/>
        </w:rPr>
        <w:t>21,5 %</w:t>
      </w:r>
      <w:r w:rsidRPr="003F3FB4">
        <w:rPr>
          <w:rFonts w:eastAsia="Calibri" w:cstheme="minorHAnsi"/>
          <w:sz w:val="28"/>
          <w:szCs w:val="28"/>
        </w:rPr>
        <w:t xml:space="preserve">, </w:t>
      </w:r>
      <w:r w:rsidRPr="003F3FB4">
        <w:rPr>
          <w:rFonts w:eastAsia="Calibri" w:cstheme="minorHAnsi"/>
          <w:b/>
          <w:bCs/>
          <w:sz w:val="28"/>
          <w:szCs w:val="28"/>
        </w:rPr>
        <w:t>18,8 %</w:t>
      </w:r>
      <w:r w:rsidRPr="003F3FB4">
        <w:rPr>
          <w:rFonts w:eastAsia="Calibri" w:cstheme="minorHAnsi"/>
          <w:sz w:val="28"/>
          <w:szCs w:val="28"/>
        </w:rPr>
        <w:t xml:space="preserve">, 18,2 %, 26,8 %, 33,5 %, 26,9 %, 26,4 %, 65,8 %, 27,7 %, 28,1 %, </w:t>
      </w:r>
      <w:r w:rsidRPr="003F3FB4">
        <w:rPr>
          <w:rFonts w:eastAsia="Calibri" w:cstheme="minorHAnsi"/>
          <w:b/>
          <w:bCs/>
          <w:sz w:val="28"/>
          <w:szCs w:val="28"/>
        </w:rPr>
        <w:t>21,2 %</w:t>
      </w:r>
      <w:r w:rsidRPr="003F3FB4">
        <w:rPr>
          <w:rFonts w:eastAsia="Calibri" w:cstheme="minorHAnsi"/>
          <w:sz w:val="28"/>
          <w:szCs w:val="28"/>
        </w:rPr>
        <w:t xml:space="preserve">, 11,7 %, 30,3 %. </w:t>
      </w:r>
    </w:p>
    <w:p w14:paraId="2DC58457"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Zdaniem Naczelnego Sądu Administracyjnego (wyrok z dnia 11.06.2014 r., sygn. akt II OSK 95/13) możliwe jest w zakresie wskaźnika powierzchni zabudowy, w konkretnym przypadku, rozstrzygnięcie specyficzne muszą przy tym wynikać z analizy urbanistycznej. W omawianym przypadku nie wynikają. Ponadto Naczelny Sąd Administracyjny wyrokiem z</w:t>
      </w:r>
      <w:r w:rsidRPr="00FC2DF6">
        <w:rPr>
          <w:rFonts w:eastAsia="Calibri" w:cstheme="minorHAnsi"/>
          <w:sz w:val="28"/>
          <w:szCs w:val="28"/>
        </w:rPr>
        <w:t> </w:t>
      </w:r>
      <w:r w:rsidRPr="003F3FB4">
        <w:rPr>
          <w:rFonts w:eastAsia="Calibri" w:cstheme="minorHAnsi"/>
          <w:sz w:val="28"/>
          <w:szCs w:val="28"/>
        </w:rPr>
        <w:t xml:space="preserve">25.02.2011 r. (sygn. akt II OSK 1857/10) orzekł, że „Zgodnie z § 5 ust. 1 rozporządzenia chodzi o to, aby wielkość powierzchni nowej zabudowy, nie odbiegała drastycznie od wielkości powierzchni zabudowy na innych działkach (zabudowanych), znajdujących się w obszarze analizowanym.”. Planowany wskaźnik powierzchni zabudowy jest pośredni do średniego wskaźnika powierzchni zabudowy, ale mieści się w przedziale wskaźników występujących w obszarze analizowanym. W związku z powyższym wskaźnik powierzchni zabudowy ustalono na poziomie od 18,8 % do 25,8 %, bowiem nie zaburzy on ładu przestrzennego otoczenia. </w:t>
      </w:r>
    </w:p>
    <w:p w14:paraId="0D72DBDE" w14:textId="77777777" w:rsidR="00FC2DF6" w:rsidRPr="003F3FB4" w:rsidRDefault="00FC2DF6" w:rsidP="00FC2DF6">
      <w:pPr>
        <w:spacing w:after="120" w:line="240" w:lineRule="auto"/>
        <w:ind w:firstLine="567"/>
        <w:jc w:val="both"/>
        <w:rPr>
          <w:rFonts w:eastAsia="Calibri" w:cstheme="minorHAnsi"/>
          <w:sz w:val="28"/>
          <w:szCs w:val="28"/>
          <w:highlight w:val="yellow"/>
        </w:rPr>
      </w:pPr>
      <w:r w:rsidRPr="003F3FB4">
        <w:rPr>
          <w:rFonts w:eastAsia="Calibri" w:cstheme="minorHAnsi"/>
          <w:sz w:val="28"/>
          <w:szCs w:val="28"/>
        </w:rPr>
        <w:t>Szerokość elewacji frontowej planowanego budynku nie wyznaczono na podstawie średniej szerokości elewacji dla obszaru analizowanego z tolerancją ±20%, przy średniej szerokości elewacji wynoszącej 8,7 m, budynki powinny charakteryzować się szerokościami od 7,0 m do 10,5 m. Wnioskowana szerokość elewacji (od 12,0 m do 14,0 m) nie mieści się w</w:t>
      </w:r>
      <w:r w:rsidRPr="00FC2DF6">
        <w:rPr>
          <w:rFonts w:eastAsia="Calibri" w:cstheme="minorHAnsi"/>
          <w:sz w:val="28"/>
          <w:szCs w:val="28"/>
        </w:rPr>
        <w:t> </w:t>
      </w:r>
      <w:r w:rsidRPr="003F3FB4">
        <w:rPr>
          <w:rFonts w:eastAsia="Calibri" w:cstheme="minorHAnsi"/>
          <w:sz w:val="28"/>
          <w:szCs w:val="28"/>
        </w:rPr>
        <w:t>ramach standardowo wyznaczonej wielkości, jednak mieści się w</w:t>
      </w:r>
      <w:r w:rsidRPr="00FC2DF6">
        <w:rPr>
          <w:rFonts w:eastAsia="Calibri" w:cstheme="minorHAnsi"/>
          <w:sz w:val="28"/>
          <w:szCs w:val="28"/>
        </w:rPr>
        <w:t> </w:t>
      </w:r>
      <w:r w:rsidRPr="003F3FB4">
        <w:rPr>
          <w:rFonts w:eastAsia="Calibri" w:cstheme="minorHAnsi"/>
          <w:sz w:val="28"/>
          <w:szCs w:val="28"/>
        </w:rPr>
        <w:t>przedziale szerokości występujących w obszarze analizowanym. Szerokość budynku na działce o nr ewid. 740 wynosi 14,2 m, na działce o nr ewid. 743 wynosi 12,3</w:t>
      </w:r>
      <w:r w:rsidRPr="00FC2DF6">
        <w:rPr>
          <w:rFonts w:eastAsia="Calibri" w:cstheme="minorHAnsi"/>
          <w:sz w:val="28"/>
          <w:szCs w:val="28"/>
        </w:rPr>
        <w:t> </w:t>
      </w:r>
      <w:r w:rsidRPr="003F3FB4">
        <w:rPr>
          <w:rFonts w:eastAsia="Calibri" w:cstheme="minorHAnsi"/>
          <w:sz w:val="28"/>
          <w:szCs w:val="28"/>
        </w:rPr>
        <w:t>m, natomiast na działce o nr ewid. 742 wynosi 13,3 m. W</w:t>
      </w:r>
      <w:r w:rsidRPr="00FC2DF6">
        <w:rPr>
          <w:rFonts w:eastAsia="Calibri" w:cstheme="minorHAnsi"/>
          <w:sz w:val="28"/>
          <w:szCs w:val="28"/>
        </w:rPr>
        <w:t> </w:t>
      </w:r>
      <w:r w:rsidRPr="003F3FB4">
        <w:rPr>
          <w:rFonts w:eastAsia="Calibri" w:cstheme="minorHAnsi"/>
          <w:sz w:val="28"/>
          <w:szCs w:val="28"/>
        </w:rPr>
        <w:t>związku z</w:t>
      </w:r>
      <w:r w:rsidRPr="00FC2DF6">
        <w:rPr>
          <w:rFonts w:eastAsia="Calibri" w:cstheme="minorHAnsi"/>
          <w:sz w:val="28"/>
          <w:szCs w:val="28"/>
        </w:rPr>
        <w:t xml:space="preserve"> </w:t>
      </w:r>
      <w:r w:rsidRPr="003F3FB4">
        <w:rPr>
          <w:rFonts w:eastAsia="Calibri" w:cstheme="minorHAnsi"/>
          <w:sz w:val="28"/>
          <w:szCs w:val="28"/>
        </w:rPr>
        <w:t>powyższym szerokość planowanego budynku może zostać ustalona na wnioskowanym poziomie (od 12,0 m do 14,0 m), bowiem jest zbliżona do szerokości budynków występujących na działkach znajdujących się w</w:t>
      </w:r>
      <w:r w:rsidRPr="00FC2DF6">
        <w:rPr>
          <w:rFonts w:eastAsia="Calibri" w:cstheme="minorHAnsi"/>
          <w:sz w:val="28"/>
          <w:szCs w:val="28"/>
        </w:rPr>
        <w:t> </w:t>
      </w:r>
      <w:r w:rsidRPr="003F3FB4">
        <w:rPr>
          <w:rFonts w:eastAsia="Calibri" w:cstheme="minorHAnsi"/>
          <w:sz w:val="28"/>
          <w:szCs w:val="28"/>
        </w:rPr>
        <w:t xml:space="preserve">najbliższym sąsiedztwie i w harmonijny sposób wpisze się w otoczenie.  </w:t>
      </w:r>
    </w:p>
    <w:p w14:paraId="0A699A76" w14:textId="77777777" w:rsidR="00FC2DF6" w:rsidRPr="00FC2DF6"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Wysokość górnej krawędzi elewacji frontowej, jej gzymsu lub attyki wyznacza się dla nowej zabudowy jako przedłużenie tych krawędzi odpowiednio do istniejącej zabudowy na działkach sąsiednich. Wysokość górnej krawędzi elewacji frontowej budynków występujących na działkach znajdujących się w bezpośrednim sąsiedztwie - o nr ewid. 740 i 742 - wynosi 6,5 m. Ze względu na dach planowanego budynku wysokości ustalono do wysokości głównej kalenicy. Na działce o nr ewid. 742 wysokość głównej kalenicy wynosi 8,5 m, na działce o nr ewid. 740 wysokość wynosi 8,0 m, a na działce o nr ewid. 739 wysokość wynosi 7,5 m. Projektowany budynek nad częścią dwukondygnacyjną charakteryzuje się wysokością od 7,5 m do 8,5 m, natomiast nad częścią jednokondygnacyjną charakteryzuje się wysokością od 3,0 m do 4,0 m. </w:t>
      </w:r>
    </w:p>
    <w:p w14:paraId="105746EF" w14:textId="77777777" w:rsidR="00FC2DF6" w:rsidRPr="003F3FB4" w:rsidRDefault="00FC2DF6" w:rsidP="00FC2DF6">
      <w:pPr>
        <w:spacing w:after="120" w:line="240" w:lineRule="auto"/>
        <w:jc w:val="both"/>
        <w:rPr>
          <w:rFonts w:eastAsia="Calibri" w:cstheme="minorHAnsi"/>
          <w:sz w:val="28"/>
          <w:szCs w:val="28"/>
        </w:rPr>
      </w:pPr>
      <w:r w:rsidRPr="003F3FB4">
        <w:rPr>
          <w:rFonts w:eastAsia="Calibri" w:cstheme="minorHAnsi"/>
          <w:sz w:val="28"/>
          <w:szCs w:val="28"/>
        </w:rPr>
        <w:lastRenderedPageBreak/>
        <w:t>Zatem wysokości planowanego budynku są równe wysokościom budynkom zlokalizowanym przy ul. Floriana Marciniaka na działkach sąsiednich, a więc ustalenie wysokości górnej krawędzi elewacji frontowej na wnioskowanym poziomie w harmonijny sposób wpisze się w otaczającą zabudowę.</w:t>
      </w:r>
    </w:p>
    <w:p w14:paraId="7F48FCC9" w14:textId="77777777" w:rsidR="00FC2DF6" w:rsidRPr="003F3FB4" w:rsidRDefault="00FC2DF6" w:rsidP="00FC2DF6">
      <w:pPr>
        <w:spacing w:after="120" w:line="240" w:lineRule="auto"/>
        <w:ind w:firstLine="567"/>
        <w:jc w:val="both"/>
        <w:rPr>
          <w:rFonts w:eastAsia="Calibri" w:cstheme="minorHAnsi"/>
          <w:sz w:val="28"/>
          <w:szCs w:val="28"/>
          <w:highlight w:val="yellow"/>
        </w:rPr>
      </w:pPr>
      <w:r w:rsidRPr="003F3FB4">
        <w:rPr>
          <w:rFonts w:eastAsia="Calibri" w:cstheme="minorHAnsi"/>
          <w:sz w:val="28"/>
          <w:szCs w:val="28"/>
        </w:rPr>
        <w:t>Geometrię dachu projektowanego budynku ustalono odpowiednio do geometrii dachów występujących na obszarze analizowanym, w którym występują dachy jednospadowe o nachyleniu 15˚, dwuspadowe o nachyleniu 30˚, 35˚, 40˚, 45˚, 50˚ i wielospadowe o nachyleniu 25°, 35˚, 40° o wysokości głównej kalenicy budynków w obszarze analizowanym od 2,5 m do 11,0 m oraz tzw. płaskie o kącie nachylenia do 12° o wysokości całkowitej budynków od 2,0 m do 8,5 m. W obszarze analizowanym występują dachy o kalenicowym (równoległym lub zbliżonym do równoległego) i szczytowym (prostopadłym lub zbliżonym do prostopadłego) kierunku kalenicy w stosunku do frontu działki. Na działce o nr ewid. 742 wysokość głównej kalenicy wynosi 8,5 m, na działce o nr ewid. 740 wysokość wynosi 8,0 m, a na działce o nr ewid. 739 wysokość wynosi 7,5 m. Po dokonaniu analizy stwierdzono, że geometrię dachu dla budynku usługowego można ustalić na wnioskowanym poziomie: dach tzw. płaski o kącie nachylenia nie większym niż 12˚, o wysokość całkowitej od 7,5 m do 8,5 m nad częścią dwukondygnacyjną i o wysokości całkowitej od 3,0 m do 4,0 m nad częścią jednokondygnacyjną. Ustalenie powyższych parametrów w harmonijny sposób wpisze się w istniejącą zabudowę, bowiem nie zakłóci zastanego ładu przestrzennego.</w:t>
      </w:r>
    </w:p>
    <w:p w14:paraId="2E16B38A" w14:textId="77777777" w:rsidR="00FC2DF6" w:rsidRPr="00FC2DF6"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w:t>
      </w:r>
    </w:p>
    <w:p w14:paraId="37F28D2D" w14:textId="77777777" w:rsidR="00FC2DF6" w:rsidRPr="003F3FB4" w:rsidRDefault="00FC2DF6" w:rsidP="00FC2DF6">
      <w:pPr>
        <w:spacing w:after="120" w:line="240" w:lineRule="auto"/>
        <w:jc w:val="both"/>
        <w:rPr>
          <w:rFonts w:eastAsia="Calibri" w:cstheme="minorHAnsi"/>
          <w:sz w:val="28"/>
          <w:szCs w:val="28"/>
        </w:rPr>
      </w:pPr>
      <w:r w:rsidRPr="003F3FB4">
        <w:rPr>
          <w:rFonts w:eastAsia="Calibri" w:cstheme="minorHAnsi"/>
          <w:sz w:val="28"/>
          <w:szCs w:val="28"/>
        </w:rPr>
        <w:lastRenderedPageBreak/>
        <w:t xml:space="preserve">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6F1EBB3B"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W niniejszej decyzji Burmistrz Śremu określił zasady związane z lokalizacją miejsc parkingowych na terenie inwestycji, a mianowicie: liczbę miejsc parkingowych (nie mniej niż jedno miejsce na każde rozpoczęte 50m</w:t>
      </w:r>
      <w:r w:rsidRPr="003F3FB4">
        <w:rPr>
          <w:rFonts w:eastAsia="Calibri" w:cstheme="minorHAnsi"/>
          <w:sz w:val="28"/>
          <w:szCs w:val="28"/>
          <w:vertAlign w:val="superscript"/>
        </w:rPr>
        <w:t>2</w:t>
      </w:r>
      <w:r w:rsidRPr="003F3FB4">
        <w:rPr>
          <w:rFonts w:eastAsia="Calibri" w:cstheme="minorHAnsi"/>
          <w:sz w:val="28"/>
          <w:szCs w:val="28"/>
        </w:rPr>
        <w:t xml:space="preserve"> powierzchni użytkowej części usługowej budynku oraz przeznaczonych dla pojazdów zaopatrzonych w kartę parkingową, zgodnie z przepisami odrębnymi), które mają zostać zlokalizowane na terenie inwestycji (ust. 2 pkt 3 lit. h decyzji).</w:t>
      </w:r>
    </w:p>
    <w:p w14:paraId="0901B601"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1724). W związku z tym nie zachodził obowiązek uzyskania decyzji o środowiskowych uwarunkowaniach określającej środowiskowe uwarunkowania realizacji przedsięwzięcia.</w:t>
      </w:r>
    </w:p>
    <w:p w14:paraId="21B009AD"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2023 r. poz. 1094, z późn. zm.) tutejszy organ rozważył, przed wydaniem niniejszej decyzji, czy analizowane przedsięwzięcie, </w:t>
      </w:r>
      <w:r w:rsidRPr="003F3FB4">
        <w:rPr>
          <w:rFonts w:eastAsia="Times New Roman" w:cstheme="minorHAnsi"/>
          <w:sz w:val="28"/>
          <w:szCs w:val="28"/>
          <w:lang w:eastAsia="pl-PL"/>
        </w:rPr>
        <w:t>inne niż przedsięwzięcie mogące znacząco oddziaływać na środowisko</w:t>
      </w:r>
      <w:r w:rsidRPr="003F3FB4">
        <w:rPr>
          <w:rFonts w:eastAsia="Calibri" w:cstheme="minorHAnsi"/>
          <w:sz w:val="28"/>
          <w:szCs w:val="28"/>
        </w:rPr>
        <w:t xml:space="preserve">, które nie jest bezpośrednio związane z ochroną obszaru Natura 2000 lub nie wynika z tej ochrony, może potencjalnie znacząco oddziaływać na obszar Natura 2000. </w:t>
      </w:r>
    </w:p>
    <w:p w14:paraId="796FE5FF"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Otóż, planowana inwestycja:</w:t>
      </w:r>
    </w:p>
    <w:p w14:paraId="54D751A9" w14:textId="77777777" w:rsidR="00FC2DF6" w:rsidRPr="003F3FB4" w:rsidRDefault="00FC2DF6" w:rsidP="00FC2DF6">
      <w:pPr>
        <w:widowControl w:val="0"/>
        <w:numPr>
          <w:ilvl w:val="0"/>
          <w:numId w:val="14"/>
        </w:numPr>
        <w:tabs>
          <w:tab w:val="left" w:pos="993"/>
        </w:tabs>
        <w:autoSpaceDE w:val="0"/>
        <w:spacing w:after="120" w:line="240" w:lineRule="auto"/>
        <w:ind w:firstLine="567"/>
        <w:contextualSpacing/>
        <w:jc w:val="both"/>
        <w:rPr>
          <w:rFonts w:eastAsia="Calibri" w:cstheme="minorHAnsi"/>
          <w:sz w:val="28"/>
          <w:szCs w:val="28"/>
        </w:rPr>
      </w:pPr>
      <w:r w:rsidRPr="003F3FB4">
        <w:rPr>
          <w:rFonts w:eastAsia="Calibri" w:cstheme="minorHAnsi"/>
          <w:sz w:val="28"/>
          <w:szCs w:val="28"/>
        </w:rPr>
        <w:t>zostanie zlokalizowana w zurbanizowanej części miasta i dotyczy już zabudowanej działki;</w:t>
      </w:r>
    </w:p>
    <w:p w14:paraId="63649B21" w14:textId="77777777" w:rsidR="00FC2DF6" w:rsidRPr="003F3FB4" w:rsidRDefault="00FC2DF6" w:rsidP="00FC2DF6">
      <w:pPr>
        <w:widowControl w:val="0"/>
        <w:numPr>
          <w:ilvl w:val="0"/>
          <w:numId w:val="14"/>
        </w:numPr>
        <w:tabs>
          <w:tab w:val="left" w:pos="993"/>
        </w:tabs>
        <w:autoSpaceDE w:val="0"/>
        <w:spacing w:after="120" w:line="240" w:lineRule="auto"/>
        <w:ind w:firstLine="567"/>
        <w:contextualSpacing/>
        <w:jc w:val="both"/>
        <w:rPr>
          <w:rFonts w:eastAsia="Calibri" w:cstheme="minorHAnsi"/>
          <w:sz w:val="28"/>
          <w:szCs w:val="28"/>
        </w:rPr>
      </w:pPr>
      <w:r w:rsidRPr="003F3FB4">
        <w:rPr>
          <w:rFonts w:eastAsia="Calibri" w:cstheme="minorHAnsi"/>
          <w:sz w:val="28"/>
          <w:szCs w:val="28"/>
        </w:rPr>
        <w:t>odległa jest od najbliższego obszaru Natura 2000 (pomiar w linii prostej) o ca 1,3 km;</w:t>
      </w:r>
    </w:p>
    <w:p w14:paraId="25A03FEB" w14:textId="77777777" w:rsidR="00FC2DF6" w:rsidRPr="003F3FB4" w:rsidRDefault="00FC2DF6" w:rsidP="00FC2DF6">
      <w:pPr>
        <w:widowControl w:val="0"/>
        <w:numPr>
          <w:ilvl w:val="0"/>
          <w:numId w:val="14"/>
        </w:numPr>
        <w:tabs>
          <w:tab w:val="left" w:pos="993"/>
        </w:tabs>
        <w:autoSpaceDE w:val="0"/>
        <w:spacing w:after="120" w:line="240" w:lineRule="auto"/>
        <w:ind w:firstLine="567"/>
        <w:contextualSpacing/>
        <w:jc w:val="both"/>
        <w:rPr>
          <w:rFonts w:eastAsia="Calibri" w:cstheme="minorHAnsi"/>
          <w:sz w:val="28"/>
          <w:szCs w:val="28"/>
        </w:rPr>
      </w:pPr>
      <w:r w:rsidRPr="003F3FB4">
        <w:rPr>
          <w:rFonts w:eastAsia="Calibri" w:cstheme="minorHAnsi"/>
          <w:sz w:val="28"/>
          <w:szCs w:val="28"/>
        </w:rPr>
        <w:t>nie wiąże się z generowaniem jakichkolwiek emisji do środowiska (hałas, pola elektromagnetyczne, substancje), poza krótkotrwałym etapem realizacji inwestycji.</w:t>
      </w:r>
    </w:p>
    <w:p w14:paraId="0FC0E8AD"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76AAE134" w14:textId="77777777" w:rsidR="00FC2DF6" w:rsidRPr="003F3FB4" w:rsidRDefault="00FC2DF6" w:rsidP="00FC2DF6">
      <w:pPr>
        <w:widowControl w:val="0"/>
        <w:autoSpaceDE w:val="0"/>
        <w:spacing w:after="120" w:line="240" w:lineRule="auto"/>
        <w:ind w:firstLine="567"/>
        <w:jc w:val="both"/>
        <w:rPr>
          <w:rFonts w:eastAsia="Calibri" w:cstheme="minorHAnsi"/>
          <w:sz w:val="28"/>
          <w:szCs w:val="28"/>
        </w:rPr>
      </w:pPr>
      <w:r w:rsidRPr="003F3FB4">
        <w:rPr>
          <w:rFonts w:eastAsia="Calibri" w:cstheme="minorHAnsi"/>
          <w:sz w:val="28"/>
          <w:szCs w:val="28"/>
        </w:rPr>
        <w:t>Projekt decyzji został uzgodniony z organami, o których mowa w art. 53 ust. 4 pkt 2 i pkt 2a w związku z art. 64 ust. 1 u.p.z.p., a mianowicie:</w:t>
      </w:r>
    </w:p>
    <w:p w14:paraId="148E761D" w14:textId="77777777" w:rsidR="00FC2DF6" w:rsidRPr="003F3FB4" w:rsidRDefault="00FC2DF6" w:rsidP="00FC2DF6">
      <w:pPr>
        <w:widowControl w:val="0"/>
        <w:numPr>
          <w:ilvl w:val="0"/>
          <w:numId w:val="34"/>
        </w:numPr>
        <w:autoSpaceDE w:val="0"/>
        <w:spacing w:after="120" w:line="240" w:lineRule="auto"/>
        <w:contextualSpacing/>
        <w:jc w:val="both"/>
        <w:rPr>
          <w:rFonts w:eastAsia="Calibri" w:cstheme="minorHAnsi"/>
          <w:sz w:val="28"/>
          <w:szCs w:val="28"/>
        </w:rPr>
      </w:pPr>
      <w:r w:rsidRPr="003F3FB4">
        <w:rPr>
          <w:rFonts w:eastAsia="Calibri" w:cstheme="minorHAnsi"/>
          <w:sz w:val="28"/>
          <w:szCs w:val="28"/>
        </w:rPr>
        <w:t>z Wielkopolskim Wojewódzkim Konserwatorem Zabytków w Poznaniu;</w:t>
      </w:r>
    </w:p>
    <w:p w14:paraId="3855F181" w14:textId="77777777" w:rsidR="00FC2DF6" w:rsidRPr="003F3FB4" w:rsidRDefault="00FC2DF6" w:rsidP="00FC2DF6">
      <w:pPr>
        <w:widowControl w:val="0"/>
        <w:numPr>
          <w:ilvl w:val="0"/>
          <w:numId w:val="34"/>
        </w:numPr>
        <w:autoSpaceDE w:val="0"/>
        <w:spacing w:after="120" w:line="240" w:lineRule="auto"/>
        <w:contextualSpacing/>
        <w:jc w:val="both"/>
        <w:rPr>
          <w:rFonts w:eastAsia="Calibri" w:cstheme="minorHAnsi"/>
          <w:sz w:val="28"/>
          <w:szCs w:val="28"/>
        </w:rPr>
      </w:pPr>
      <w:r w:rsidRPr="003F3FB4">
        <w:rPr>
          <w:rFonts w:eastAsia="Calibri" w:cstheme="minorHAnsi"/>
          <w:sz w:val="28"/>
          <w:szCs w:val="28"/>
        </w:rPr>
        <w:t>z Państwowym Powiatowym Inspektorem Sanitarnym w Śremie.</w:t>
      </w:r>
    </w:p>
    <w:p w14:paraId="541EB9D4"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Projekt decyzji nie wymagał zaopiniowania przez operatorów, o których mowa art. 5 ust. 5e u.p.z.p.</w:t>
      </w:r>
    </w:p>
    <w:p w14:paraId="39CBDD4C" w14:textId="77777777" w:rsidR="00FC2DF6" w:rsidRPr="003F3FB4" w:rsidRDefault="00FC2DF6" w:rsidP="00FC2DF6">
      <w:pPr>
        <w:spacing w:after="120" w:line="240" w:lineRule="auto"/>
        <w:ind w:firstLine="567"/>
        <w:jc w:val="both"/>
        <w:rPr>
          <w:rFonts w:eastAsia="Calibri" w:cstheme="minorHAnsi"/>
          <w:sz w:val="28"/>
          <w:szCs w:val="28"/>
        </w:rPr>
      </w:pPr>
      <w:r w:rsidRPr="003F3FB4">
        <w:rPr>
          <w:rFonts w:eastAsia="Calibri" w:cstheme="minorHAnsi"/>
          <w:sz w:val="28"/>
          <w:szCs w:val="28"/>
        </w:rPr>
        <w:t>Projekt decyzji uzyskał stanowisko zarządcy dróg gminnych (ul. Floriana Marciniaka i ul. Krętej), którym jest Burmistrz Śremu, w ramach wewnętrznej procedury.</w:t>
      </w:r>
    </w:p>
    <w:p w14:paraId="5CF579EF" w14:textId="77777777" w:rsidR="00FC2DF6" w:rsidRPr="003F3FB4" w:rsidRDefault="00FC2DF6" w:rsidP="00FC2DF6">
      <w:pPr>
        <w:widowControl w:val="0"/>
        <w:autoSpaceDE w:val="0"/>
        <w:autoSpaceDN w:val="0"/>
        <w:adjustRightInd w:val="0"/>
        <w:spacing w:after="120" w:line="240" w:lineRule="auto"/>
        <w:ind w:right="-1" w:firstLine="567"/>
        <w:jc w:val="both"/>
        <w:rPr>
          <w:rFonts w:eastAsia="Calibri" w:cstheme="minorHAnsi"/>
          <w:sz w:val="28"/>
          <w:szCs w:val="28"/>
        </w:rPr>
      </w:pPr>
      <w:r w:rsidRPr="003F3FB4">
        <w:rPr>
          <w:rFonts w:eastAsia="Calibri" w:cstheme="minorHAnsi"/>
          <w:sz w:val="28"/>
          <w:szCs w:val="28"/>
        </w:rPr>
        <w:t>Ponadto, decyzja nie wymagała wcześniejszego uzyskania decyzji wymaganych przepisami odrębnymi.</w:t>
      </w:r>
    </w:p>
    <w:p w14:paraId="35BBF06D" w14:textId="6E28885F" w:rsidR="00FC2DF6" w:rsidRPr="00FC2DF6"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w:t>
      </w:r>
    </w:p>
    <w:p w14:paraId="060361FD" w14:textId="77777777" w:rsidR="00FC2DF6" w:rsidRPr="003F3FB4" w:rsidRDefault="00FC2DF6" w:rsidP="00FC2DF6">
      <w:pPr>
        <w:tabs>
          <w:tab w:val="left" w:pos="851"/>
        </w:tabs>
        <w:spacing w:after="120" w:line="240" w:lineRule="auto"/>
        <w:jc w:val="both"/>
        <w:rPr>
          <w:rFonts w:eastAsia="Calibri" w:cstheme="minorHAnsi"/>
          <w:sz w:val="28"/>
          <w:szCs w:val="28"/>
        </w:rPr>
      </w:pPr>
      <w:r w:rsidRPr="003F3FB4">
        <w:rPr>
          <w:rFonts w:eastAsia="Calibri" w:cstheme="minorHAnsi"/>
          <w:sz w:val="28"/>
          <w:szCs w:val="28"/>
        </w:rPr>
        <w:lastRenderedPageBreak/>
        <w:t>Natomiast ograniczenia, które nie są wynikiem istnienia przepisów prawnych nie dają podstawy do uznania danego podmiotu za stronę postępowania w tego typu sprawie, wówczas bowiem istnieje interes faktyczny, a nie interes prawny”.</w:t>
      </w:r>
    </w:p>
    <w:p w14:paraId="4AD2D8F6"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Ze względu na zakres, skalę i charakter planowanej inwestycji zakresem oddziaływania planowanej inwestycji objęty jest teren: działka objęta wnioskiem o nr ewid. 741, obręb Śrem oraz działki bezpośrednio sąsiadujące o nr ewid. 740 i 742, obręb Śrem. </w:t>
      </w:r>
    </w:p>
    <w:p w14:paraId="15DA3C19"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Biorąc powyższe pod uwagę za strony postępowania zostali uznani: Wnioskodawcy, będący jednocześnie współwłaścicielami działki objętej wnioskiem, właścicielka działki o nr ewid. 740, obręb Śrem oraz współwłaściciele działki o nr ewid. 742, obręb Śrem. </w:t>
      </w:r>
    </w:p>
    <w:p w14:paraId="70403FAE"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Stosownie do art. 53 ust. 1a, ust. 1b i ust. 1c u.p.z.p. prawa rzeczowe do nieruchomości oraz dane dotyczące osób, którym te prawa przysługują, ustala się na podstawie ksiąg wieczystych, ewidencji gruntów i budynków, zbioru dokumentów albo innych dokumentów urzędowych. Adresy osób, którym przysługują prawa rzeczowe do nieruchomości, ustala się na podstawie wszelkich okoliczności, jeżeli są one znane organowi z urzędu lub zostały wskazane przez stronę, w tym również na podstawie ewidencji gruntów i budynków. Doręczenie na tak ustalony adres jest skuteczne. W</w:t>
      </w:r>
      <w:r w:rsidRPr="00FC2DF6">
        <w:rPr>
          <w:rFonts w:eastAsia="Calibri" w:cstheme="minorHAnsi"/>
          <w:sz w:val="28"/>
          <w:szCs w:val="28"/>
        </w:rPr>
        <w:t> </w:t>
      </w:r>
      <w:r w:rsidRPr="003F3FB4">
        <w:rPr>
          <w:rFonts w:eastAsia="Calibri" w:cstheme="minorHAnsi"/>
          <w:sz w:val="28"/>
          <w:szCs w:val="28"/>
        </w:rPr>
        <w:t>przypadku nieruchomości o nieuregulowanym stanie prawnym lub nieuzyskania danych pozwalających na ustalenie adresu właściciela lub użytkownika wieczystego nieruchomości w sposób określony w ust. 1b, zawiadomienia dokonuje się w sposób, o którym mowa w art. 49 Kodeksu postępowania administracyjnego. Przepisu art. 34 § 1 Kodeksu postępowania administracyjnego nie stosuje się.</w:t>
      </w:r>
    </w:p>
    <w:p w14:paraId="6BD7E3AE"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W myśl art. 2 pkt 24 u.p.z.p. nieruchomością o nieuregulowanym stanie prawnym jest nieruchomość, o której mowa w art. 113 ust. 6 i 7 ustawy z</w:t>
      </w:r>
      <w:r w:rsidRPr="00FC2DF6">
        <w:rPr>
          <w:rFonts w:eastAsia="Calibri" w:cstheme="minorHAnsi"/>
          <w:sz w:val="28"/>
          <w:szCs w:val="28"/>
        </w:rPr>
        <w:t> </w:t>
      </w:r>
      <w:r w:rsidRPr="003F3FB4">
        <w:rPr>
          <w:rFonts w:eastAsia="Calibri" w:cstheme="minorHAnsi"/>
          <w:sz w:val="28"/>
          <w:szCs w:val="28"/>
        </w:rPr>
        <w:t xml:space="preserve">dnia 21 sierpnia 1997 r. o gospodarce nieruchomościami. </w:t>
      </w:r>
    </w:p>
    <w:p w14:paraId="54467296"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Zgodnie z art. 113 ust. 6 i ust. 7 ustawy z dnia 21 sierpnia 1997 r. o gospodarce nieruchomościami (Dz. U. z 2023 r. poz. 344, 1113, 1463, 1506, 1688, 1762, 1906 i 2029) nieruchomością taką jest nieruchomość w stosunku do której nie można ustalić osób, którym przysługują do niej prawa rzeczowe lub jeżeli właściciel lub użytkownik wieczysty nieruchomości nie żyje i nie przeprowadzono lub nie zostało zakończone postępowanie spadkowe.</w:t>
      </w:r>
    </w:p>
    <w:p w14:paraId="2DA6BF62" w14:textId="77777777" w:rsidR="00FC2DF6" w:rsidRPr="00FC2DF6" w:rsidRDefault="00FC2DF6" w:rsidP="00FC2DF6">
      <w:pPr>
        <w:tabs>
          <w:tab w:val="left" w:pos="851"/>
        </w:tabs>
        <w:spacing w:after="120" w:line="240" w:lineRule="auto"/>
        <w:ind w:firstLine="567"/>
        <w:jc w:val="both"/>
        <w:rPr>
          <w:rFonts w:eastAsia="Calibri" w:cstheme="minorHAnsi"/>
          <w:sz w:val="28"/>
          <w:szCs w:val="28"/>
        </w:rPr>
      </w:pPr>
    </w:p>
    <w:p w14:paraId="7108D2BD"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lastRenderedPageBreak/>
        <w:t>W postępowaniu ustalono, że jeden ze współwłaścicieli działki o nr ewid. 742, obręb Śrem, nie żyje. Burmistrz Śremu wystąpił do właściwego sądu o udzielenie informacji czy postępowanie spadkowe zostało przeprowadzone. Sąd Rejonowy w Śremie I Wydział Cywilny poinformował o braku toczącego się postępowania o stwierdzeniu nabyciu spadku po zmarłym.</w:t>
      </w:r>
    </w:p>
    <w:p w14:paraId="7A898914"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Biorąc powyższe pod uwagę Burmistrz Śremu zawiadamiał strony o podejmowanych czynnościach w formie publicznego obwieszczenia.  </w:t>
      </w:r>
    </w:p>
    <w:p w14:paraId="095CBE2D"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45F88C34"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 xml:space="preserve">Stosownie do art. 56, w związku z art. 64 u.p.z.p. nie można odmówić ustalenia warunków zabudowy, jeżeli zamierzenie inwestycyjne jest zgodne z przepisami odrębnymi. </w:t>
      </w:r>
    </w:p>
    <w:p w14:paraId="6B278825" w14:textId="77777777" w:rsidR="00FC2DF6" w:rsidRPr="003F3FB4" w:rsidRDefault="00FC2DF6" w:rsidP="00FC2DF6">
      <w:pPr>
        <w:tabs>
          <w:tab w:val="left" w:pos="851"/>
        </w:tabs>
        <w:spacing w:after="120" w:line="240" w:lineRule="auto"/>
        <w:ind w:firstLine="567"/>
        <w:jc w:val="both"/>
        <w:rPr>
          <w:rFonts w:eastAsia="Calibri" w:cstheme="minorHAnsi"/>
          <w:sz w:val="28"/>
          <w:szCs w:val="28"/>
        </w:rPr>
      </w:pPr>
      <w:r w:rsidRPr="003F3FB4">
        <w:rPr>
          <w:rFonts w:eastAsia="Calibri"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669EEACD" w14:textId="77777777" w:rsidR="00FC2DF6" w:rsidRPr="003F3FB4" w:rsidRDefault="00FC2DF6" w:rsidP="00FC2DF6">
      <w:pPr>
        <w:spacing w:after="120" w:line="240" w:lineRule="auto"/>
        <w:jc w:val="center"/>
        <w:rPr>
          <w:rFonts w:eastAsia="Calibri" w:cstheme="minorHAnsi"/>
          <w:sz w:val="28"/>
          <w:szCs w:val="28"/>
        </w:rPr>
      </w:pPr>
      <w:r w:rsidRPr="003F3FB4">
        <w:rPr>
          <w:rFonts w:eastAsia="Calibri" w:cstheme="minorHAnsi"/>
          <w:sz w:val="28"/>
          <w:szCs w:val="28"/>
        </w:rPr>
        <w:t>W związku z powyższym orzeczono jak w sentencji.</w:t>
      </w:r>
    </w:p>
    <w:p w14:paraId="79A2A1F2" w14:textId="77777777" w:rsidR="00FC2DF6" w:rsidRPr="003F3FB4" w:rsidRDefault="00FC2DF6" w:rsidP="00FC2DF6">
      <w:pPr>
        <w:spacing w:after="120" w:line="240" w:lineRule="auto"/>
        <w:jc w:val="center"/>
        <w:rPr>
          <w:rFonts w:eastAsia="Calibri" w:cstheme="minorHAnsi"/>
          <w:bCs/>
          <w:sz w:val="28"/>
          <w:szCs w:val="28"/>
        </w:rPr>
      </w:pPr>
      <w:r w:rsidRPr="003F3FB4">
        <w:rPr>
          <w:rFonts w:eastAsia="Calibri" w:cstheme="minorHAnsi"/>
          <w:bCs/>
          <w:sz w:val="28"/>
          <w:szCs w:val="28"/>
        </w:rPr>
        <w:t>Pouczenie</w:t>
      </w:r>
    </w:p>
    <w:p w14:paraId="6F2BBB32" w14:textId="77777777" w:rsidR="00FC2DF6" w:rsidRPr="003F3FB4" w:rsidRDefault="00FC2DF6" w:rsidP="00FC2DF6">
      <w:pPr>
        <w:spacing w:after="120" w:line="240" w:lineRule="auto"/>
        <w:ind w:firstLine="567"/>
        <w:jc w:val="both"/>
        <w:rPr>
          <w:rFonts w:eastAsia="Calibri" w:cstheme="minorHAnsi"/>
          <w:bCs/>
          <w:sz w:val="28"/>
          <w:szCs w:val="28"/>
        </w:rPr>
      </w:pPr>
      <w:r w:rsidRPr="003F3FB4">
        <w:rPr>
          <w:rFonts w:eastAsia="Calibri" w:cstheme="minorHAnsi"/>
          <w:bCs/>
          <w:sz w:val="28"/>
          <w:szCs w:val="28"/>
        </w:rPr>
        <w:t>Stosownie do art. 63 pkt 2 u.p.z.p. decyzja o warunkach zabudowy nie rodzi praw do terenu oraz nie narusza prawa własności i uprawnień osób trzecich.</w:t>
      </w:r>
    </w:p>
    <w:p w14:paraId="7BB957C9" w14:textId="77777777" w:rsidR="00FC2DF6" w:rsidRPr="003F3FB4" w:rsidRDefault="00FC2DF6" w:rsidP="00FC2DF6">
      <w:pPr>
        <w:spacing w:after="120" w:line="240" w:lineRule="auto"/>
        <w:ind w:firstLine="567"/>
        <w:jc w:val="both"/>
        <w:rPr>
          <w:rFonts w:eastAsia="Calibri" w:cstheme="minorHAnsi"/>
          <w:bCs/>
          <w:sz w:val="28"/>
          <w:szCs w:val="28"/>
        </w:rPr>
      </w:pPr>
      <w:r w:rsidRPr="003F3FB4">
        <w:rPr>
          <w:rFonts w:eastAsia="Calibri" w:cstheme="minorHAnsi"/>
          <w:bCs/>
          <w:sz w:val="28"/>
          <w:szCs w:val="28"/>
        </w:rPr>
        <w:t>Od niniejszej decyzji służy stronom prawo wniesienia odwołania do Samorządowego Kolegium Odwoławczego w Poznaniu, za moim pośrednictwem, w terminie 14 dni od dnia doręczenia.</w:t>
      </w:r>
    </w:p>
    <w:p w14:paraId="1069A625" w14:textId="77777777" w:rsidR="00FC2DF6" w:rsidRPr="00FC2DF6" w:rsidRDefault="00FC2DF6" w:rsidP="00FC2DF6">
      <w:pPr>
        <w:spacing w:after="120" w:line="240" w:lineRule="auto"/>
        <w:ind w:firstLine="567"/>
        <w:jc w:val="both"/>
        <w:rPr>
          <w:rFonts w:cstheme="minorHAnsi"/>
          <w:bCs/>
          <w:sz w:val="28"/>
          <w:szCs w:val="28"/>
        </w:rPr>
      </w:pPr>
      <w:r w:rsidRPr="00FC2DF6">
        <w:rPr>
          <w:rFonts w:cstheme="minorHAnsi"/>
          <w:bCs/>
          <w:sz w:val="28"/>
          <w:szCs w:val="28"/>
        </w:rPr>
        <w:t xml:space="preserve">Przed upływem terminu do wniesienia odwołania strona może, na podstawie art. 127a § 1 k.p.a., zrzec się prawa do wniesienia odwołania wobec organu administracji publicznej, który wydał decyzję. </w:t>
      </w:r>
    </w:p>
    <w:p w14:paraId="4017911D" w14:textId="77777777" w:rsidR="00FC2DF6" w:rsidRPr="00FC2DF6" w:rsidRDefault="00FC2DF6" w:rsidP="00FC2DF6">
      <w:pPr>
        <w:spacing w:after="120" w:line="240" w:lineRule="auto"/>
        <w:ind w:firstLine="567"/>
        <w:jc w:val="both"/>
        <w:rPr>
          <w:rFonts w:cstheme="minorHAnsi"/>
          <w:bCs/>
          <w:sz w:val="28"/>
          <w:szCs w:val="28"/>
        </w:rPr>
      </w:pPr>
      <w:r w:rsidRPr="00FC2DF6">
        <w:rPr>
          <w:rFonts w:cstheme="minorHAnsi"/>
          <w:bCs/>
          <w:sz w:val="28"/>
          <w:szCs w:val="28"/>
        </w:rPr>
        <w:t>Z dniem doręczenia organowi administracji publicznej oświadczenia o zrzeczeniu się prawa do wniesienia odwołania przez ostatnią ze stron postępowania, decyzja staje się ostateczna i prawomocna.</w:t>
      </w:r>
    </w:p>
    <w:p w14:paraId="5FC2C293" w14:textId="77777777" w:rsidR="00FC2DF6" w:rsidRDefault="00FC2DF6" w:rsidP="00FC2DF6">
      <w:pPr>
        <w:spacing w:after="120" w:line="240" w:lineRule="auto"/>
        <w:ind w:firstLine="567"/>
        <w:jc w:val="both"/>
        <w:rPr>
          <w:rFonts w:cstheme="minorHAnsi"/>
          <w:bCs/>
          <w:sz w:val="28"/>
          <w:szCs w:val="28"/>
        </w:rPr>
      </w:pPr>
    </w:p>
    <w:p w14:paraId="6326DDCD" w14:textId="24049B33" w:rsidR="00FC2DF6" w:rsidRPr="00FC2DF6" w:rsidRDefault="00FC2DF6" w:rsidP="00FC2DF6">
      <w:pPr>
        <w:spacing w:after="120" w:line="240" w:lineRule="auto"/>
        <w:ind w:firstLine="567"/>
        <w:jc w:val="both"/>
        <w:rPr>
          <w:rFonts w:cstheme="minorHAnsi"/>
          <w:bCs/>
          <w:sz w:val="28"/>
          <w:szCs w:val="28"/>
        </w:rPr>
      </w:pPr>
      <w:r w:rsidRPr="00FC2DF6">
        <w:rPr>
          <w:rFonts w:cstheme="minorHAnsi"/>
          <w:bCs/>
          <w:sz w:val="28"/>
          <w:szCs w:val="28"/>
        </w:rPr>
        <w:lastRenderedPageBreak/>
        <w:t>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wnosi się za pośrednictwem Burmistrza Śremu w terminie 14 dni od dnia doręczenia decyzji o warunkach zabudowy. Żądanie wniesione po terminie pozostawia się bez rozpoznania.</w:t>
      </w:r>
    </w:p>
    <w:p w14:paraId="6517DA43" w14:textId="77777777" w:rsidR="00FC2DF6" w:rsidRPr="00FC2DF6" w:rsidRDefault="00FC2DF6" w:rsidP="00FC2DF6">
      <w:pPr>
        <w:spacing w:after="120" w:line="240" w:lineRule="auto"/>
        <w:ind w:firstLine="567"/>
        <w:jc w:val="both"/>
        <w:rPr>
          <w:rFonts w:cstheme="minorHAnsi"/>
          <w:bCs/>
          <w:sz w:val="28"/>
          <w:szCs w:val="28"/>
        </w:rPr>
      </w:pPr>
    </w:p>
    <w:p w14:paraId="5F1D1F8B"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 z up. BURMISTRZA</w:t>
      </w:r>
    </w:p>
    <w:p w14:paraId="7B500437"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Katarzyna Bednarowicz</w:t>
      </w:r>
    </w:p>
    <w:p w14:paraId="47BEA153"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naczelnik Pionu Gospodarowania</w:t>
      </w:r>
    </w:p>
    <w:p w14:paraId="773FC3FE"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Przestrzenią i Środowiskiem</w:t>
      </w:r>
    </w:p>
    <w:p w14:paraId="644ED51E" w14:textId="77777777" w:rsidR="00FC2DF6" w:rsidRPr="00FC2DF6" w:rsidRDefault="00FC2DF6" w:rsidP="00FC2DF6">
      <w:pPr>
        <w:spacing w:after="120" w:line="240" w:lineRule="auto"/>
        <w:ind w:left="3538"/>
        <w:contextualSpacing/>
        <w:jc w:val="center"/>
        <w:rPr>
          <w:rFonts w:cstheme="minorHAnsi"/>
          <w:sz w:val="28"/>
          <w:szCs w:val="28"/>
        </w:rPr>
      </w:pPr>
      <w:r w:rsidRPr="00FC2DF6">
        <w:rPr>
          <w:rFonts w:cstheme="minorHAnsi"/>
          <w:sz w:val="28"/>
          <w:szCs w:val="28"/>
        </w:rPr>
        <w:t>/dokument podpisany elektronicznie/</w:t>
      </w:r>
    </w:p>
    <w:p w14:paraId="3F52C4D4" w14:textId="77777777" w:rsidR="00FC2DF6" w:rsidRPr="00FC2DF6" w:rsidRDefault="00FC2DF6" w:rsidP="00FC2DF6">
      <w:pPr>
        <w:widowControl w:val="0"/>
        <w:autoSpaceDE w:val="0"/>
        <w:autoSpaceDN w:val="0"/>
        <w:adjustRightInd w:val="0"/>
        <w:spacing w:after="120" w:line="240" w:lineRule="auto"/>
        <w:ind w:right="-1"/>
        <w:jc w:val="both"/>
        <w:rPr>
          <w:rFonts w:cstheme="minorHAnsi"/>
          <w:sz w:val="28"/>
          <w:szCs w:val="28"/>
        </w:rPr>
      </w:pPr>
    </w:p>
    <w:p w14:paraId="6555C631" w14:textId="77777777" w:rsidR="00FC2DF6" w:rsidRPr="00FC2DF6" w:rsidRDefault="00FC2DF6" w:rsidP="00FC2DF6">
      <w:pPr>
        <w:widowControl w:val="0"/>
        <w:autoSpaceDE w:val="0"/>
        <w:autoSpaceDN w:val="0"/>
        <w:adjustRightInd w:val="0"/>
        <w:spacing w:after="120" w:line="240" w:lineRule="auto"/>
        <w:ind w:right="-1"/>
        <w:jc w:val="both"/>
        <w:rPr>
          <w:rFonts w:cstheme="minorHAnsi"/>
          <w:sz w:val="28"/>
          <w:szCs w:val="28"/>
        </w:rPr>
      </w:pPr>
      <w:r w:rsidRPr="00FC2DF6">
        <w:rPr>
          <w:rFonts w:cstheme="minorHAnsi"/>
          <w:sz w:val="28"/>
          <w:szCs w:val="28"/>
        </w:rPr>
        <w:t>Załączniki:</w:t>
      </w:r>
    </w:p>
    <w:p w14:paraId="26A12317"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1 – część graficzna decyzji,</w:t>
      </w:r>
    </w:p>
    <w:p w14:paraId="0ECBE24E"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2 – część tekstowa wyników analizy funkcji oraz cech zabudowy i zagospodarowania terenu,</w:t>
      </w:r>
    </w:p>
    <w:p w14:paraId="3EB57F9C"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3 – część graficzna wyników analizy funkcji oraz cech zabudowy i zagospodarowania terenu,</w:t>
      </w:r>
    </w:p>
    <w:p w14:paraId="53ED6321" w14:textId="77777777" w:rsidR="00FC2DF6" w:rsidRPr="00FC2DF6" w:rsidRDefault="00FC2DF6" w:rsidP="00FC2DF6">
      <w:pPr>
        <w:numPr>
          <w:ilvl w:val="0"/>
          <w:numId w:val="9"/>
        </w:numPr>
        <w:spacing w:after="120" w:line="240" w:lineRule="auto"/>
        <w:ind w:right="-1"/>
        <w:jc w:val="both"/>
        <w:rPr>
          <w:rFonts w:cstheme="minorHAnsi"/>
          <w:sz w:val="28"/>
          <w:szCs w:val="28"/>
        </w:rPr>
      </w:pPr>
      <w:r w:rsidRPr="00FC2DF6">
        <w:rPr>
          <w:rFonts w:cstheme="minorHAnsi"/>
          <w:sz w:val="28"/>
          <w:szCs w:val="28"/>
        </w:rPr>
        <w:t>załącznik nr 4 – dane osobowe stron postępowania (w aktach sprawy).</w:t>
      </w:r>
    </w:p>
    <w:p w14:paraId="5500D290" w14:textId="77777777" w:rsidR="00FC2DF6" w:rsidRPr="00FC2DF6" w:rsidRDefault="00FC2DF6" w:rsidP="00FC2DF6">
      <w:pPr>
        <w:spacing w:after="120" w:line="240" w:lineRule="auto"/>
        <w:jc w:val="both"/>
        <w:rPr>
          <w:rFonts w:cstheme="minorHAnsi"/>
          <w:sz w:val="28"/>
          <w:szCs w:val="28"/>
          <w:highlight w:val="yellow"/>
        </w:rPr>
      </w:pPr>
    </w:p>
    <w:p w14:paraId="1B9AB588"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Sprawę prowadzi:</w:t>
      </w:r>
    </w:p>
    <w:p w14:paraId="1932E65E"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 xml:space="preserve">Sandra Krauze </w:t>
      </w:r>
    </w:p>
    <w:p w14:paraId="50BC7452"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podinspektor</w:t>
      </w:r>
    </w:p>
    <w:p w14:paraId="68C75543" w14:textId="77777777" w:rsidR="00FC2DF6" w:rsidRPr="00FC2DF6" w:rsidRDefault="00FC2DF6" w:rsidP="00FC2DF6">
      <w:pPr>
        <w:spacing w:after="120" w:line="240" w:lineRule="auto"/>
        <w:contextualSpacing/>
        <w:jc w:val="both"/>
        <w:rPr>
          <w:rFonts w:cstheme="minorHAnsi"/>
          <w:sz w:val="28"/>
          <w:szCs w:val="28"/>
        </w:rPr>
      </w:pPr>
      <w:r w:rsidRPr="00FC2DF6">
        <w:rPr>
          <w:rFonts w:cstheme="minorHAnsi"/>
          <w:sz w:val="28"/>
          <w:szCs w:val="28"/>
        </w:rPr>
        <w:t>tel. 61 28 47 190</w:t>
      </w:r>
    </w:p>
    <w:p w14:paraId="421EE59F" w14:textId="77777777" w:rsidR="00FC2DF6" w:rsidRPr="00FC2DF6" w:rsidRDefault="00FC2DF6" w:rsidP="00FC2DF6">
      <w:pPr>
        <w:spacing w:after="120" w:line="240" w:lineRule="auto"/>
        <w:jc w:val="both"/>
        <w:rPr>
          <w:rFonts w:cstheme="minorHAnsi"/>
          <w:sz w:val="28"/>
          <w:szCs w:val="28"/>
        </w:rPr>
      </w:pPr>
    </w:p>
    <w:p w14:paraId="365BEF63" w14:textId="77777777" w:rsidR="00FC2DF6" w:rsidRPr="00FC2DF6" w:rsidRDefault="00FC2DF6" w:rsidP="00FC2DF6">
      <w:pPr>
        <w:spacing w:after="120" w:line="240" w:lineRule="auto"/>
        <w:jc w:val="both"/>
        <w:rPr>
          <w:rFonts w:cstheme="minorHAnsi"/>
          <w:sz w:val="28"/>
          <w:szCs w:val="28"/>
        </w:rPr>
      </w:pPr>
      <w:r w:rsidRPr="00FC2DF6">
        <w:rPr>
          <w:rFonts w:cstheme="minorHAnsi"/>
          <w:sz w:val="28"/>
          <w:szCs w:val="28"/>
        </w:rPr>
        <w:t>Otrzymują:</w:t>
      </w:r>
    </w:p>
    <w:p w14:paraId="7FFB6EA5" w14:textId="77777777" w:rsidR="00FC2DF6" w:rsidRPr="00FC2DF6" w:rsidRDefault="00FC2DF6" w:rsidP="00FC2DF6">
      <w:pPr>
        <w:pStyle w:val="Akapitzlist"/>
        <w:numPr>
          <w:ilvl w:val="0"/>
          <w:numId w:val="36"/>
        </w:numPr>
        <w:tabs>
          <w:tab w:val="left" w:pos="567"/>
        </w:tabs>
        <w:spacing w:after="120" w:line="240" w:lineRule="auto"/>
        <w:jc w:val="both"/>
        <w:rPr>
          <w:rFonts w:cstheme="minorHAnsi"/>
          <w:sz w:val="28"/>
          <w:szCs w:val="28"/>
        </w:rPr>
      </w:pPr>
      <w:r w:rsidRPr="00FC2DF6">
        <w:rPr>
          <w:rFonts w:cstheme="minorHAnsi"/>
          <w:sz w:val="28"/>
          <w:szCs w:val="28"/>
        </w:rPr>
        <w:t>Strony postępowania zgodnie z załącznikiem nr 4</w:t>
      </w:r>
    </w:p>
    <w:p w14:paraId="6BD0AD4B" w14:textId="77777777" w:rsidR="00FC2DF6" w:rsidRPr="00FC2DF6" w:rsidRDefault="00FC2DF6" w:rsidP="00FC2DF6">
      <w:pPr>
        <w:pStyle w:val="Akapitzlist"/>
        <w:numPr>
          <w:ilvl w:val="0"/>
          <w:numId w:val="36"/>
        </w:numPr>
        <w:tabs>
          <w:tab w:val="left" w:pos="567"/>
        </w:tabs>
        <w:spacing w:after="120" w:line="240" w:lineRule="auto"/>
        <w:jc w:val="both"/>
        <w:rPr>
          <w:rFonts w:cstheme="minorHAnsi"/>
          <w:sz w:val="28"/>
          <w:szCs w:val="28"/>
        </w:rPr>
      </w:pPr>
      <w:r w:rsidRPr="00FC2DF6">
        <w:rPr>
          <w:rFonts w:cstheme="minorHAnsi"/>
          <w:sz w:val="28"/>
          <w:szCs w:val="28"/>
        </w:rPr>
        <w:t>aa.</w:t>
      </w:r>
    </w:p>
    <w:p w14:paraId="3F95121A" w14:textId="77777777" w:rsidR="00FC2DF6" w:rsidRPr="00FC2DF6" w:rsidRDefault="00FC2DF6" w:rsidP="00FC2DF6">
      <w:pPr>
        <w:spacing w:after="120" w:line="240" w:lineRule="auto"/>
        <w:jc w:val="both"/>
        <w:rPr>
          <w:rFonts w:cstheme="minorHAnsi"/>
          <w:sz w:val="28"/>
          <w:szCs w:val="28"/>
          <w:highlight w:val="yellow"/>
        </w:rPr>
      </w:pPr>
    </w:p>
    <w:p w14:paraId="54E45306" w14:textId="77777777" w:rsidR="00FC2DF6" w:rsidRPr="00FC2DF6" w:rsidRDefault="00FC2DF6" w:rsidP="00FC2DF6">
      <w:pPr>
        <w:spacing w:after="120" w:line="240" w:lineRule="auto"/>
        <w:ind w:firstLine="567"/>
        <w:jc w:val="both"/>
        <w:rPr>
          <w:rFonts w:cstheme="minorHAnsi"/>
          <w:sz w:val="28"/>
          <w:szCs w:val="28"/>
        </w:rPr>
      </w:pPr>
      <w:r w:rsidRPr="00FC2DF6">
        <w:rPr>
          <w:rFonts w:cstheme="minorHAnsi"/>
          <w:sz w:val="28"/>
          <w:szCs w:val="28"/>
        </w:rPr>
        <w:t>Decyzja zwolniona od opłaty skarbowej zgodnie z załącznikiem do ustawy z dnia 16 listopada 2006 r. o opłacie skarbowej (Dz. U. z 2023 r. poz. 2111) część I pkt 8.</w:t>
      </w:r>
    </w:p>
    <w:p w14:paraId="25E71135" w14:textId="77777777" w:rsidR="00DF18B2" w:rsidRPr="00DF18B2" w:rsidRDefault="00DF18B2" w:rsidP="00DF18B2">
      <w:pPr>
        <w:spacing w:after="120" w:line="240" w:lineRule="auto"/>
        <w:ind w:right="-1"/>
        <w:jc w:val="both"/>
        <w:rPr>
          <w:rFonts w:cstheme="minorHAnsi"/>
          <w:sz w:val="28"/>
          <w:szCs w:val="28"/>
        </w:rPr>
      </w:pPr>
    </w:p>
    <w:p w14:paraId="5022420A" w14:textId="77777777" w:rsidR="008C0D69" w:rsidRDefault="008C0D69" w:rsidP="001E33D8">
      <w:pPr>
        <w:rPr>
          <w:sz w:val="28"/>
          <w:szCs w:val="28"/>
        </w:rPr>
        <w:sectPr w:rsidR="008C0D69" w:rsidSect="00D875BA">
          <w:headerReference w:type="default" r:id="rId12"/>
          <w:footerReference w:type="default" r:id="rId13"/>
          <w:pgSz w:w="11906" w:h="16838"/>
          <w:pgMar w:top="1418" w:right="1418" w:bottom="1701" w:left="1701" w:header="709" w:footer="709" w:gutter="0"/>
          <w:pgNumType w:start="1"/>
          <w:cols w:space="708"/>
          <w:docGrid w:linePitch="600" w:charSpace="32768"/>
        </w:sectPr>
      </w:pPr>
    </w:p>
    <w:p w14:paraId="0926243D" w14:textId="48CC4307" w:rsidR="00561124" w:rsidRDefault="00FC2DF6" w:rsidP="00561124">
      <w:pPr>
        <w:jc w:val="center"/>
        <w:rPr>
          <w:sz w:val="28"/>
          <w:szCs w:val="28"/>
        </w:rPr>
        <w:sectPr w:rsidR="00561124" w:rsidSect="00D875BA">
          <w:footerReference w:type="default" r:id="rId14"/>
          <w:pgSz w:w="11906" w:h="16838" w:code="9"/>
          <w:pgMar w:top="720" w:right="720" w:bottom="720" w:left="720" w:header="709" w:footer="709" w:gutter="0"/>
          <w:pgNumType w:start="1"/>
          <w:cols w:space="708"/>
          <w:docGrid w:linePitch="600" w:charSpace="32768"/>
        </w:sectPr>
      </w:pPr>
      <w:r>
        <w:rPr>
          <w:noProof/>
          <w:sz w:val="28"/>
          <w:szCs w:val="28"/>
        </w:rPr>
        <w:lastRenderedPageBreak/>
        <w:drawing>
          <wp:inline distT="0" distB="0" distL="0" distR="0" wp14:anchorId="5F3445D9" wp14:editId="4976736B">
            <wp:extent cx="6645910" cy="9398000"/>
            <wp:effectExtent l="0" t="0" r="2540" b="0"/>
            <wp:docPr id="1685072955" name="Obraz 2"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72955" name="Obraz 2" descr="Obraz zawierający tekst, mapa, diagram, Plan&#10;&#10;Opis wygenerowany automatyczni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9398000"/>
                    </a:xfrm>
                    <a:prstGeom prst="rect">
                      <a:avLst/>
                    </a:prstGeom>
                  </pic:spPr>
                </pic:pic>
              </a:graphicData>
            </a:graphic>
          </wp:inline>
        </w:drawing>
      </w:r>
    </w:p>
    <w:p w14:paraId="308B94AC" w14:textId="77777777" w:rsidR="00C979A2" w:rsidRPr="00C979A2" w:rsidRDefault="00C979A2" w:rsidP="00C979A2">
      <w:pPr>
        <w:spacing w:after="120" w:line="240" w:lineRule="auto"/>
        <w:contextualSpacing/>
        <w:rPr>
          <w:rFonts w:cstheme="minorHAnsi"/>
          <w:sz w:val="28"/>
          <w:szCs w:val="28"/>
        </w:rPr>
      </w:pPr>
      <w:r w:rsidRPr="00C979A2">
        <w:rPr>
          <w:rFonts w:cstheme="minorHAnsi"/>
          <w:sz w:val="28"/>
          <w:szCs w:val="28"/>
        </w:rPr>
        <w:lastRenderedPageBreak/>
        <w:t>PPSPP.6730.8.2024.KSAN</w:t>
      </w:r>
    </w:p>
    <w:p w14:paraId="75D3502A" w14:textId="77777777" w:rsidR="00C979A2" w:rsidRPr="00C979A2" w:rsidRDefault="00C979A2" w:rsidP="00C979A2">
      <w:pPr>
        <w:spacing w:after="120" w:line="240" w:lineRule="auto"/>
        <w:contextualSpacing/>
        <w:rPr>
          <w:rFonts w:cstheme="minorHAnsi"/>
          <w:sz w:val="28"/>
          <w:szCs w:val="28"/>
        </w:rPr>
      </w:pPr>
    </w:p>
    <w:p w14:paraId="46B7589D"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 xml:space="preserve">Wyniki analizy </w:t>
      </w:r>
    </w:p>
    <w:p w14:paraId="02CF5488"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funkcji oraz cech zabudowy i zagospodarowania terenu w zakresie warunków, o których mowa w art. 61 ust. 1 – 5 ustawy z dnia 27 marca 2003 r. o planowaniu i zagospodarowaniu przestrzennym</w:t>
      </w:r>
    </w:p>
    <w:p w14:paraId="66EAA28C" w14:textId="77777777" w:rsidR="00C979A2" w:rsidRPr="00C979A2" w:rsidRDefault="00C979A2" w:rsidP="00C979A2">
      <w:pPr>
        <w:spacing w:after="120" w:line="240" w:lineRule="auto"/>
        <w:contextualSpacing/>
        <w:rPr>
          <w:rFonts w:cstheme="minorHAnsi"/>
          <w:sz w:val="28"/>
          <w:szCs w:val="28"/>
        </w:rPr>
      </w:pPr>
    </w:p>
    <w:p w14:paraId="526AB718" w14:textId="77777777" w:rsidR="00C979A2" w:rsidRPr="00C979A2" w:rsidRDefault="00C979A2" w:rsidP="00C979A2">
      <w:pPr>
        <w:spacing w:after="120" w:line="240" w:lineRule="auto"/>
        <w:ind w:firstLine="567"/>
        <w:contextualSpacing/>
        <w:jc w:val="both"/>
        <w:rPr>
          <w:rFonts w:cstheme="minorHAnsi"/>
          <w:sz w:val="28"/>
          <w:szCs w:val="28"/>
        </w:rPr>
      </w:pPr>
      <w:r w:rsidRPr="00C979A2">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C979A2" w:rsidRPr="00633564" w14:paraId="5C1B903D" w14:textId="77777777" w:rsidTr="00384E31">
        <w:tc>
          <w:tcPr>
            <w:tcW w:w="6946" w:type="dxa"/>
            <w:gridSpan w:val="2"/>
            <w:tcBorders>
              <w:right w:val="dotted" w:sz="4" w:space="0" w:color="auto"/>
            </w:tcBorders>
            <w:vAlign w:val="center"/>
          </w:tcPr>
          <w:p w14:paraId="62FEE33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43" w:type="dxa"/>
            <w:tcBorders>
              <w:left w:val="dotted" w:sz="4" w:space="0" w:color="auto"/>
            </w:tcBorders>
            <w:vAlign w:val="center"/>
          </w:tcPr>
          <w:p w14:paraId="675FAA7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C979A2" w:rsidRPr="00633564" w14:paraId="7DD7D5E4" w14:textId="77777777" w:rsidTr="00384E31">
        <w:tc>
          <w:tcPr>
            <w:tcW w:w="709" w:type="dxa"/>
            <w:tcBorders>
              <w:bottom w:val="single" w:sz="2" w:space="0" w:color="auto"/>
              <w:right w:val="dotted" w:sz="4" w:space="0" w:color="auto"/>
            </w:tcBorders>
            <w:vAlign w:val="center"/>
          </w:tcPr>
          <w:p w14:paraId="28795B6A"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237" w:type="dxa"/>
            <w:tcBorders>
              <w:left w:val="dotted" w:sz="4" w:space="0" w:color="auto"/>
              <w:bottom w:val="single" w:sz="2" w:space="0" w:color="auto"/>
              <w:right w:val="dotted" w:sz="4" w:space="0" w:color="auto"/>
            </w:tcBorders>
          </w:tcPr>
          <w:p w14:paraId="52B4B08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left w:val="dotted" w:sz="4" w:space="0" w:color="auto"/>
              <w:bottom w:val="single" w:sz="2" w:space="0" w:color="auto"/>
            </w:tcBorders>
            <w:vAlign w:val="center"/>
          </w:tcPr>
          <w:p w14:paraId="78E4D54D"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087E36BD" w14:textId="77777777" w:rsidTr="00384E31">
        <w:tc>
          <w:tcPr>
            <w:tcW w:w="709" w:type="dxa"/>
            <w:tcBorders>
              <w:top w:val="single" w:sz="2" w:space="0" w:color="auto"/>
              <w:bottom w:val="single" w:sz="2" w:space="0" w:color="auto"/>
              <w:right w:val="dotted" w:sz="4" w:space="0" w:color="auto"/>
            </w:tcBorders>
            <w:vAlign w:val="center"/>
          </w:tcPr>
          <w:p w14:paraId="5C3593D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tcPr>
          <w:p w14:paraId="0E74D335"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bookmarkStart w:id="1" w:name="mip44711609"/>
            <w:bookmarkEnd w:id="1"/>
            <w:r w:rsidRPr="0063356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tcBorders>
            <w:vAlign w:val="center"/>
          </w:tcPr>
          <w:p w14:paraId="32D74BA8"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6010217" w14:textId="77777777" w:rsidTr="00384E31">
        <w:tc>
          <w:tcPr>
            <w:tcW w:w="709" w:type="dxa"/>
            <w:tcBorders>
              <w:top w:val="single" w:sz="2" w:space="0" w:color="auto"/>
              <w:bottom w:val="single" w:sz="2" w:space="0" w:color="auto"/>
              <w:right w:val="dotted" w:sz="4" w:space="0" w:color="auto"/>
            </w:tcBorders>
            <w:vAlign w:val="center"/>
          </w:tcPr>
          <w:p w14:paraId="6D06A7C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tcPr>
          <w:p w14:paraId="33607E0D"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tcBorders>
            <w:vAlign w:val="center"/>
          </w:tcPr>
          <w:p w14:paraId="17D08813"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2B08CD7E" w14:textId="77777777" w:rsidTr="00384E31">
        <w:tc>
          <w:tcPr>
            <w:tcW w:w="709" w:type="dxa"/>
            <w:tcBorders>
              <w:top w:val="single" w:sz="2" w:space="0" w:color="auto"/>
              <w:bottom w:val="single" w:sz="2" w:space="0" w:color="auto"/>
              <w:right w:val="dotted" w:sz="4" w:space="0" w:color="auto"/>
            </w:tcBorders>
            <w:vAlign w:val="center"/>
          </w:tcPr>
          <w:p w14:paraId="5FBA073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tcPr>
          <w:p w14:paraId="7EB4BC0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tcBorders>
            <w:vAlign w:val="center"/>
          </w:tcPr>
          <w:p w14:paraId="769E1E9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5BE4BA00" w14:textId="77777777" w:rsidTr="00384E31">
        <w:tc>
          <w:tcPr>
            <w:tcW w:w="709" w:type="dxa"/>
            <w:tcBorders>
              <w:top w:val="single" w:sz="2" w:space="0" w:color="auto"/>
              <w:bottom w:val="single" w:sz="2" w:space="0" w:color="auto"/>
              <w:right w:val="dotted" w:sz="4" w:space="0" w:color="auto"/>
            </w:tcBorders>
            <w:vAlign w:val="center"/>
          </w:tcPr>
          <w:p w14:paraId="0BC022A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tcPr>
          <w:p w14:paraId="64FD5BBE"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tcBorders>
            <w:vAlign w:val="center"/>
          </w:tcPr>
          <w:p w14:paraId="66B57F6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5C4937B" w14:textId="77777777" w:rsidTr="00384E31">
        <w:tc>
          <w:tcPr>
            <w:tcW w:w="709" w:type="dxa"/>
            <w:tcBorders>
              <w:top w:val="single" w:sz="2" w:space="0" w:color="auto"/>
              <w:right w:val="dotted" w:sz="4" w:space="0" w:color="auto"/>
            </w:tcBorders>
            <w:vAlign w:val="center"/>
          </w:tcPr>
          <w:p w14:paraId="70C08550"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237" w:type="dxa"/>
            <w:tcBorders>
              <w:top w:val="single" w:sz="2" w:space="0" w:color="auto"/>
              <w:left w:val="dotted" w:sz="4" w:space="0" w:color="auto"/>
              <w:right w:val="dotted" w:sz="4" w:space="0" w:color="auto"/>
            </w:tcBorders>
          </w:tcPr>
          <w:p w14:paraId="24C73CCF"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tcBorders>
            <w:vAlign w:val="center"/>
          </w:tcPr>
          <w:p w14:paraId="0A7496A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515AB777" w14:textId="77777777" w:rsidR="00C979A2" w:rsidRPr="00633564" w:rsidRDefault="00C979A2" w:rsidP="00C979A2">
      <w:pPr>
        <w:spacing w:after="120"/>
        <w:rPr>
          <w:rFonts w:cstheme="minorHAnsi"/>
        </w:rPr>
        <w:sectPr w:rsidR="00C979A2" w:rsidRPr="00633564" w:rsidSect="00D875BA">
          <w:headerReference w:type="default" r:id="rId16"/>
          <w:footerReference w:type="default" r:id="rId17"/>
          <w:pgSz w:w="11906" w:h="16838"/>
          <w:pgMar w:top="1418" w:right="1418" w:bottom="1701" w:left="1701" w:header="709" w:footer="709" w:gutter="0"/>
          <w:cols w:space="708"/>
          <w:docGrid w:linePitch="600" w:charSpace="32768"/>
        </w:sectPr>
      </w:pPr>
    </w:p>
    <w:p w14:paraId="65C0237E" w14:textId="03AB97C0" w:rsidR="00C979A2" w:rsidRPr="0081766C" w:rsidRDefault="00C979A2" w:rsidP="0081766C">
      <w:pPr>
        <w:spacing w:after="120" w:line="240" w:lineRule="auto"/>
        <w:ind w:firstLine="567"/>
        <w:contextualSpacing/>
        <w:jc w:val="both"/>
        <w:rPr>
          <w:rFonts w:cstheme="minorHAnsi"/>
          <w:sz w:val="28"/>
          <w:szCs w:val="28"/>
        </w:rPr>
      </w:pPr>
      <w:r w:rsidRPr="00C979A2">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tbl>
      <w:tblPr>
        <w:tblStyle w:val="Tabela-Siatka"/>
        <w:tblW w:w="0" w:type="auto"/>
        <w:tblInd w:w="108" w:type="dxa"/>
        <w:tblLook w:val="04A0" w:firstRow="1" w:lastRow="0" w:firstColumn="1" w:lastColumn="0" w:noHBand="0" w:noVBand="1"/>
      </w:tblPr>
      <w:tblGrid>
        <w:gridCol w:w="3544"/>
        <w:gridCol w:w="10206"/>
      </w:tblGrid>
      <w:tr w:rsidR="00C979A2" w:rsidRPr="00633564" w14:paraId="14A29025" w14:textId="77777777" w:rsidTr="00384E31">
        <w:trPr>
          <w:cantSplit/>
          <w:tblHeader/>
        </w:trPr>
        <w:tc>
          <w:tcPr>
            <w:tcW w:w="3544" w:type="dxa"/>
            <w:tcBorders>
              <w:right w:val="dotted" w:sz="4" w:space="0" w:color="auto"/>
            </w:tcBorders>
            <w:vAlign w:val="center"/>
          </w:tcPr>
          <w:p w14:paraId="171E8EB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Wymagania nowej zabudowy</w:t>
            </w:r>
          </w:p>
        </w:tc>
        <w:tc>
          <w:tcPr>
            <w:tcW w:w="10206" w:type="dxa"/>
            <w:tcBorders>
              <w:left w:val="dotted" w:sz="4" w:space="0" w:color="auto"/>
            </w:tcBorders>
            <w:vAlign w:val="center"/>
          </w:tcPr>
          <w:p w14:paraId="0A55B23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Sposób ustalenia wymagań</w:t>
            </w:r>
          </w:p>
        </w:tc>
      </w:tr>
      <w:tr w:rsidR="00C979A2" w:rsidRPr="00633564" w14:paraId="72395E44" w14:textId="77777777" w:rsidTr="00384E31">
        <w:trPr>
          <w:cantSplit/>
        </w:trPr>
        <w:tc>
          <w:tcPr>
            <w:tcW w:w="3544" w:type="dxa"/>
            <w:tcBorders>
              <w:bottom w:val="single" w:sz="2" w:space="0" w:color="auto"/>
              <w:right w:val="dotted" w:sz="4" w:space="0" w:color="auto"/>
            </w:tcBorders>
            <w:vAlign w:val="center"/>
          </w:tcPr>
          <w:p w14:paraId="3B809CB4"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Linia zabudowy</w:t>
            </w:r>
          </w:p>
        </w:tc>
        <w:tc>
          <w:tcPr>
            <w:tcW w:w="10206" w:type="dxa"/>
            <w:tcBorders>
              <w:left w:val="dotted" w:sz="4" w:space="0" w:color="auto"/>
              <w:bottom w:val="single" w:sz="2" w:space="0" w:color="auto"/>
            </w:tcBorders>
          </w:tcPr>
          <w:p w14:paraId="4DE37A80" w14:textId="77777777" w:rsidR="00FC2DF6" w:rsidRPr="003F3FB4" w:rsidRDefault="00FC2DF6" w:rsidP="00FC2DF6">
            <w:pPr>
              <w:spacing w:after="200" w:line="276" w:lineRule="auto"/>
              <w:contextualSpacing/>
              <w:jc w:val="both"/>
              <w:rPr>
                <w:rFonts w:ascii="Calibri" w:eastAsia="Calibri" w:hAnsi="Calibri" w:cs="Calibri"/>
                <w:sz w:val="24"/>
                <w:szCs w:val="24"/>
              </w:rPr>
            </w:pPr>
            <w:r w:rsidRPr="003F3FB4">
              <w:rPr>
                <w:rFonts w:ascii="Calibri" w:eastAsia="Calibri" w:hAnsi="Calibri" w:cs="Calibri"/>
                <w:sz w:val="24"/>
                <w:szCs w:val="24"/>
              </w:rPr>
              <w:t>zgodnie z § 4 ust. 4: ustalono w inny sposób, jeżeli wynika to z analizy. Linia zabudowy:</w:t>
            </w:r>
          </w:p>
          <w:p w14:paraId="27F816FD" w14:textId="77777777" w:rsidR="00FC2DF6" w:rsidRDefault="00FC2DF6" w:rsidP="00FC2DF6">
            <w:pPr>
              <w:numPr>
                <w:ilvl w:val="0"/>
                <w:numId w:val="39"/>
              </w:numPr>
              <w:spacing w:after="120" w:line="276" w:lineRule="auto"/>
              <w:contextualSpacing/>
              <w:jc w:val="both"/>
              <w:rPr>
                <w:rFonts w:ascii="Calibri" w:eastAsia="Calibri" w:hAnsi="Calibri" w:cs="Calibri"/>
                <w:sz w:val="24"/>
                <w:szCs w:val="24"/>
              </w:rPr>
            </w:pPr>
            <w:r w:rsidRPr="003F3FB4">
              <w:rPr>
                <w:rFonts w:ascii="Calibri" w:eastAsia="Calibri" w:hAnsi="Calibri" w:cs="Calibri"/>
                <w:sz w:val="24"/>
                <w:szCs w:val="24"/>
              </w:rPr>
              <w:t>obowiązująca ustalona jako przedłużenie istniejącego budynku mieszkalnego (działka o nr ewid. 740, obręb Śrem), w odległości 4,0 m od strony drogi gminnej – ul. Floriana Marciniaka,</w:t>
            </w:r>
          </w:p>
          <w:p w14:paraId="5008873F" w14:textId="24C15574" w:rsidR="00C979A2" w:rsidRPr="00FC2DF6" w:rsidRDefault="00FC2DF6" w:rsidP="00FC2DF6">
            <w:pPr>
              <w:numPr>
                <w:ilvl w:val="0"/>
                <w:numId w:val="39"/>
              </w:numPr>
              <w:spacing w:after="120" w:line="276" w:lineRule="auto"/>
              <w:contextualSpacing/>
              <w:jc w:val="both"/>
              <w:rPr>
                <w:rFonts w:ascii="Calibri" w:eastAsia="Calibri" w:hAnsi="Calibri" w:cs="Calibri"/>
                <w:sz w:val="24"/>
                <w:szCs w:val="24"/>
              </w:rPr>
            </w:pPr>
            <w:r w:rsidRPr="003F3FB4">
              <w:rPr>
                <w:rFonts w:ascii="Calibri" w:eastAsia="Calibri" w:hAnsi="Calibri" w:cs="Calibri"/>
                <w:sz w:val="24"/>
                <w:szCs w:val="24"/>
              </w:rPr>
              <w:t xml:space="preserve">nieprzekraczalna ustalona w odległości 6,0 m od granicy drogi gminnej – ul. Krętej.  </w:t>
            </w:r>
          </w:p>
        </w:tc>
      </w:tr>
      <w:tr w:rsidR="00C979A2" w:rsidRPr="00633564" w14:paraId="348EEF59" w14:textId="77777777" w:rsidTr="00384E31">
        <w:trPr>
          <w:cantSplit/>
        </w:trPr>
        <w:tc>
          <w:tcPr>
            <w:tcW w:w="3544" w:type="dxa"/>
            <w:tcBorders>
              <w:top w:val="single" w:sz="2" w:space="0" w:color="auto"/>
              <w:bottom w:val="single" w:sz="2" w:space="0" w:color="auto"/>
              <w:right w:val="dotted" w:sz="4" w:space="0" w:color="auto"/>
            </w:tcBorders>
            <w:vAlign w:val="center"/>
          </w:tcPr>
          <w:p w14:paraId="1DE24380"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r w:rsidRPr="00633564">
              <w:rPr>
                <w:rFonts w:asciiTheme="minorHAnsi" w:hAnsiTheme="minorHAnsi" w:cstheme="minorHAnsi"/>
                <w:sz w:val="24"/>
                <w:szCs w:val="24"/>
              </w:rPr>
              <w:t>Wskaźnik wielkości powierzchni nowej zabudowy w stosunku do powierzchni</w:t>
            </w:r>
            <w:r>
              <w:rPr>
                <w:rFonts w:asciiTheme="minorHAnsi" w:hAnsiTheme="minorHAnsi" w:cstheme="minorHAnsi"/>
                <w:sz w:val="24"/>
                <w:szCs w:val="24"/>
              </w:rPr>
              <w:t xml:space="preserve"> terenu</w:t>
            </w:r>
          </w:p>
        </w:tc>
        <w:tc>
          <w:tcPr>
            <w:tcW w:w="10206" w:type="dxa"/>
            <w:tcBorders>
              <w:top w:val="single" w:sz="2" w:space="0" w:color="auto"/>
              <w:left w:val="dotted" w:sz="4" w:space="0" w:color="auto"/>
              <w:bottom w:val="single" w:sz="2" w:space="0" w:color="auto"/>
            </w:tcBorders>
          </w:tcPr>
          <w:p w14:paraId="0C445574" w14:textId="034EBA53" w:rsidR="00C979A2" w:rsidRPr="0030410E" w:rsidRDefault="00FC2DF6" w:rsidP="00384E31">
            <w:pPr>
              <w:spacing w:after="120"/>
              <w:jc w:val="both"/>
              <w:rPr>
                <w:rFonts w:asciiTheme="minorHAnsi" w:hAnsiTheme="minorHAnsi" w:cstheme="minorHAnsi"/>
                <w:szCs w:val="28"/>
              </w:rPr>
            </w:pPr>
            <w:r w:rsidRPr="003F3FB4">
              <w:rPr>
                <w:rFonts w:ascii="Calibri" w:eastAsia="Calibri" w:hAnsi="Calibri" w:cs="Calibri"/>
                <w:sz w:val="24"/>
                <w:szCs w:val="24"/>
              </w:rPr>
              <w:t>zgodnie z § 5 ust. 2:</w:t>
            </w:r>
            <w:r w:rsidRPr="003F3FB4">
              <w:rPr>
                <w:rFonts w:ascii="Calibri" w:eastAsia="Calibri" w:hAnsi="Calibri" w:cs="Calibri"/>
                <w:sz w:val="22"/>
              </w:rPr>
              <w:t xml:space="preserve"> </w:t>
            </w:r>
            <w:r w:rsidRPr="003F3FB4">
              <w:rPr>
                <w:rFonts w:ascii="Calibri" w:eastAsia="Calibri" w:hAnsi="Calibri" w:cs="Calibri"/>
                <w:sz w:val="24"/>
                <w:szCs w:val="24"/>
              </w:rPr>
              <w:t>w inny sposób, jeżeli wynika to z analizy. Średni wskaźnik w obszarze analizowanym wynosi 21,3 %, przy czym w obszarze analizowanym waha się pomiędzy 6,9 %, a 65,8 %. Planowana inwestycja charakteryzuje się wskaźnikiem od 18,8 % do 25,8 %, który jest wskaźnikiem pośrednim wśród wskaźników istniejących w obszarze analizowanym. Wskaźniki na działkach o nr ewid.: 737; 738; 739; 740; 742; 743; 745; 746; 747; 748; 749; 751; 753; 754; 755; 756; 757/1; 761/11; 758; 759/1; 759/2; 760; 771; 772; 770; 761/12, wynoszą odpowiednio: 7,2 %, 10,2 %, 18,7 %, 24,3 %, 15,8 %, 25,8 %, 19,2%, 10,4 %, 6,9 %, 13,4 %, 14,5 %, 7,6 %, 23,3 %, 21,5 %, 18,8 %, 18,2 %, 26,8 %, 33,5 %, 26,9 %, 26,4 %, 65,8</w:t>
            </w:r>
            <w:r>
              <w:rPr>
                <w:rFonts w:ascii="Calibri" w:eastAsia="Calibri" w:hAnsi="Calibri" w:cs="Calibri"/>
                <w:sz w:val="24"/>
                <w:szCs w:val="24"/>
              </w:rPr>
              <w:t> </w:t>
            </w:r>
            <w:r w:rsidRPr="003F3FB4">
              <w:rPr>
                <w:rFonts w:ascii="Calibri" w:eastAsia="Calibri" w:hAnsi="Calibri" w:cs="Calibri"/>
                <w:sz w:val="24"/>
                <w:szCs w:val="24"/>
              </w:rPr>
              <w:t>%, 27,7 %, 28,1 %, 21,2 %, 11,7 %, 30,3 %. Planowany wskaźnik powierzchni zabudowy jest pośredni do średniego wskaźnika powierzchni zabudowy, ale mieści się w przedziale wskaźników występujących w obszarze analizowanym. W związku z powyższym wskaźnik powierzchni zabudowy ustalono na poziomie od 18,8 % do 25,8 %, bowiem nie zaburzy on ładu przestrzennego otoczenia.</w:t>
            </w:r>
          </w:p>
        </w:tc>
      </w:tr>
      <w:tr w:rsidR="00C979A2" w:rsidRPr="00633564" w14:paraId="79F31904" w14:textId="77777777" w:rsidTr="00384E31">
        <w:trPr>
          <w:cantSplit/>
        </w:trPr>
        <w:tc>
          <w:tcPr>
            <w:tcW w:w="3544" w:type="dxa"/>
            <w:tcBorders>
              <w:top w:val="single" w:sz="2" w:space="0" w:color="auto"/>
              <w:bottom w:val="single" w:sz="2" w:space="0" w:color="auto"/>
              <w:right w:val="dotted" w:sz="4" w:space="0" w:color="auto"/>
            </w:tcBorders>
            <w:vAlign w:val="center"/>
          </w:tcPr>
          <w:p w14:paraId="6A81099D" w14:textId="77777777" w:rsidR="00C979A2" w:rsidRPr="00633564" w:rsidRDefault="00C979A2" w:rsidP="00384E31">
            <w:pPr>
              <w:spacing w:after="120"/>
              <w:rPr>
                <w:rFonts w:asciiTheme="minorHAnsi" w:eastAsia="Times New Roman" w:hAnsiTheme="minorHAnsi" w:cstheme="minorHAnsi"/>
                <w:sz w:val="24"/>
                <w:szCs w:val="24"/>
                <w:lang w:eastAsia="pl-PL"/>
              </w:rPr>
            </w:pPr>
            <w:bookmarkStart w:id="2" w:name="mip10826116"/>
            <w:bookmarkEnd w:id="2"/>
            <w:r w:rsidRPr="00633564">
              <w:rPr>
                <w:rFonts w:asciiTheme="minorHAnsi" w:eastAsia="Times New Roman" w:hAnsiTheme="minorHAnsi" w:cstheme="minorHAnsi"/>
                <w:sz w:val="24"/>
                <w:szCs w:val="24"/>
                <w:lang w:eastAsia="pl-PL"/>
              </w:rPr>
              <w:t>Szerokość elewacji frontowej budynku</w:t>
            </w:r>
          </w:p>
        </w:tc>
        <w:tc>
          <w:tcPr>
            <w:tcW w:w="10206" w:type="dxa"/>
            <w:tcBorders>
              <w:top w:val="single" w:sz="2" w:space="0" w:color="auto"/>
              <w:left w:val="dotted" w:sz="4" w:space="0" w:color="auto"/>
              <w:bottom w:val="single" w:sz="2" w:space="0" w:color="auto"/>
            </w:tcBorders>
          </w:tcPr>
          <w:p w14:paraId="735AB588" w14:textId="7706A923"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zgodnie z § 6 ust. 2: w inny sposób, jeżeli wynika to z analizy. Szerokość elewacji frontowej planowanego budynku nie wyznaczono na podstawie średniej szerokości elewacji dla obszaru analizowanego z tolerancją ±20%, przy średniej szerokości elewacji wynoszącej 8,7 m, budynki powinny charakteryzować się szerokościami od 7,0 m do 10,5 m. Wnioskowana szerokość elewacji (od 12,0 m do 14,0 m) nie mieści się w ramach standardowo wyznaczonej wielkości, jednak mieści się w przedziale szerokości występujących w obszarze analizowanym. Szerokość budynku na działce o nr ewid. 740 wynosi 14,2 m, na działce o nr ewid. 743 wynosi 12,3 m, natomiast na działce o nr ewid. 742 wynosi 13,3 m. W związku z powyższym szerokość planowanego budynku może zostać ustalona na wnioskowanym poziomie (od 12,0 m do 14,0 m), bowiem jest zbliżona do szerokości budynków występujących na działkach znajdujących się w najbliższym sąsiedztwie i w harmonijny sposób wpisze się w otoczenie.</w:t>
            </w:r>
          </w:p>
        </w:tc>
      </w:tr>
      <w:tr w:rsidR="00C979A2" w:rsidRPr="00633564" w14:paraId="49ABF887" w14:textId="77777777" w:rsidTr="00384E31">
        <w:trPr>
          <w:cantSplit/>
        </w:trPr>
        <w:tc>
          <w:tcPr>
            <w:tcW w:w="3544" w:type="dxa"/>
            <w:tcBorders>
              <w:top w:val="single" w:sz="2" w:space="0" w:color="auto"/>
              <w:bottom w:val="single" w:sz="2" w:space="0" w:color="auto"/>
              <w:right w:val="dotted" w:sz="4" w:space="0" w:color="auto"/>
            </w:tcBorders>
            <w:vAlign w:val="center"/>
          </w:tcPr>
          <w:p w14:paraId="7E139CF8"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lastRenderedPageBreak/>
              <w:t>W</w:t>
            </w:r>
            <w:r w:rsidRPr="00D6406E">
              <w:rPr>
                <w:rFonts w:asciiTheme="minorHAnsi" w:hAnsiTheme="minorHAnsi" w:cstheme="minorHAnsi"/>
                <w:sz w:val="24"/>
                <w:szCs w:val="24"/>
              </w:rPr>
              <w:t>ysokość górnej krawędzi elewacji frontowej, jej gzymsu lub attyki</w:t>
            </w:r>
          </w:p>
        </w:tc>
        <w:tc>
          <w:tcPr>
            <w:tcW w:w="10206" w:type="dxa"/>
            <w:tcBorders>
              <w:top w:val="single" w:sz="2" w:space="0" w:color="auto"/>
              <w:left w:val="dotted" w:sz="4" w:space="0" w:color="auto"/>
              <w:bottom w:val="single" w:sz="2" w:space="0" w:color="auto"/>
            </w:tcBorders>
          </w:tcPr>
          <w:p w14:paraId="5179D34C" w14:textId="12B760A0" w:rsidR="00C979A2" w:rsidRPr="004D3EC4" w:rsidRDefault="00FC2DF6" w:rsidP="00384E31">
            <w:pPr>
              <w:spacing w:after="120"/>
              <w:jc w:val="both"/>
              <w:rPr>
                <w:rFonts w:asciiTheme="minorHAnsi" w:hAnsiTheme="minorHAnsi" w:cstheme="minorHAnsi"/>
                <w:szCs w:val="28"/>
              </w:rPr>
            </w:pPr>
            <w:r w:rsidRPr="003F3FB4">
              <w:rPr>
                <w:rFonts w:ascii="Calibri" w:eastAsia="Calibri" w:hAnsi="Calibri" w:cs="Calibri"/>
                <w:sz w:val="24"/>
                <w:szCs w:val="24"/>
              </w:rPr>
              <w:t>zgodnie z § 7 ust. 1: jako przedłużenie krawędzi odpowiednio do istniejącej zabudowy na działkach sąsiednich. Wysokość górnej krawędzi elewacji frontowej występująca na działkach znajdujących się w bezpośrednim sąsiedztwie, działki o nr ewid. 740 i 742 wynosi 6,5 m. Ze względu na dach tzw. płaski planowanego budynku wysokości ustalono do wysokości głównej kalenicy. Na działce o nr ewid. 742 wysokość głównej kalenicy wynosi 8,5 m, na działce o nr ewid. 740 wysokość wynosi 8,0 m, a na działce o nr ewid. 739 wysokość wynosi 7,5 m. Projektowany budynek nad częścią dwukondygnacyjną charakteryzuje się wysokością od 7,5 m do 8,5 m, natomiast nad częścią jednokondygnacyjną charakteryzuje się wysokością od 3,0 m do 4,0 m. Zatem wysokość planowanych budynków jest równa budynkom zlokalizowanym przy ul. Floriana Marciniaka na działkach sąsiednich, a więc ustalenie wysokości górnej krawędzi elewacji frontowej na wnioskowanym poziomie w harmonijny sposób wpisze się w otaczającą zabudowę.</w:t>
            </w:r>
          </w:p>
        </w:tc>
      </w:tr>
      <w:tr w:rsidR="00C979A2" w:rsidRPr="00633564" w14:paraId="37F7ACDE" w14:textId="77777777" w:rsidTr="00384E31">
        <w:trPr>
          <w:cantSplit/>
        </w:trPr>
        <w:tc>
          <w:tcPr>
            <w:tcW w:w="13750" w:type="dxa"/>
            <w:gridSpan w:val="2"/>
            <w:tcBorders>
              <w:top w:val="single" w:sz="2" w:space="0" w:color="auto"/>
              <w:bottom w:val="dotted" w:sz="4" w:space="0" w:color="auto"/>
            </w:tcBorders>
            <w:vAlign w:val="center"/>
          </w:tcPr>
          <w:p w14:paraId="656A3ECA"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Geometria dachu ustalona odpowiednio do geometrii dachów występujących na obszarze analizowanym</w:t>
            </w:r>
          </w:p>
        </w:tc>
      </w:tr>
      <w:tr w:rsidR="00C979A2" w:rsidRPr="00633564" w14:paraId="117AF266" w14:textId="77777777" w:rsidTr="00384E31">
        <w:trPr>
          <w:cantSplit/>
        </w:trPr>
        <w:tc>
          <w:tcPr>
            <w:tcW w:w="3544" w:type="dxa"/>
            <w:tcBorders>
              <w:top w:val="dotted" w:sz="4" w:space="0" w:color="auto"/>
              <w:bottom w:val="dotted" w:sz="4" w:space="0" w:color="auto"/>
              <w:right w:val="dotted" w:sz="4" w:space="0" w:color="auto"/>
            </w:tcBorders>
            <w:vAlign w:val="center"/>
          </w:tcPr>
          <w:p w14:paraId="33AF8030"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kąt nachylenia</w:t>
            </w:r>
          </w:p>
        </w:tc>
        <w:tc>
          <w:tcPr>
            <w:tcW w:w="10206" w:type="dxa"/>
            <w:tcBorders>
              <w:top w:val="dotted" w:sz="4" w:space="0" w:color="auto"/>
              <w:left w:val="dotted" w:sz="4" w:space="0" w:color="auto"/>
              <w:bottom w:val="dotted" w:sz="4" w:space="0" w:color="auto"/>
            </w:tcBorders>
            <w:vAlign w:val="center"/>
          </w:tcPr>
          <w:p w14:paraId="6ED58C79" w14:textId="0E1FF6E9"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nie więcej niż 12˚ -  w obszarze analizowanym występują dachy o kącie nachylenia od 15˚ do 50˚ oraz tzw. płaskie o kącie nachylenia do 12˚</w:t>
            </w:r>
          </w:p>
        </w:tc>
      </w:tr>
      <w:tr w:rsidR="00C979A2" w:rsidRPr="00633564" w14:paraId="02AEDE5A" w14:textId="77777777" w:rsidTr="00384E31">
        <w:trPr>
          <w:cantSplit/>
        </w:trPr>
        <w:tc>
          <w:tcPr>
            <w:tcW w:w="3544" w:type="dxa"/>
            <w:tcBorders>
              <w:top w:val="dotted" w:sz="4" w:space="0" w:color="auto"/>
              <w:bottom w:val="dotted" w:sz="4" w:space="0" w:color="auto"/>
              <w:right w:val="dotted" w:sz="4" w:space="0" w:color="auto"/>
            </w:tcBorders>
            <w:vAlign w:val="center"/>
          </w:tcPr>
          <w:p w14:paraId="34B1F105"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wysokość głównej kalenicy</w:t>
            </w:r>
          </w:p>
        </w:tc>
        <w:tc>
          <w:tcPr>
            <w:tcW w:w="10206" w:type="dxa"/>
            <w:tcBorders>
              <w:top w:val="dotted" w:sz="4" w:space="0" w:color="auto"/>
              <w:left w:val="dotted" w:sz="4" w:space="0" w:color="auto"/>
              <w:bottom w:val="dotted" w:sz="4" w:space="0" w:color="auto"/>
            </w:tcBorders>
            <w:vAlign w:val="center"/>
          </w:tcPr>
          <w:p w14:paraId="52535C71" w14:textId="77777777" w:rsidR="00FC2DF6" w:rsidRPr="003F3FB4" w:rsidRDefault="00FC2DF6" w:rsidP="00FC2DF6">
            <w:pPr>
              <w:spacing w:after="120" w:line="276" w:lineRule="auto"/>
              <w:rPr>
                <w:rFonts w:ascii="Calibri" w:eastAsia="Calibri" w:hAnsi="Calibri" w:cs="Calibri"/>
                <w:sz w:val="24"/>
                <w:szCs w:val="24"/>
              </w:rPr>
            </w:pPr>
            <w:r w:rsidRPr="003F3FB4">
              <w:rPr>
                <w:rFonts w:ascii="Calibri" w:eastAsia="Calibri" w:hAnsi="Calibri" w:cs="Calibri"/>
                <w:sz w:val="24"/>
                <w:szCs w:val="24"/>
              </w:rPr>
              <w:t xml:space="preserve">od 7,5 m do 8,5 m – nad częścią dwukondygnacyjną </w:t>
            </w:r>
          </w:p>
          <w:p w14:paraId="630E42D4" w14:textId="77777777" w:rsidR="00FC2DF6" w:rsidRPr="003F3FB4" w:rsidRDefault="00FC2DF6" w:rsidP="00FC2DF6">
            <w:pPr>
              <w:spacing w:after="120" w:line="276" w:lineRule="auto"/>
              <w:rPr>
                <w:rFonts w:ascii="Calibri" w:eastAsia="Calibri" w:hAnsi="Calibri" w:cs="Calibri"/>
                <w:sz w:val="24"/>
                <w:szCs w:val="24"/>
              </w:rPr>
            </w:pPr>
            <w:r w:rsidRPr="003F3FB4">
              <w:rPr>
                <w:rFonts w:ascii="Calibri" w:eastAsia="Calibri" w:hAnsi="Calibri" w:cs="Calibri"/>
                <w:sz w:val="24"/>
                <w:szCs w:val="24"/>
              </w:rPr>
              <w:t xml:space="preserve">od 3,0 m do 4,0 m – nad częścią jednokondygnacyjną  </w:t>
            </w:r>
          </w:p>
          <w:p w14:paraId="29782EF9" w14:textId="35269F73" w:rsidR="00C979A2" w:rsidRPr="00633564" w:rsidRDefault="00FC2DF6" w:rsidP="00FC2DF6">
            <w:pPr>
              <w:spacing w:after="120"/>
              <w:jc w:val="both"/>
              <w:rPr>
                <w:rFonts w:asciiTheme="minorHAnsi" w:hAnsiTheme="minorHAnsi" w:cstheme="minorHAnsi"/>
                <w:sz w:val="24"/>
                <w:szCs w:val="24"/>
              </w:rPr>
            </w:pPr>
            <w:r w:rsidRPr="003F3FB4">
              <w:rPr>
                <w:rFonts w:ascii="Calibri" w:eastAsia="Calibri" w:hAnsi="Calibri" w:cs="Calibri"/>
                <w:sz w:val="24"/>
                <w:szCs w:val="24"/>
              </w:rPr>
              <w:t>– w obszarze analizowanym występują budynki o wysokości głównej kalenicy od 2,5 m do 11,0 m oraz budynki o wysokości całkowitej budynków od 2,0 m do 8,5 m</w:t>
            </w:r>
          </w:p>
        </w:tc>
      </w:tr>
      <w:tr w:rsidR="00C979A2" w:rsidRPr="00633564" w14:paraId="1BB6EECF" w14:textId="77777777" w:rsidTr="00384E31">
        <w:trPr>
          <w:cantSplit/>
        </w:trPr>
        <w:tc>
          <w:tcPr>
            <w:tcW w:w="3544" w:type="dxa"/>
            <w:tcBorders>
              <w:top w:val="dotted" w:sz="4" w:space="0" w:color="auto"/>
              <w:bottom w:val="dotted" w:sz="4" w:space="0" w:color="auto"/>
              <w:right w:val="dotted" w:sz="4" w:space="0" w:color="auto"/>
            </w:tcBorders>
            <w:vAlign w:val="center"/>
          </w:tcPr>
          <w:p w14:paraId="0994D8A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2E480364" w14:textId="55BC98DC"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jednospadowy, płaski – w obszarze analizowanym znajdują się dachy jedno-, dwu- i wielospadowe oraz tzw. płaskie</w:t>
            </w:r>
          </w:p>
        </w:tc>
      </w:tr>
      <w:tr w:rsidR="00C979A2" w:rsidRPr="00633564" w14:paraId="4E689D13" w14:textId="77777777" w:rsidTr="00384E31">
        <w:trPr>
          <w:cantSplit/>
        </w:trPr>
        <w:tc>
          <w:tcPr>
            <w:tcW w:w="3544" w:type="dxa"/>
            <w:tcBorders>
              <w:top w:val="dotted" w:sz="4" w:space="0" w:color="auto"/>
              <w:right w:val="dotted" w:sz="4" w:space="0" w:color="auto"/>
            </w:tcBorders>
            <w:vAlign w:val="center"/>
          </w:tcPr>
          <w:p w14:paraId="53F43D79"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kierunek głównej kalenicy dachu w stosunku do frontu działki</w:t>
            </w:r>
          </w:p>
        </w:tc>
        <w:tc>
          <w:tcPr>
            <w:tcW w:w="10206" w:type="dxa"/>
            <w:tcBorders>
              <w:top w:val="dotted" w:sz="4" w:space="0" w:color="auto"/>
              <w:left w:val="dotted" w:sz="4" w:space="0" w:color="auto"/>
            </w:tcBorders>
            <w:vAlign w:val="center"/>
          </w:tcPr>
          <w:p w14:paraId="5BE72AFA" w14:textId="5DCA5461" w:rsidR="00C979A2" w:rsidRPr="00633564" w:rsidRDefault="00FC2DF6" w:rsidP="00384E31">
            <w:pPr>
              <w:spacing w:after="120"/>
              <w:jc w:val="both"/>
              <w:rPr>
                <w:rFonts w:asciiTheme="minorHAnsi" w:hAnsiTheme="minorHAnsi" w:cstheme="minorHAnsi"/>
                <w:sz w:val="24"/>
                <w:szCs w:val="24"/>
              </w:rPr>
            </w:pPr>
            <w:r w:rsidRPr="003F3FB4">
              <w:rPr>
                <w:rFonts w:ascii="Calibri" w:eastAsia="Calibri" w:hAnsi="Calibri" w:cs="Calibri"/>
                <w:sz w:val="24"/>
                <w:szCs w:val="24"/>
              </w:rPr>
              <w:t>w układzie szczytowym – w obszarze analizowanym występują dachy o kalenicowym (równoległym lub zbliżonym do równoległego) i szczytowym (prostopadłym lub zbliżonym do prostopadłego) kierunku głównej kalenicy do frontu działki.</w:t>
            </w:r>
          </w:p>
        </w:tc>
      </w:tr>
    </w:tbl>
    <w:p w14:paraId="084691C8" w14:textId="77777777" w:rsidR="00FC2DF6" w:rsidRDefault="00FC2DF6" w:rsidP="0081766C">
      <w:pPr>
        <w:tabs>
          <w:tab w:val="left" w:pos="2925"/>
          <w:tab w:val="left" w:pos="8265"/>
        </w:tabs>
        <w:rPr>
          <w:sz w:val="28"/>
          <w:szCs w:val="28"/>
        </w:rPr>
        <w:sectPr w:rsidR="00FC2DF6" w:rsidSect="00D875BA">
          <w:headerReference w:type="default" r:id="rId18"/>
          <w:footerReference w:type="default" r:id="rId19"/>
          <w:pgSz w:w="16838" w:h="11906" w:orient="landscape" w:code="9"/>
          <w:pgMar w:top="720" w:right="720" w:bottom="720" w:left="720" w:header="709" w:footer="709" w:gutter="0"/>
          <w:pgNumType w:start="1"/>
          <w:cols w:space="708"/>
          <w:docGrid w:linePitch="600" w:charSpace="32768"/>
        </w:sectPr>
      </w:pPr>
    </w:p>
    <w:p w14:paraId="21453B77" w14:textId="1586CAED" w:rsidR="00561124" w:rsidRPr="00AF76C1" w:rsidRDefault="00FC2DF6" w:rsidP="0081766C">
      <w:pPr>
        <w:tabs>
          <w:tab w:val="left" w:pos="2925"/>
          <w:tab w:val="left" w:pos="8265"/>
        </w:tabs>
        <w:rPr>
          <w:sz w:val="28"/>
          <w:szCs w:val="28"/>
        </w:rPr>
      </w:pPr>
      <w:r>
        <w:rPr>
          <w:noProof/>
          <w:sz w:val="28"/>
          <w:szCs w:val="28"/>
        </w:rPr>
        <w:lastRenderedPageBreak/>
        <w:drawing>
          <wp:inline distT="0" distB="0" distL="0" distR="0" wp14:anchorId="6F2394A0" wp14:editId="5CFBF86E">
            <wp:extent cx="6645910" cy="9398000"/>
            <wp:effectExtent l="0" t="0" r="2540" b="0"/>
            <wp:docPr id="1130105393" name="Obraz 3" descr="Obraz zawierający tekst, mapa, diagram, Czcio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05393" name="Obraz 3" descr="Obraz zawierający tekst, mapa, diagram, Czcionka&#10;&#10;Opis wygenerowany automatyczni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9398000"/>
                    </a:xfrm>
                    <a:prstGeom prst="rect">
                      <a:avLst/>
                    </a:prstGeom>
                  </pic:spPr>
                </pic:pic>
              </a:graphicData>
            </a:graphic>
          </wp:inline>
        </w:drawing>
      </w:r>
    </w:p>
    <w:sectPr w:rsidR="00561124" w:rsidRPr="00AF76C1" w:rsidSect="00D875BA">
      <w:pgSz w:w="11906" w:h="16838" w:code="9"/>
      <w:pgMar w:top="720" w:right="720" w:bottom="720" w:left="720" w:header="709" w:footer="709"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7BBF9" w14:textId="77777777" w:rsidR="00D875BA" w:rsidRDefault="00D875BA" w:rsidP="00053E5A">
      <w:pPr>
        <w:spacing w:after="0" w:line="240" w:lineRule="auto"/>
      </w:pPr>
      <w:r>
        <w:separator/>
      </w:r>
    </w:p>
  </w:endnote>
  <w:endnote w:type="continuationSeparator" w:id="0">
    <w:p w14:paraId="6AFAE7E1" w14:textId="77777777" w:rsidR="00D875BA" w:rsidRDefault="00D875BA"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963526"/>
      <w:docPartObj>
        <w:docPartGallery w:val="Page Numbers (Bottom of Page)"/>
        <w:docPartUnique/>
      </w:docPartObj>
    </w:sdtPr>
    <w:sdtContent>
      <w:sdt>
        <w:sdtPr>
          <w:id w:val="1728636285"/>
          <w:docPartObj>
            <w:docPartGallery w:val="Page Numbers (Top of Page)"/>
            <w:docPartUnique/>
          </w:docPartObj>
        </w:sdtPr>
        <w:sdtContent>
          <w:p w14:paraId="3FA1324F" w14:textId="00DB7419" w:rsidR="002471A9" w:rsidRDefault="002471A9">
            <w:pPr>
              <w:pStyle w:val="Stopka"/>
              <w:jc w:val="center"/>
            </w:pPr>
            <w:r w:rsidRPr="002471A9">
              <w:rPr>
                <w:sz w:val="28"/>
                <w:szCs w:val="28"/>
              </w:rPr>
              <w:t xml:space="preserve">Strona </w:t>
            </w:r>
            <w:r w:rsidRPr="002471A9">
              <w:rPr>
                <w:sz w:val="28"/>
                <w:szCs w:val="28"/>
              </w:rPr>
              <w:fldChar w:fldCharType="begin"/>
            </w:r>
            <w:r w:rsidRPr="002471A9">
              <w:rPr>
                <w:sz w:val="28"/>
                <w:szCs w:val="28"/>
              </w:rPr>
              <w:instrText>PAGE</w:instrText>
            </w:r>
            <w:r w:rsidRPr="002471A9">
              <w:rPr>
                <w:sz w:val="28"/>
                <w:szCs w:val="28"/>
              </w:rPr>
              <w:fldChar w:fldCharType="separate"/>
            </w:r>
            <w:r w:rsidRPr="002471A9">
              <w:rPr>
                <w:sz w:val="28"/>
                <w:szCs w:val="28"/>
              </w:rPr>
              <w:t>2</w:t>
            </w:r>
            <w:r w:rsidRPr="002471A9">
              <w:rPr>
                <w:sz w:val="28"/>
                <w:szCs w:val="28"/>
              </w:rPr>
              <w:fldChar w:fldCharType="end"/>
            </w:r>
            <w:r w:rsidRPr="002471A9">
              <w:rPr>
                <w:sz w:val="28"/>
                <w:szCs w:val="28"/>
              </w:rPr>
              <w:t xml:space="preserve"> z </w:t>
            </w:r>
            <w:r w:rsidRPr="002471A9">
              <w:rPr>
                <w:sz w:val="28"/>
                <w:szCs w:val="28"/>
              </w:rPr>
              <w:fldChar w:fldCharType="begin"/>
            </w:r>
            <w:r w:rsidRPr="002471A9">
              <w:rPr>
                <w:sz w:val="28"/>
                <w:szCs w:val="28"/>
              </w:rPr>
              <w:instrText>NUMPAGES</w:instrText>
            </w:r>
            <w:r w:rsidRPr="002471A9">
              <w:rPr>
                <w:sz w:val="28"/>
                <w:szCs w:val="28"/>
              </w:rPr>
              <w:fldChar w:fldCharType="separate"/>
            </w:r>
            <w:r w:rsidRPr="002471A9">
              <w:rPr>
                <w:sz w:val="28"/>
                <w:szCs w:val="28"/>
              </w:rPr>
              <w:t>2</w:t>
            </w:r>
            <w:r w:rsidRPr="002471A9">
              <w:rPr>
                <w:sz w:val="28"/>
                <w:szCs w:val="28"/>
              </w:rPr>
              <w:fldChar w:fldCharType="end"/>
            </w:r>
          </w:p>
        </w:sdtContent>
      </w:sdt>
    </w:sdtContent>
  </w:sdt>
  <w:p w14:paraId="1145CA04" w14:textId="6FA4B4AD" w:rsidR="00403FA2" w:rsidRPr="00D70CF5" w:rsidRDefault="00403FA2" w:rsidP="0091164C">
    <w:pPr>
      <w:pStyle w:val="Stopka"/>
      <w:jc w:val="center"/>
      <w:rPr>
        <w:rFonts w:cstheme="minorHAnsi"/>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A8DC1" w14:textId="6492BB76" w:rsidR="008C0D69" w:rsidRPr="00D70CF5" w:rsidRDefault="008C0D69" w:rsidP="0091164C">
    <w:pPr>
      <w:pStyle w:val="Stopka"/>
      <w:jc w:val="center"/>
      <w:rPr>
        <w:rFonts w:cstheme="minorHAnsi"/>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7997453"/>
      <w:docPartObj>
        <w:docPartGallery w:val="Page Numbers (Bottom of Page)"/>
        <w:docPartUnique/>
      </w:docPartObj>
    </w:sdtPr>
    <w:sdtContent>
      <w:sdt>
        <w:sdtPr>
          <w:id w:val="98381352"/>
          <w:docPartObj>
            <w:docPartGallery w:val="Page Numbers (Top of Page)"/>
            <w:docPartUnique/>
          </w:docPartObj>
        </w:sdtPr>
        <w:sdtContent>
          <w:p w14:paraId="51AAF9F6" w14:textId="77777777" w:rsidR="00C979A2" w:rsidRDefault="00C979A2" w:rsidP="00E901C1">
            <w:pPr>
              <w:pStyle w:val="Stopka"/>
              <w:jc w:val="center"/>
            </w:pPr>
            <w:r w:rsidRPr="00633564">
              <w:rPr>
                <w:rFonts w:cstheme="minorHAnsi"/>
                <w:szCs w:val="28"/>
              </w:rPr>
              <w:t xml:space="preserve">Strona </w:t>
            </w:r>
            <w:r w:rsidRPr="00633564">
              <w:rPr>
                <w:rFonts w:cstheme="minorHAnsi"/>
                <w:szCs w:val="28"/>
              </w:rPr>
              <w:fldChar w:fldCharType="begin"/>
            </w:r>
            <w:r w:rsidRPr="00633564">
              <w:rPr>
                <w:rFonts w:cstheme="minorHAnsi"/>
                <w:szCs w:val="28"/>
              </w:rPr>
              <w:instrText>PAGE</w:instrText>
            </w:r>
            <w:r w:rsidRPr="00633564">
              <w:rPr>
                <w:rFonts w:cstheme="minorHAnsi"/>
                <w:szCs w:val="28"/>
              </w:rPr>
              <w:fldChar w:fldCharType="separate"/>
            </w:r>
            <w:r w:rsidRPr="00633564">
              <w:rPr>
                <w:rFonts w:cstheme="minorHAnsi"/>
                <w:noProof/>
                <w:szCs w:val="28"/>
              </w:rPr>
              <w:t>1</w:t>
            </w:r>
            <w:r w:rsidRPr="00633564">
              <w:rPr>
                <w:rFonts w:cstheme="minorHAnsi"/>
                <w:szCs w:val="28"/>
              </w:rPr>
              <w:fldChar w:fldCharType="end"/>
            </w:r>
            <w:r w:rsidRPr="00633564">
              <w:rPr>
                <w:rFonts w:cstheme="minorHAnsi"/>
                <w:szCs w:val="28"/>
              </w:rPr>
              <w:t xml:space="preserve"> z </w:t>
            </w:r>
            <w:r w:rsidRPr="00633564">
              <w:rPr>
                <w:rFonts w:cstheme="minorHAnsi"/>
                <w:szCs w:val="28"/>
              </w:rPr>
              <w:fldChar w:fldCharType="begin"/>
            </w:r>
            <w:r w:rsidRPr="00633564">
              <w:rPr>
                <w:rFonts w:cstheme="minorHAnsi"/>
                <w:szCs w:val="28"/>
              </w:rPr>
              <w:instrText>NUMPAGES</w:instrText>
            </w:r>
            <w:r w:rsidRPr="00633564">
              <w:rPr>
                <w:rFonts w:cstheme="minorHAnsi"/>
                <w:szCs w:val="28"/>
              </w:rPr>
              <w:fldChar w:fldCharType="separate"/>
            </w:r>
            <w:r w:rsidRPr="00633564">
              <w:rPr>
                <w:rFonts w:cstheme="minorHAnsi"/>
                <w:noProof/>
                <w:szCs w:val="28"/>
              </w:rPr>
              <w:t>3</w:t>
            </w:r>
            <w:r w:rsidRPr="00633564">
              <w:rPr>
                <w:rFonts w:cstheme="minorHAnsi"/>
                <w:szCs w:val="28"/>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1397497"/>
      <w:docPartObj>
        <w:docPartGallery w:val="Page Numbers (Bottom of Page)"/>
        <w:docPartUnique/>
      </w:docPartObj>
    </w:sdtPr>
    <w:sdtContent>
      <w:sdt>
        <w:sdtPr>
          <w:id w:val="-427819642"/>
          <w:docPartObj>
            <w:docPartGallery w:val="Page Numbers (Top of Page)"/>
            <w:docPartUnique/>
          </w:docPartObj>
        </w:sdtPr>
        <w:sdtContent>
          <w:p w14:paraId="36506499" w14:textId="2D07972A" w:rsidR="00DC7BD7" w:rsidRDefault="00DC7BD7">
            <w:pPr>
              <w:pStyle w:val="Stopka"/>
              <w:jc w:val="center"/>
            </w:pPr>
            <w:r w:rsidRPr="00DC7BD7">
              <w:rPr>
                <w:sz w:val="28"/>
                <w:szCs w:val="28"/>
              </w:rPr>
              <w:t xml:space="preserve">Strona </w:t>
            </w:r>
            <w:r>
              <w:rPr>
                <w:sz w:val="28"/>
                <w:szCs w:val="28"/>
              </w:rPr>
              <w:t>18</w:t>
            </w:r>
            <w:r w:rsidRPr="00DC7BD7">
              <w:rPr>
                <w:sz w:val="28"/>
                <w:szCs w:val="28"/>
              </w:rPr>
              <w:t xml:space="preserve"> z </w:t>
            </w:r>
            <w:r w:rsidRPr="00DC7BD7">
              <w:rPr>
                <w:sz w:val="28"/>
                <w:szCs w:val="28"/>
              </w:rPr>
              <w:fldChar w:fldCharType="begin"/>
            </w:r>
            <w:r w:rsidRPr="00DC7BD7">
              <w:rPr>
                <w:sz w:val="28"/>
                <w:szCs w:val="28"/>
              </w:rPr>
              <w:instrText>NUMPAGES</w:instrText>
            </w:r>
            <w:r w:rsidRPr="00DC7BD7">
              <w:rPr>
                <w:sz w:val="28"/>
                <w:szCs w:val="28"/>
              </w:rPr>
              <w:fldChar w:fldCharType="separate"/>
            </w:r>
            <w:r w:rsidRPr="00DC7BD7">
              <w:rPr>
                <w:sz w:val="28"/>
                <w:szCs w:val="28"/>
              </w:rPr>
              <w:t>2</w:t>
            </w:r>
            <w:r w:rsidRPr="00DC7BD7">
              <w:rPr>
                <w:sz w:val="28"/>
                <w:szCs w:val="28"/>
              </w:rPr>
              <w:fldChar w:fldCharType="end"/>
            </w:r>
          </w:p>
        </w:sdtContent>
      </w:sdt>
    </w:sdtContent>
  </w:sdt>
  <w:p w14:paraId="0F75F9AB" w14:textId="3C325DAA" w:rsidR="00DC7BD7" w:rsidRDefault="00DC7BD7" w:rsidP="00E901C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17C6B" w14:textId="77777777" w:rsidR="00D875BA" w:rsidRDefault="00D875BA" w:rsidP="00053E5A">
      <w:pPr>
        <w:spacing w:after="0" w:line="240" w:lineRule="auto"/>
      </w:pPr>
      <w:r>
        <w:separator/>
      </w:r>
    </w:p>
  </w:footnote>
  <w:footnote w:type="continuationSeparator" w:id="0">
    <w:p w14:paraId="3D2DF242" w14:textId="77777777" w:rsidR="00D875BA" w:rsidRDefault="00D875BA" w:rsidP="00053E5A">
      <w:pPr>
        <w:spacing w:after="0" w:line="240" w:lineRule="auto"/>
      </w:pPr>
      <w:r>
        <w:continuationSeparator/>
      </w:r>
    </w:p>
  </w:footnote>
  <w:footnote w:id="1">
    <w:p w14:paraId="5651F661" w14:textId="77777777" w:rsidR="00FC2DF6" w:rsidRPr="003F3FB4" w:rsidRDefault="00FC2DF6" w:rsidP="00FC2DF6">
      <w:pPr>
        <w:pStyle w:val="Tekstprzypisudolnego1"/>
        <w:jc w:val="both"/>
        <w:rPr>
          <w:rFonts w:ascii="Calibri" w:hAnsi="Calibri" w:cs="Calibri"/>
          <w:sz w:val="28"/>
          <w:szCs w:val="28"/>
        </w:rPr>
      </w:pPr>
      <w:r w:rsidRPr="003F3FB4">
        <w:rPr>
          <w:rStyle w:val="Odwoanieprzypisudolnego"/>
          <w:rFonts w:ascii="Calibri" w:hAnsi="Calibri" w:cs="Calibri"/>
          <w:sz w:val="28"/>
          <w:szCs w:val="28"/>
        </w:rPr>
        <w:footnoteRef/>
      </w:r>
      <w:r w:rsidRPr="003F3FB4">
        <w:rPr>
          <w:rFonts w:ascii="Calibri" w:hAnsi="Calibri" w:cs="Calibri"/>
          <w:sz w:val="28"/>
          <w:szCs w:val="28"/>
        </w:rPr>
        <w:t>Stosownie do art. 61 ust. 5a zdanie drugie u.p.z.p.</w:t>
      </w:r>
      <w:r w:rsidRPr="003F3FB4">
        <w:rPr>
          <w:rFonts w:ascii="Calibri" w:hAnsi="Calibri" w:cs="Calibri"/>
          <w:szCs w:val="28"/>
        </w:rPr>
        <w:t xml:space="preserve"> </w:t>
      </w:r>
      <w:r w:rsidRPr="003F3FB4">
        <w:rPr>
          <w:rFonts w:ascii="Calibri" w:hAnsi="Calibri" w:cs="Calibri"/>
          <w:sz w:val="28"/>
          <w:szCs w:val="28"/>
        </w:rPr>
        <w:t>przez front terenu należy rozumieć tę część granicy działki budowlanej, która przylega do drogi publicznej lub wewnętrznej, z której odbywa się główny wjazd na działkę. Front terenu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BD5A1" w14:textId="77777777" w:rsidR="00403FA2" w:rsidRPr="0040389E" w:rsidRDefault="00403FA2" w:rsidP="0040389E">
    <w:pPr>
      <w:pStyle w:val="Nagwek"/>
      <w:jc w:val="right"/>
      <w:rPr>
        <w:rFonts w:cstheme="minorHAnsi"/>
        <w:color w:val="808080" w:themeColor="background1" w:themeShade="8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8F75E" w14:textId="77777777" w:rsidR="00C979A2" w:rsidRPr="00633564" w:rsidRDefault="00C979A2" w:rsidP="008B08EF">
    <w:pPr>
      <w:pStyle w:val="Nagwek"/>
      <w:jc w:val="right"/>
      <w:rPr>
        <w:rFonts w:cstheme="minorHAnsi"/>
        <w:iCs/>
        <w:color w:val="808080" w:themeColor="background1" w:themeShade="80"/>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9A646" w14:textId="77777777" w:rsidR="00DC7BD7" w:rsidRPr="00633564" w:rsidRDefault="00DC7BD7" w:rsidP="008B08EF">
    <w:pPr>
      <w:pStyle w:val="Nagwek"/>
      <w:jc w:val="right"/>
      <w:rPr>
        <w:rFonts w:cstheme="minorHAnsi"/>
        <w:iCs/>
        <w:color w:val="808080" w:themeColor="background1" w:themeShade="8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43BD3"/>
    <w:multiLevelType w:val="hybridMultilevel"/>
    <w:tmpl w:val="A908315A"/>
    <w:lvl w:ilvl="0" w:tplc="0832CD32">
      <w:start w:val="1"/>
      <w:numFmt w:val="lowerLetter"/>
      <w:lvlText w:val="%1)"/>
      <w:lvlJc w:val="left"/>
      <w:pPr>
        <w:ind w:left="927" w:hanging="360"/>
      </w:pPr>
      <w:rPr>
        <w:rFonts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09E120AD"/>
    <w:multiLevelType w:val="hybridMultilevel"/>
    <w:tmpl w:val="F5625C6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33606D"/>
    <w:multiLevelType w:val="hybridMultilevel"/>
    <w:tmpl w:val="193C9738"/>
    <w:lvl w:ilvl="0" w:tplc="0CDCBC02">
      <w:start w:val="1"/>
      <w:numFmt w:val="decimal"/>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2763B1"/>
    <w:multiLevelType w:val="hybridMultilevel"/>
    <w:tmpl w:val="AB58EA5A"/>
    <w:lvl w:ilvl="0" w:tplc="09A68B00">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28AA404D"/>
    <w:multiLevelType w:val="hybridMultilevel"/>
    <w:tmpl w:val="D5AE2EE0"/>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BC170B"/>
    <w:multiLevelType w:val="hybridMultilevel"/>
    <w:tmpl w:val="64D6F020"/>
    <w:lvl w:ilvl="0" w:tplc="09A68B0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2" w15:restartNumberingAfterBreak="0">
    <w:nsid w:val="2C962030"/>
    <w:multiLevelType w:val="hybridMultilevel"/>
    <w:tmpl w:val="0456B428"/>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45782F"/>
    <w:multiLevelType w:val="hybridMultilevel"/>
    <w:tmpl w:val="6B90E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0E7C3B"/>
    <w:multiLevelType w:val="hybridMultilevel"/>
    <w:tmpl w:val="5776A0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815227B"/>
    <w:multiLevelType w:val="hybridMultilevel"/>
    <w:tmpl w:val="F894EB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6F0A5A"/>
    <w:multiLevelType w:val="hybridMultilevel"/>
    <w:tmpl w:val="8ADEC9AA"/>
    <w:lvl w:ilvl="0" w:tplc="09A68B0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B8322B"/>
    <w:multiLevelType w:val="hybridMultilevel"/>
    <w:tmpl w:val="B5DADA34"/>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E0E1C86"/>
    <w:multiLevelType w:val="hybridMultilevel"/>
    <w:tmpl w:val="480C5BA6"/>
    <w:lvl w:ilvl="0" w:tplc="786C2D94">
      <w:start w:val="1"/>
      <w:numFmt w:val="decimal"/>
      <w:lvlText w:val="%1)"/>
      <w:lvlJc w:val="left"/>
      <w:pPr>
        <w:ind w:left="501" w:hanging="360"/>
      </w:pPr>
      <w:rPr>
        <w:rFonts w:hint="default"/>
        <w:b w:val="0"/>
        <w:bCs/>
        <w:color w:val="auto"/>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9"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2A4731"/>
    <w:multiLevelType w:val="hybridMultilevel"/>
    <w:tmpl w:val="AB3EF014"/>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6F380495"/>
    <w:multiLevelType w:val="hybridMultilevel"/>
    <w:tmpl w:val="F522D3A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714C4938"/>
    <w:multiLevelType w:val="hybridMultilevel"/>
    <w:tmpl w:val="04464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937002C"/>
    <w:multiLevelType w:val="hybridMultilevel"/>
    <w:tmpl w:val="680C00FE"/>
    <w:lvl w:ilvl="0" w:tplc="3CB422B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D3E0266"/>
    <w:multiLevelType w:val="hybridMultilevel"/>
    <w:tmpl w:val="476203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060828"/>
    <w:multiLevelType w:val="hybridMultilevel"/>
    <w:tmpl w:val="5448AC2A"/>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34"/>
  </w:num>
  <w:num w:numId="2" w16cid:durableId="239680716">
    <w:abstractNumId w:val="2"/>
  </w:num>
  <w:num w:numId="3" w16cid:durableId="590742254">
    <w:abstractNumId w:val="4"/>
  </w:num>
  <w:num w:numId="4" w16cid:durableId="978650360">
    <w:abstractNumId w:val="17"/>
  </w:num>
  <w:num w:numId="5" w16cid:durableId="2049135878">
    <w:abstractNumId w:val="5"/>
  </w:num>
  <w:num w:numId="6" w16cid:durableId="2007778848">
    <w:abstractNumId w:val="28"/>
  </w:num>
  <w:num w:numId="7" w16cid:durableId="551621929">
    <w:abstractNumId w:val="29"/>
  </w:num>
  <w:num w:numId="8" w16cid:durableId="1206673688">
    <w:abstractNumId w:val="3"/>
  </w:num>
  <w:num w:numId="9" w16cid:durableId="1912228969">
    <w:abstractNumId w:val="36"/>
  </w:num>
  <w:num w:numId="10" w16cid:durableId="113990776">
    <w:abstractNumId w:val="18"/>
  </w:num>
  <w:num w:numId="11" w16cid:durableId="101532403">
    <w:abstractNumId w:val="13"/>
  </w:num>
  <w:num w:numId="12" w16cid:durableId="1274628000">
    <w:abstractNumId w:val="33"/>
  </w:num>
  <w:num w:numId="13" w16cid:durableId="714040546">
    <w:abstractNumId w:val="20"/>
  </w:num>
  <w:num w:numId="14" w16cid:durableId="831064291">
    <w:abstractNumId w:val="8"/>
  </w:num>
  <w:num w:numId="15" w16cid:durableId="899245949">
    <w:abstractNumId w:val="31"/>
  </w:num>
  <w:num w:numId="16" w16cid:durableId="921835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967729">
    <w:abstractNumId w:val="22"/>
  </w:num>
  <w:num w:numId="18" w16cid:durableId="17120187">
    <w:abstractNumId w:val="6"/>
  </w:num>
  <w:num w:numId="19" w16cid:durableId="1153989499">
    <w:abstractNumId w:val="15"/>
  </w:num>
  <w:num w:numId="20" w16cid:durableId="1281454752">
    <w:abstractNumId w:val="19"/>
  </w:num>
  <w:num w:numId="21" w16cid:durableId="175467680">
    <w:abstractNumId w:val="24"/>
  </w:num>
  <w:num w:numId="22" w16cid:durableId="1527675359">
    <w:abstractNumId w:val="21"/>
  </w:num>
  <w:num w:numId="23" w16cid:durableId="1525364239">
    <w:abstractNumId w:val="26"/>
  </w:num>
  <w:num w:numId="24" w16cid:durableId="836189931">
    <w:abstractNumId w:val="10"/>
  </w:num>
  <w:num w:numId="25" w16cid:durableId="939369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608687">
    <w:abstractNumId w:val="38"/>
  </w:num>
  <w:num w:numId="27" w16cid:durableId="1361008222">
    <w:abstractNumId w:val="16"/>
  </w:num>
  <w:num w:numId="28" w16cid:durableId="854807968">
    <w:abstractNumId w:val="12"/>
  </w:num>
  <w:num w:numId="29" w16cid:durableId="1069622141">
    <w:abstractNumId w:val="11"/>
  </w:num>
  <w:num w:numId="30" w16cid:durableId="1794248919">
    <w:abstractNumId w:val="14"/>
  </w:num>
  <w:num w:numId="31" w16cid:durableId="1230463109">
    <w:abstractNumId w:val="9"/>
  </w:num>
  <w:num w:numId="32" w16cid:durableId="646252040">
    <w:abstractNumId w:val="7"/>
  </w:num>
  <w:num w:numId="33" w16cid:durableId="418601592">
    <w:abstractNumId w:val="0"/>
  </w:num>
  <w:num w:numId="34" w16cid:durableId="1784111012">
    <w:abstractNumId w:val="30"/>
  </w:num>
  <w:num w:numId="35" w16cid:durableId="1628395170">
    <w:abstractNumId w:val="27"/>
  </w:num>
  <w:num w:numId="36" w16cid:durableId="123498966">
    <w:abstractNumId w:val="37"/>
  </w:num>
  <w:num w:numId="37" w16cid:durableId="745686199">
    <w:abstractNumId w:val="32"/>
  </w:num>
  <w:num w:numId="38" w16cid:durableId="574900913">
    <w:abstractNumId w:val="35"/>
  </w:num>
  <w:num w:numId="39" w16cid:durableId="5874226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972"/>
    <w:rsid w:val="000165E3"/>
    <w:rsid w:val="0004093B"/>
    <w:rsid w:val="00042CCA"/>
    <w:rsid w:val="00053E5A"/>
    <w:rsid w:val="00056D77"/>
    <w:rsid w:val="00096CEA"/>
    <w:rsid w:val="000A38FE"/>
    <w:rsid w:val="000B3982"/>
    <w:rsid w:val="000D02F6"/>
    <w:rsid w:val="000F04E9"/>
    <w:rsid w:val="000F0FC3"/>
    <w:rsid w:val="000F7981"/>
    <w:rsid w:val="00117823"/>
    <w:rsid w:val="00181A6F"/>
    <w:rsid w:val="00190708"/>
    <w:rsid w:val="001A27BA"/>
    <w:rsid w:val="001B7431"/>
    <w:rsid w:val="001B7825"/>
    <w:rsid w:val="001C396E"/>
    <w:rsid w:val="001E33D8"/>
    <w:rsid w:val="001E4641"/>
    <w:rsid w:val="001F05D2"/>
    <w:rsid w:val="002001A6"/>
    <w:rsid w:val="002076BE"/>
    <w:rsid w:val="00245475"/>
    <w:rsid w:val="00245A15"/>
    <w:rsid w:val="002471A9"/>
    <w:rsid w:val="00250690"/>
    <w:rsid w:val="002B3949"/>
    <w:rsid w:val="002C3AE8"/>
    <w:rsid w:val="002D34E5"/>
    <w:rsid w:val="002E62F5"/>
    <w:rsid w:val="002F4746"/>
    <w:rsid w:val="002F6CD2"/>
    <w:rsid w:val="00321C17"/>
    <w:rsid w:val="00322A2A"/>
    <w:rsid w:val="00331ECB"/>
    <w:rsid w:val="0033275A"/>
    <w:rsid w:val="00340D4C"/>
    <w:rsid w:val="00351A5D"/>
    <w:rsid w:val="00361824"/>
    <w:rsid w:val="0037130C"/>
    <w:rsid w:val="00381C5E"/>
    <w:rsid w:val="003B39DE"/>
    <w:rsid w:val="00403140"/>
    <w:rsid w:val="00403FA2"/>
    <w:rsid w:val="004056C9"/>
    <w:rsid w:val="0040639D"/>
    <w:rsid w:val="00413992"/>
    <w:rsid w:val="004235C9"/>
    <w:rsid w:val="00431C3E"/>
    <w:rsid w:val="00450074"/>
    <w:rsid w:val="004519AC"/>
    <w:rsid w:val="0048459B"/>
    <w:rsid w:val="004930C1"/>
    <w:rsid w:val="004C512A"/>
    <w:rsid w:val="004D2F43"/>
    <w:rsid w:val="004D6B2B"/>
    <w:rsid w:val="004E4A5D"/>
    <w:rsid w:val="00512B24"/>
    <w:rsid w:val="00525346"/>
    <w:rsid w:val="00533D10"/>
    <w:rsid w:val="00534F27"/>
    <w:rsid w:val="00561124"/>
    <w:rsid w:val="005673DE"/>
    <w:rsid w:val="005811F1"/>
    <w:rsid w:val="005A1C12"/>
    <w:rsid w:val="005D4B74"/>
    <w:rsid w:val="005E5887"/>
    <w:rsid w:val="005F048F"/>
    <w:rsid w:val="005F23DE"/>
    <w:rsid w:val="00613E9B"/>
    <w:rsid w:val="00626819"/>
    <w:rsid w:val="0063302E"/>
    <w:rsid w:val="006449D3"/>
    <w:rsid w:val="006757ED"/>
    <w:rsid w:val="00694F9E"/>
    <w:rsid w:val="006A2EB4"/>
    <w:rsid w:val="006A3855"/>
    <w:rsid w:val="006A6F3E"/>
    <w:rsid w:val="006E23B5"/>
    <w:rsid w:val="007362FC"/>
    <w:rsid w:val="0073633D"/>
    <w:rsid w:val="00744DF3"/>
    <w:rsid w:val="00752DC5"/>
    <w:rsid w:val="0077369E"/>
    <w:rsid w:val="00785395"/>
    <w:rsid w:val="007A7766"/>
    <w:rsid w:val="007B1A9A"/>
    <w:rsid w:val="007B622A"/>
    <w:rsid w:val="007C4380"/>
    <w:rsid w:val="007C6800"/>
    <w:rsid w:val="007D540A"/>
    <w:rsid w:val="007D722D"/>
    <w:rsid w:val="007D7B59"/>
    <w:rsid w:val="00811348"/>
    <w:rsid w:val="0081559F"/>
    <w:rsid w:val="00816EEC"/>
    <w:rsid w:val="0081766C"/>
    <w:rsid w:val="00821F7B"/>
    <w:rsid w:val="008753F0"/>
    <w:rsid w:val="00886E45"/>
    <w:rsid w:val="008933D5"/>
    <w:rsid w:val="00893827"/>
    <w:rsid w:val="008B0BDB"/>
    <w:rsid w:val="008C0D69"/>
    <w:rsid w:val="008F0E0D"/>
    <w:rsid w:val="008F2D00"/>
    <w:rsid w:val="008F403E"/>
    <w:rsid w:val="0090635D"/>
    <w:rsid w:val="00917C21"/>
    <w:rsid w:val="00923B5B"/>
    <w:rsid w:val="00937BD6"/>
    <w:rsid w:val="00945706"/>
    <w:rsid w:val="00960B4A"/>
    <w:rsid w:val="009614DC"/>
    <w:rsid w:val="0096443D"/>
    <w:rsid w:val="00985A8D"/>
    <w:rsid w:val="00986970"/>
    <w:rsid w:val="009C2FDF"/>
    <w:rsid w:val="009F096A"/>
    <w:rsid w:val="00A00B46"/>
    <w:rsid w:val="00A4037A"/>
    <w:rsid w:val="00A50CA6"/>
    <w:rsid w:val="00A5187D"/>
    <w:rsid w:val="00A76857"/>
    <w:rsid w:val="00A77B0B"/>
    <w:rsid w:val="00A84928"/>
    <w:rsid w:val="00A866E6"/>
    <w:rsid w:val="00A930EB"/>
    <w:rsid w:val="00AA276D"/>
    <w:rsid w:val="00AB464D"/>
    <w:rsid w:val="00AB53FD"/>
    <w:rsid w:val="00AC1D16"/>
    <w:rsid w:val="00AF76C1"/>
    <w:rsid w:val="00B00DED"/>
    <w:rsid w:val="00B15B2E"/>
    <w:rsid w:val="00B16EAA"/>
    <w:rsid w:val="00B365FA"/>
    <w:rsid w:val="00B40857"/>
    <w:rsid w:val="00B82124"/>
    <w:rsid w:val="00B91287"/>
    <w:rsid w:val="00B95B1E"/>
    <w:rsid w:val="00BA3A6F"/>
    <w:rsid w:val="00BB096E"/>
    <w:rsid w:val="00BC11C2"/>
    <w:rsid w:val="00BD2D28"/>
    <w:rsid w:val="00BD33DD"/>
    <w:rsid w:val="00BE5449"/>
    <w:rsid w:val="00C0542A"/>
    <w:rsid w:val="00C17872"/>
    <w:rsid w:val="00C245E0"/>
    <w:rsid w:val="00C269CA"/>
    <w:rsid w:val="00C41720"/>
    <w:rsid w:val="00C979A2"/>
    <w:rsid w:val="00CA384D"/>
    <w:rsid w:val="00CD1CFF"/>
    <w:rsid w:val="00CD327F"/>
    <w:rsid w:val="00CD5134"/>
    <w:rsid w:val="00CF3FEB"/>
    <w:rsid w:val="00D0262A"/>
    <w:rsid w:val="00D21AAD"/>
    <w:rsid w:val="00D27297"/>
    <w:rsid w:val="00D7017D"/>
    <w:rsid w:val="00D80F41"/>
    <w:rsid w:val="00D83AEA"/>
    <w:rsid w:val="00D83F6F"/>
    <w:rsid w:val="00D8404E"/>
    <w:rsid w:val="00D875BA"/>
    <w:rsid w:val="00DA25FB"/>
    <w:rsid w:val="00DB7013"/>
    <w:rsid w:val="00DB78C9"/>
    <w:rsid w:val="00DC7BD7"/>
    <w:rsid w:val="00DE72C2"/>
    <w:rsid w:val="00DF18B2"/>
    <w:rsid w:val="00DF4357"/>
    <w:rsid w:val="00E12D70"/>
    <w:rsid w:val="00E14829"/>
    <w:rsid w:val="00E34C2B"/>
    <w:rsid w:val="00E47324"/>
    <w:rsid w:val="00E47556"/>
    <w:rsid w:val="00E72589"/>
    <w:rsid w:val="00E73F34"/>
    <w:rsid w:val="00E75F3A"/>
    <w:rsid w:val="00E772C5"/>
    <w:rsid w:val="00E9384C"/>
    <w:rsid w:val="00E943F8"/>
    <w:rsid w:val="00E9585E"/>
    <w:rsid w:val="00EA1533"/>
    <w:rsid w:val="00EA2C60"/>
    <w:rsid w:val="00EC6D4F"/>
    <w:rsid w:val="00ED19D2"/>
    <w:rsid w:val="00EE1943"/>
    <w:rsid w:val="00F021E2"/>
    <w:rsid w:val="00F022DA"/>
    <w:rsid w:val="00F0671F"/>
    <w:rsid w:val="00F1021E"/>
    <w:rsid w:val="00F450B2"/>
    <w:rsid w:val="00F45161"/>
    <w:rsid w:val="00F56DCB"/>
    <w:rsid w:val="00F927BA"/>
    <w:rsid w:val="00FA1A51"/>
    <w:rsid w:val="00FB17C2"/>
    <w:rsid w:val="00FC2DF6"/>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2471A9"/>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rsid w:val="002471A9"/>
    <w:rPr>
      <w:rFonts w:ascii="Times New Roman" w:hAnsi="Times New Roman"/>
      <w:sz w:val="20"/>
      <w:szCs w:val="20"/>
    </w:rPr>
  </w:style>
  <w:style w:type="character" w:styleId="Odwoanieprzypisudolnego">
    <w:name w:val="footnote reference"/>
    <w:basedOn w:val="Domylnaczcionkaakapitu"/>
    <w:uiPriority w:val="99"/>
    <w:semiHidden/>
    <w:unhideWhenUsed/>
    <w:rsid w:val="002471A9"/>
    <w:rPr>
      <w:vertAlign w:val="superscript"/>
    </w:rPr>
  </w:style>
  <w:style w:type="table" w:styleId="Tabela-Siatka">
    <w:name w:val="Table Grid"/>
    <w:basedOn w:val="Standardowy"/>
    <w:uiPriority w:val="59"/>
    <w:rsid w:val="00DC7BD7"/>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1">
    <w:name w:val="Tekst przypisu dolnego1"/>
    <w:basedOn w:val="Normalny"/>
    <w:next w:val="Tekstprzypisudolnego"/>
    <w:uiPriority w:val="99"/>
    <w:semiHidden/>
    <w:unhideWhenUsed/>
    <w:rsid w:val="00FC2DF6"/>
    <w:pPr>
      <w:spacing w:after="0" w:line="240" w:lineRule="auto"/>
    </w:pPr>
    <w:rPr>
      <w:rFonts w:ascii="Times New Roman" w:hAnsi="Times New Roman"/>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6744</Words>
  <Characters>40466</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Błoszyk</cp:lastModifiedBy>
  <cp:revision>7</cp:revision>
  <cp:lastPrinted>2023-12-22T10:06:00Z</cp:lastPrinted>
  <dcterms:created xsi:type="dcterms:W3CDTF">2024-04-09T10:21:00Z</dcterms:created>
  <dcterms:modified xsi:type="dcterms:W3CDTF">2024-04-09T12:44:00Z</dcterms:modified>
</cp:coreProperties>
</file>