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8C3A37" w14:textId="77777777" w:rsidR="001E33D8" w:rsidRDefault="001E33D8" w:rsidP="001E33D8">
      <w:pPr>
        <w:spacing w:after="0" w:line="240" w:lineRule="auto"/>
        <w:ind w:right="5668"/>
        <w:jc w:val="center"/>
        <w:rPr>
          <w:rFonts w:cstheme="minorHAnsi"/>
          <w:bCs/>
          <w:sz w:val="28"/>
          <w:szCs w:val="28"/>
        </w:rPr>
      </w:pPr>
    </w:p>
    <w:p w14:paraId="4561421F" w14:textId="77777777" w:rsidR="00BD3058" w:rsidRPr="005A07CF" w:rsidRDefault="00BD3058" w:rsidP="00BD3058">
      <w:pPr>
        <w:spacing w:after="0" w:line="240" w:lineRule="auto"/>
        <w:ind w:right="6095"/>
        <w:jc w:val="center"/>
        <w:rPr>
          <w:rFonts w:eastAsia="Calibri" w:cstheme="minorHAnsi"/>
          <w:sz w:val="28"/>
          <w:szCs w:val="28"/>
        </w:rPr>
      </w:pPr>
      <w:r w:rsidRPr="005A07CF">
        <w:rPr>
          <w:rFonts w:eastAsia="Calibri" w:cstheme="minorHAnsi"/>
          <w:sz w:val="28"/>
          <w:szCs w:val="28"/>
        </w:rPr>
        <w:t>Burmistrz Śremu</w:t>
      </w:r>
    </w:p>
    <w:p w14:paraId="3F326D7D" w14:textId="77777777" w:rsidR="00BD3058" w:rsidRPr="005A07CF" w:rsidRDefault="00BD3058" w:rsidP="00BD3058">
      <w:pPr>
        <w:spacing w:after="0" w:line="240" w:lineRule="auto"/>
        <w:ind w:right="5810"/>
        <w:jc w:val="center"/>
        <w:rPr>
          <w:rFonts w:eastAsia="Calibri" w:cstheme="minorHAnsi"/>
          <w:sz w:val="28"/>
          <w:szCs w:val="28"/>
        </w:rPr>
      </w:pPr>
      <w:r w:rsidRPr="005A07CF">
        <w:rPr>
          <w:rFonts w:eastAsia="Calibri" w:cstheme="minorHAnsi"/>
          <w:sz w:val="28"/>
          <w:szCs w:val="28"/>
        </w:rPr>
        <w:t>ul. Plac 20 Października 1</w:t>
      </w:r>
    </w:p>
    <w:p w14:paraId="0C9F202B" w14:textId="77777777" w:rsidR="00BD3058" w:rsidRPr="005A07CF" w:rsidRDefault="00BD3058" w:rsidP="00BD3058">
      <w:pPr>
        <w:spacing w:after="0" w:line="240" w:lineRule="auto"/>
        <w:ind w:right="6095"/>
        <w:jc w:val="center"/>
        <w:rPr>
          <w:rFonts w:eastAsia="Calibri" w:cstheme="minorHAnsi"/>
          <w:sz w:val="28"/>
          <w:szCs w:val="28"/>
        </w:rPr>
      </w:pPr>
      <w:r w:rsidRPr="005A07CF">
        <w:rPr>
          <w:rFonts w:eastAsia="Calibri" w:cstheme="minorHAnsi"/>
          <w:sz w:val="28"/>
          <w:szCs w:val="28"/>
        </w:rPr>
        <w:t>63-100 Śrem</w:t>
      </w:r>
    </w:p>
    <w:p w14:paraId="4FA1B73C" w14:textId="4901266A" w:rsidR="00BD3058" w:rsidRPr="005A07CF" w:rsidRDefault="00BD3058" w:rsidP="00BD3058">
      <w:pPr>
        <w:spacing w:after="120" w:line="240" w:lineRule="auto"/>
        <w:jc w:val="right"/>
        <w:rPr>
          <w:rFonts w:eastAsia="Calibri" w:cstheme="minorHAnsi"/>
          <w:sz w:val="28"/>
          <w:szCs w:val="28"/>
        </w:rPr>
      </w:pPr>
      <w:r w:rsidRPr="005A07CF">
        <w:rPr>
          <w:rFonts w:eastAsia="Calibri" w:cstheme="minorHAnsi"/>
          <w:sz w:val="28"/>
          <w:szCs w:val="28"/>
        </w:rPr>
        <w:t>Śrem,</w:t>
      </w:r>
      <w:r w:rsidR="005179E5">
        <w:rPr>
          <w:rFonts w:eastAsia="Calibri" w:cstheme="minorHAnsi"/>
          <w:sz w:val="28"/>
          <w:szCs w:val="28"/>
        </w:rPr>
        <w:t xml:space="preserve"> 09</w:t>
      </w:r>
      <w:r w:rsidR="00C960F5">
        <w:rPr>
          <w:rFonts w:eastAsia="Calibri" w:cstheme="minorHAnsi"/>
          <w:sz w:val="28"/>
          <w:szCs w:val="28"/>
        </w:rPr>
        <w:t xml:space="preserve"> kwietnia</w:t>
      </w:r>
      <w:r>
        <w:rPr>
          <w:rFonts w:eastAsia="Calibri" w:cstheme="minorHAnsi"/>
          <w:sz w:val="28"/>
          <w:szCs w:val="28"/>
        </w:rPr>
        <w:t xml:space="preserve"> 2024</w:t>
      </w:r>
      <w:r w:rsidRPr="005A07CF">
        <w:rPr>
          <w:rFonts w:eastAsia="Calibri" w:cstheme="minorHAnsi"/>
          <w:sz w:val="28"/>
          <w:szCs w:val="28"/>
        </w:rPr>
        <w:t xml:space="preserve"> </w:t>
      </w:r>
      <w:r>
        <w:rPr>
          <w:rFonts w:eastAsia="Calibri" w:cstheme="minorHAnsi"/>
          <w:sz w:val="28"/>
          <w:szCs w:val="28"/>
        </w:rPr>
        <w:t>r.</w:t>
      </w:r>
    </w:p>
    <w:p w14:paraId="09FF59AF" w14:textId="62E3330B" w:rsidR="00BD3058" w:rsidRPr="005A07CF" w:rsidRDefault="00BD3058" w:rsidP="00BD3058">
      <w:pPr>
        <w:spacing w:after="120" w:line="240" w:lineRule="auto"/>
        <w:jc w:val="both"/>
        <w:rPr>
          <w:rFonts w:eastAsia="Calibri" w:cstheme="minorHAnsi"/>
          <w:sz w:val="28"/>
          <w:szCs w:val="28"/>
        </w:rPr>
      </w:pPr>
      <w:r w:rsidRPr="005A07CF">
        <w:rPr>
          <w:rFonts w:eastAsia="Calibri" w:cstheme="minorHAnsi"/>
          <w:sz w:val="28"/>
          <w:szCs w:val="28"/>
        </w:rPr>
        <w:t>PPS</w:t>
      </w:r>
      <w:r>
        <w:rPr>
          <w:rFonts w:eastAsia="Calibri" w:cstheme="minorHAnsi"/>
          <w:sz w:val="28"/>
          <w:szCs w:val="28"/>
        </w:rPr>
        <w:t>PP.6730.</w:t>
      </w:r>
      <w:r w:rsidR="00C960F5">
        <w:rPr>
          <w:rFonts w:eastAsia="Calibri" w:cstheme="minorHAnsi"/>
          <w:sz w:val="28"/>
          <w:szCs w:val="28"/>
        </w:rPr>
        <w:t>108.2022</w:t>
      </w:r>
      <w:r>
        <w:rPr>
          <w:rFonts w:eastAsia="Calibri" w:cstheme="minorHAnsi"/>
          <w:sz w:val="28"/>
          <w:szCs w:val="28"/>
        </w:rPr>
        <w:t>.GMON</w:t>
      </w:r>
    </w:p>
    <w:p w14:paraId="24203CBB" w14:textId="77777777" w:rsidR="00BD3058" w:rsidRPr="00BE7BC0" w:rsidRDefault="00BD3058" w:rsidP="00BD3058">
      <w:pPr>
        <w:keepNext/>
        <w:keepLines/>
        <w:spacing w:after="120" w:line="240" w:lineRule="auto"/>
        <w:jc w:val="center"/>
        <w:outlineLvl w:val="0"/>
        <w:rPr>
          <w:rFonts w:eastAsia="Times New Roman" w:cstheme="minorHAnsi"/>
          <w:sz w:val="28"/>
          <w:szCs w:val="28"/>
        </w:rPr>
      </w:pPr>
      <w:r w:rsidRPr="005A07CF">
        <w:rPr>
          <w:rFonts w:eastAsia="Times New Roman" w:cstheme="minorHAnsi"/>
          <w:sz w:val="28"/>
          <w:szCs w:val="28"/>
        </w:rPr>
        <w:t>Obwieszczenie</w:t>
      </w:r>
      <w:r>
        <w:rPr>
          <w:rFonts w:eastAsia="Times New Roman" w:cstheme="minorHAnsi"/>
          <w:sz w:val="28"/>
          <w:szCs w:val="28"/>
        </w:rPr>
        <w:br/>
      </w:r>
      <w:r w:rsidRPr="005A07CF">
        <w:rPr>
          <w:rFonts w:eastAsia="Times New Roman" w:cstheme="minorHAnsi"/>
          <w:sz w:val="28"/>
          <w:szCs w:val="28"/>
        </w:rPr>
        <w:t xml:space="preserve">o </w:t>
      </w:r>
      <w:r>
        <w:rPr>
          <w:rFonts w:eastAsia="Times New Roman" w:cstheme="minorHAnsi"/>
          <w:sz w:val="28"/>
          <w:szCs w:val="28"/>
        </w:rPr>
        <w:t xml:space="preserve">wydaniu decyzji o warunkach zabudowy   </w:t>
      </w:r>
    </w:p>
    <w:p w14:paraId="03C6A795" w14:textId="37684700" w:rsidR="00BD3058" w:rsidRDefault="00BD3058" w:rsidP="00BD3058">
      <w:pPr>
        <w:spacing w:after="120" w:line="240" w:lineRule="auto"/>
        <w:ind w:firstLine="709"/>
        <w:jc w:val="both"/>
        <w:rPr>
          <w:rFonts w:cstheme="minorHAnsi"/>
          <w:sz w:val="28"/>
          <w:szCs w:val="28"/>
        </w:rPr>
      </w:pPr>
      <w:r w:rsidRPr="00D7017D">
        <w:rPr>
          <w:rFonts w:cstheme="minorHAnsi"/>
          <w:sz w:val="28"/>
          <w:szCs w:val="28"/>
        </w:rPr>
        <w:t>Zawiadamiam</w:t>
      </w:r>
      <w:r w:rsidRPr="00D7017D">
        <w:rPr>
          <w:rFonts w:cstheme="minorHAnsi"/>
          <w:sz w:val="28"/>
          <w:szCs w:val="28"/>
          <w:vertAlign w:val="superscript"/>
        </w:rPr>
        <w:t>1</w:t>
      </w:r>
      <w:r w:rsidRPr="00D7017D">
        <w:rPr>
          <w:rFonts w:cstheme="minorHAnsi"/>
          <w:sz w:val="28"/>
          <w:szCs w:val="28"/>
        </w:rPr>
        <w:t xml:space="preserve"> </w:t>
      </w:r>
      <w:r>
        <w:rPr>
          <w:rFonts w:cstheme="minorHAnsi"/>
          <w:sz w:val="28"/>
          <w:szCs w:val="28"/>
        </w:rPr>
        <w:t xml:space="preserve">o wydaniu </w:t>
      </w:r>
      <w:r w:rsidR="00C960F5">
        <w:rPr>
          <w:rFonts w:cstheme="minorHAnsi"/>
          <w:sz w:val="28"/>
          <w:szCs w:val="28"/>
        </w:rPr>
        <w:t>08.04</w:t>
      </w:r>
      <w:r>
        <w:rPr>
          <w:rFonts w:cstheme="minorHAnsi"/>
          <w:sz w:val="28"/>
          <w:szCs w:val="28"/>
        </w:rPr>
        <w:t xml:space="preserve">.2024 r. przez Burmistrza Śremu decyzji nr </w:t>
      </w:r>
      <w:r w:rsidR="00C960F5">
        <w:rPr>
          <w:rFonts w:cstheme="minorHAnsi"/>
          <w:sz w:val="28"/>
          <w:szCs w:val="28"/>
        </w:rPr>
        <w:t>34</w:t>
      </w:r>
      <w:r>
        <w:rPr>
          <w:rFonts w:cstheme="minorHAnsi"/>
          <w:sz w:val="28"/>
          <w:szCs w:val="28"/>
        </w:rPr>
        <w:t>/2024 o warunkach zabudowy dla przedsięwzięcia:</w:t>
      </w:r>
      <w:r w:rsidRPr="005E5068">
        <w:rPr>
          <w:rFonts w:cstheme="minorHAnsi"/>
          <w:sz w:val="28"/>
          <w:szCs w:val="28"/>
        </w:rPr>
        <w:t xml:space="preserve"> budowa 2</w:t>
      </w:r>
      <w:r w:rsidR="00C960F5">
        <w:rPr>
          <w:rFonts w:cstheme="minorHAnsi"/>
          <w:sz w:val="28"/>
          <w:szCs w:val="28"/>
        </w:rPr>
        <w:t>4</w:t>
      </w:r>
      <w:r w:rsidRPr="005E5068">
        <w:rPr>
          <w:rFonts w:cstheme="minorHAnsi"/>
          <w:sz w:val="28"/>
          <w:szCs w:val="28"/>
        </w:rPr>
        <w:t> budynków mieszkalnych jednorodzinnych</w:t>
      </w:r>
      <w:r w:rsidR="00C960F5">
        <w:rPr>
          <w:rFonts w:cstheme="minorHAnsi"/>
          <w:sz w:val="28"/>
          <w:szCs w:val="28"/>
        </w:rPr>
        <w:t xml:space="preserve"> wolno stojących</w:t>
      </w:r>
      <w:r w:rsidRPr="005E5068">
        <w:rPr>
          <w:rFonts w:cstheme="minorHAnsi"/>
          <w:sz w:val="28"/>
          <w:szCs w:val="28"/>
        </w:rPr>
        <w:t xml:space="preserve"> </w:t>
      </w:r>
      <w:r>
        <w:rPr>
          <w:rFonts w:cstheme="minorHAnsi"/>
          <w:sz w:val="28"/>
          <w:szCs w:val="28"/>
        </w:rPr>
        <w:t>i</w:t>
      </w:r>
      <w:r w:rsidRPr="005E5068">
        <w:rPr>
          <w:rFonts w:cstheme="minorHAnsi"/>
          <w:sz w:val="28"/>
          <w:szCs w:val="28"/>
        </w:rPr>
        <w:t xml:space="preserve"> drog</w:t>
      </w:r>
      <w:r>
        <w:rPr>
          <w:rFonts w:cstheme="minorHAnsi"/>
          <w:sz w:val="28"/>
          <w:szCs w:val="28"/>
        </w:rPr>
        <w:t>i</w:t>
      </w:r>
      <w:r w:rsidRPr="005E5068">
        <w:rPr>
          <w:rFonts w:cstheme="minorHAnsi"/>
          <w:sz w:val="28"/>
          <w:szCs w:val="28"/>
        </w:rPr>
        <w:t xml:space="preserve"> wewnętrzn</w:t>
      </w:r>
      <w:r>
        <w:rPr>
          <w:rFonts w:cstheme="minorHAnsi"/>
          <w:sz w:val="28"/>
          <w:szCs w:val="28"/>
        </w:rPr>
        <w:t>ej</w:t>
      </w:r>
      <w:r w:rsidRPr="005E5068">
        <w:rPr>
          <w:rFonts w:cstheme="minorHAnsi"/>
          <w:sz w:val="28"/>
          <w:szCs w:val="28"/>
        </w:rPr>
        <w:t xml:space="preserve"> na terenie </w:t>
      </w:r>
      <w:r w:rsidR="00C960F5">
        <w:rPr>
          <w:rFonts w:cstheme="minorHAnsi"/>
          <w:sz w:val="28"/>
          <w:szCs w:val="28"/>
        </w:rPr>
        <w:t xml:space="preserve">części </w:t>
      </w:r>
      <w:r w:rsidRPr="005E5068">
        <w:rPr>
          <w:rFonts w:cstheme="minorHAnsi"/>
          <w:sz w:val="28"/>
          <w:szCs w:val="28"/>
        </w:rPr>
        <w:t>dział</w:t>
      </w:r>
      <w:r w:rsidR="00C960F5">
        <w:rPr>
          <w:rFonts w:cstheme="minorHAnsi"/>
          <w:sz w:val="28"/>
          <w:szCs w:val="28"/>
        </w:rPr>
        <w:t>ki</w:t>
      </w:r>
      <w:r w:rsidRPr="005E5068">
        <w:rPr>
          <w:rFonts w:cstheme="minorHAnsi"/>
          <w:sz w:val="28"/>
          <w:szCs w:val="28"/>
        </w:rPr>
        <w:t xml:space="preserve"> o nr ewid. </w:t>
      </w:r>
      <w:r w:rsidR="00C960F5">
        <w:rPr>
          <w:rFonts w:cstheme="minorHAnsi"/>
          <w:sz w:val="28"/>
          <w:szCs w:val="28"/>
        </w:rPr>
        <w:t>10/11</w:t>
      </w:r>
      <w:r w:rsidRPr="005E5068">
        <w:rPr>
          <w:rFonts w:cstheme="minorHAnsi"/>
          <w:sz w:val="28"/>
          <w:szCs w:val="28"/>
        </w:rPr>
        <w:t xml:space="preserve">, obręb </w:t>
      </w:r>
      <w:r w:rsidR="00C960F5">
        <w:rPr>
          <w:rFonts w:cstheme="minorHAnsi"/>
          <w:sz w:val="28"/>
          <w:szCs w:val="28"/>
        </w:rPr>
        <w:t>Luciny</w:t>
      </w:r>
      <w:r w:rsidRPr="005E5068">
        <w:rPr>
          <w:rFonts w:cstheme="minorHAnsi"/>
          <w:sz w:val="28"/>
          <w:szCs w:val="28"/>
        </w:rPr>
        <w:t>.</w:t>
      </w:r>
    </w:p>
    <w:p w14:paraId="7717A3D7" w14:textId="77777777" w:rsidR="00BD3058" w:rsidRPr="00AF26AB" w:rsidRDefault="00BD3058" w:rsidP="00BD3058">
      <w:pPr>
        <w:spacing w:after="120" w:line="240" w:lineRule="auto"/>
        <w:ind w:firstLine="709"/>
        <w:jc w:val="both"/>
        <w:rPr>
          <w:rFonts w:cstheme="minorHAnsi"/>
          <w:sz w:val="28"/>
          <w:szCs w:val="28"/>
        </w:rPr>
      </w:pPr>
      <w:r w:rsidRPr="00AF26AB">
        <w:rPr>
          <w:rFonts w:cstheme="minorHAnsi"/>
          <w:sz w:val="28"/>
          <w:szCs w:val="28"/>
        </w:rPr>
        <w:t>W związku z powyższym Strony postępowania mogą zapoznać się osobiście lub przez pełnomocnika z treścią decyzji dotyczącej przedmiotowej inwestycji oraz zgłosić swoje uwagi w Zespole Planowania Przestrzennego (biuro nr 34, III piętro) w godzinach od 7.00 do 15.00.</w:t>
      </w:r>
    </w:p>
    <w:p w14:paraId="60F56F75" w14:textId="77777777" w:rsidR="00BD3058" w:rsidRPr="005A07CF" w:rsidRDefault="00BD3058" w:rsidP="00BD3058">
      <w:pPr>
        <w:spacing w:after="120" w:line="240" w:lineRule="auto"/>
        <w:ind w:firstLine="709"/>
        <w:jc w:val="both"/>
        <w:rPr>
          <w:rFonts w:cstheme="minorHAnsi"/>
          <w:sz w:val="28"/>
          <w:szCs w:val="28"/>
        </w:rPr>
      </w:pPr>
      <w:r w:rsidRPr="00001FCD">
        <w:rPr>
          <w:rFonts w:cstheme="minorHAnsi"/>
          <w:sz w:val="28"/>
          <w:szCs w:val="28"/>
        </w:rPr>
        <w:t xml:space="preserve">Zawiadomienie przez obwieszczenie uważa się za dokonane po upływie 14 dni od dnia publicznego ogłoszenia stosownie do </w:t>
      </w:r>
      <w:r>
        <w:rPr>
          <w:rFonts w:cstheme="minorHAnsi"/>
          <w:sz w:val="28"/>
          <w:szCs w:val="28"/>
        </w:rPr>
        <w:t>art</w:t>
      </w:r>
      <w:r w:rsidRPr="00001FCD">
        <w:rPr>
          <w:rFonts w:cstheme="minorHAnsi"/>
          <w:sz w:val="28"/>
          <w:szCs w:val="28"/>
        </w:rPr>
        <w:t>. 49 ustawy z dnia 14 czerwca 1960 r. – Kodeks postępowania administracyjnego</w:t>
      </w:r>
      <w:r>
        <w:rPr>
          <w:rFonts w:cstheme="minorHAnsi"/>
          <w:sz w:val="28"/>
          <w:szCs w:val="28"/>
        </w:rPr>
        <w:t xml:space="preserve">. </w:t>
      </w:r>
    </w:p>
    <w:p w14:paraId="42C1BB30" w14:textId="77777777" w:rsidR="00BD3058" w:rsidRDefault="00BD3058" w:rsidP="00BD3058">
      <w:pPr>
        <w:spacing w:after="120"/>
        <w:ind w:left="4395"/>
        <w:contextualSpacing/>
        <w:jc w:val="center"/>
        <w:rPr>
          <w:rFonts w:eastAsia="Times New Roman" w:cstheme="minorHAnsi"/>
          <w:sz w:val="28"/>
          <w:szCs w:val="28"/>
          <w:lang w:eastAsia="pl-PL"/>
        </w:rPr>
      </w:pPr>
    </w:p>
    <w:p w14:paraId="1D36F88E" w14:textId="77777777" w:rsidR="00BD3058" w:rsidRDefault="00BD3058" w:rsidP="00BD3058">
      <w:pPr>
        <w:spacing w:after="120"/>
        <w:ind w:left="4395"/>
        <w:contextualSpacing/>
        <w:jc w:val="center"/>
        <w:rPr>
          <w:rFonts w:eastAsia="Times New Roman" w:cstheme="minorHAnsi"/>
          <w:sz w:val="28"/>
          <w:szCs w:val="28"/>
          <w:lang w:eastAsia="pl-PL"/>
        </w:rPr>
      </w:pPr>
      <w:r>
        <w:rPr>
          <w:rFonts w:eastAsia="Times New Roman" w:cstheme="minorHAnsi"/>
          <w:sz w:val="28"/>
          <w:szCs w:val="28"/>
          <w:lang w:eastAsia="pl-PL"/>
        </w:rPr>
        <w:t>Adam Lewandowski</w:t>
      </w:r>
    </w:p>
    <w:p w14:paraId="60EA2A70" w14:textId="77777777" w:rsidR="00BD3058" w:rsidRPr="00B82124" w:rsidRDefault="00BD3058" w:rsidP="00BD3058">
      <w:pPr>
        <w:spacing w:after="120"/>
        <w:ind w:left="4395"/>
        <w:contextualSpacing/>
        <w:jc w:val="center"/>
        <w:rPr>
          <w:rFonts w:eastAsia="Times New Roman" w:cstheme="minorHAnsi"/>
          <w:sz w:val="28"/>
          <w:szCs w:val="44"/>
        </w:rPr>
      </w:pPr>
      <w:r>
        <w:rPr>
          <w:rFonts w:eastAsia="Times New Roman" w:cstheme="minorHAnsi"/>
          <w:sz w:val="28"/>
          <w:szCs w:val="28"/>
          <w:lang w:eastAsia="pl-PL"/>
        </w:rPr>
        <w:t>Burmistrz Śremu</w:t>
      </w:r>
    </w:p>
    <w:p w14:paraId="126AF623" w14:textId="77777777" w:rsidR="00BD3058" w:rsidRDefault="00BD3058" w:rsidP="00BD3058">
      <w:pPr>
        <w:spacing w:after="120" w:line="240" w:lineRule="auto"/>
        <w:jc w:val="both"/>
        <w:rPr>
          <w:rFonts w:eastAsia="Times New Roman" w:cstheme="minorHAnsi"/>
          <w:sz w:val="28"/>
          <w:szCs w:val="28"/>
          <w:lang w:eastAsia="pl-PL"/>
        </w:rPr>
      </w:pPr>
    </w:p>
    <w:p w14:paraId="2C716253" w14:textId="77777777" w:rsidR="00BD3058" w:rsidRDefault="00BD3058" w:rsidP="00BD3058">
      <w:pPr>
        <w:spacing w:after="120" w:line="240" w:lineRule="auto"/>
        <w:jc w:val="both"/>
        <w:rPr>
          <w:rFonts w:eastAsia="Times New Roman" w:cstheme="minorHAnsi"/>
          <w:sz w:val="28"/>
          <w:szCs w:val="28"/>
          <w:lang w:eastAsia="pl-PL"/>
        </w:rPr>
      </w:pPr>
    </w:p>
    <w:p w14:paraId="14D5DA2E" w14:textId="77777777" w:rsidR="00BD3058" w:rsidRDefault="00BD3058" w:rsidP="00BD3058">
      <w:pPr>
        <w:spacing w:after="120" w:line="240" w:lineRule="auto"/>
        <w:jc w:val="both"/>
        <w:rPr>
          <w:rFonts w:eastAsia="Times New Roman" w:cstheme="minorHAnsi"/>
          <w:sz w:val="28"/>
          <w:szCs w:val="28"/>
          <w:lang w:eastAsia="pl-PL"/>
        </w:rPr>
      </w:pPr>
    </w:p>
    <w:p w14:paraId="6B1FC9E2" w14:textId="77777777" w:rsidR="00BD3058" w:rsidRDefault="00BD3058" w:rsidP="00BD3058">
      <w:pPr>
        <w:spacing w:after="120" w:line="240" w:lineRule="auto"/>
        <w:jc w:val="both"/>
        <w:rPr>
          <w:rFonts w:eastAsia="Times New Roman" w:cstheme="minorHAnsi"/>
          <w:sz w:val="28"/>
          <w:szCs w:val="28"/>
          <w:lang w:eastAsia="pl-PL"/>
        </w:rPr>
      </w:pPr>
    </w:p>
    <w:p w14:paraId="3D90E5A1" w14:textId="326FBDC1" w:rsidR="00BD3058" w:rsidRPr="005A07CF" w:rsidRDefault="00BD3058" w:rsidP="00BD3058">
      <w:pPr>
        <w:spacing w:after="120" w:line="240" w:lineRule="auto"/>
        <w:jc w:val="both"/>
        <w:rPr>
          <w:rFonts w:eastAsia="Times New Roman" w:cstheme="minorHAnsi"/>
          <w:sz w:val="28"/>
          <w:szCs w:val="28"/>
          <w:lang w:eastAsia="pl-PL"/>
        </w:rPr>
      </w:pPr>
      <w:r w:rsidRPr="005A07CF">
        <w:rPr>
          <w:rFonts w:eastAsia="Times New Roman" w:cstheme="minorHAnsi"/>
          <w:sz w:val="28"/>
          <w:szCs w:val="28"/>
          <w:lang w:eastAsia="pl-PL"/>
        </w:rPr>
        <w:t xml:space="preserve">Wywieszono: </w:t>
      </w:r>
      <w:r w:rsidR="00C960F5">
        <w:rPr>
          <w:rFonts w:eastAsia="Times New Roman" w:cstheme="minorHAnsi"/>
          <w:sz w:val="28"/>
          <w:szCs w:val="28"/>
          <w:lang w:eastAsia="pl-PL"/>
        </w:rPr>
        <w:t>09.04</w:t>
      </w:r>
      <w:r>
        <w:rPr>
          <w:rFonts w:eastAsia="Times New Roman" w:cstheme="minorHAnsi"/>
          <w:sz w:val="28"/>
          <w:szCs w:val="28"/>
          <w:lang w:eastAsia="pl-PL"/>
        </w:rPr>
        <w:t>.2024 r.</w:t>
      </w:r>
    </w:p>
    <w:p w14:paraId="7AC61525" w14:textId="77777777" w:rsidR="00BD3058" w:rsidRDefault="00BD3058" w:rsidP="00BD3058">
      <w:pPr>
        <w:spacing w:after="120" w:line="240" w:lineRule="auto"/>
        <w:jc w:val="both"/>
        <w:rPr>
          <w:rFonts w:eastAsia="Calibri" w:cstheme="minorHAnsi"/>
          <w:sz w:val="28"/>
          <w:szCs w:val="28"/>
        </w:rPr>
      </w:pPr>
      <w:r w:rsidRPr="005A07CF">
        <w:rPr>
          <w:rFonts w:eastAsia="Calibri" w:cstheme="minorHAnsi"/>
          <w:sz w:val="28"/>
          <w:szCs w:val="28"/>
        </w:rPr>
        <w:t>Zdjęto:</w:t>
      </w:r>
      <w:r>
        <w:rPr>
          <w:rFonts w:eastAsia="Calibri" w:cstheme="minorHAnsi"/>
          <w:sz w:val="28"/>
          <w:szCs w:val="28"/>
        </w:rPr>
        <w:t xml:space="preserve"> ………………………………….</w:t>
      </w:r>
    </w:p>
    <w:p w14:paraId="1C262D78" w14:textId="77777777" w:rsidR="00BD3058" w:rsidRPr="006A2EB4" w:rsidRDefault="00BD3058" w:rsidP="00BD3058">
      <w:pPr>
        <w:spacing w:after="120" w:line="240" w:lineRule="auto"/>
        <w:jc w:val="both"/>
        <w:rPr>
          <w:rFonts w:eastAsia="Calibri" w:cstheme="minorHAnsi"/>
          <w:sz w:val="28"/>
          <w:szCs w:val="28"/>
        </w:rPr>
      </w:pPr>
    </w:p>
    <w:p w14:paraId="7FAB2656" w14:textId="77777777" w:rsidR="00BD3058" w:rsidRDefault="00BD3058" w:rsidP="00BD3058">
      <w:pPr>
        <w:spacing w:after="120" w:line="240" w:lineRule="auto"/>
        <w:jc w:val="both"/>
        <w:rPr>
          <w:rFonts w:cstheme="minorHAnsi"/>
          <w:sz w:val="28"/>
          <w:szCs w:val="28"/>
        </w:rPr>
      </w:pPr>
      <w:r w:rsidRPr="008B59DF">
        <w:rPr>
          <w:rFonts w:cstheme="minorHAnsi"/>
          <w:sz w:val="28"/>
          <w:szCs w:val="28"/>
          <w:vertAlign w:val="superscript"/>
        </w:rPr>
        <w:t>1</w:t>
      </w:r>
      <w:r>
        <w:rPr>
          <w:rFonts w:cstheme="minorHAnsi"/>
          <w:sz w:val="28"/>
          <w:szCs w:val="28"/>
          <w:vertAlign w:val="superscript"/>
        </w:rPr>
        <w:t xml:space="preserve"> </w:t>
      </w:r>
      <w:r>
        <w:rPr>
          <w:rFonts w:cstheme="minorHAnsi"/>
          <w:sz w:val="28"/>
          <w:szCs w:val="28"/>
        </w:rPr>
        <w:t>Podstawa prawna:</w:t>
      </w:r>
      <w:r w:rsidRPr="00BF5DED">
        <w:rPr>
          <w:rFonts w:cstheme="minorHAnsi"/>
          <w:sz w:val="28"/>
          <w:szCs w:val="28"/>
        </w:rPr>
        <w:t xml:space="preserve"> </w:t>
      </w:r>
      <w:r w:rsidRPr="00BB61E9">
        <w:rPr>
          <w:rFonts w:cstheme="minorHAnsi"/>
          <w:sz w:val="28"/>
          <w:szCs w:val="28"/>
        </w:rPr>
        <w:t xml:space="preserve">art. 49a </w:t>
      </w:r>
      <w:r>
        <w:rPr>
          <w:rFonts w:cstheme="minorHAnsi"/>
          <w:sz w:val="28"/>
          <w:szCs w:val="28"/>
        </w:rPr>
        <w:t xml:space="preserve">w związku z art. 104 </w:t>
      </w:r>
      <w:r w:rsidRPr="00BB61E9">
        <w:rPr>
          <w:rFonts w:cstheme="minorHAnsi"/>
          <w:sz w:val="28"/>
          <w:szCs w:val="28"/>
        </w:rPr>
        <w:t>ustawy z dnia 14</w:t>
      </w:r>
      <w:r>
        <w:rPr>
          <w:rFonts w:cstheme="minorHAnsi"/>
          <w:sz w:val="28"/>
          <w:szCs w:val="28"/>
        </w:rPr>
        <w:t> </w:t>
      </w:r>
      <w:r w:rsidRPr="00BB61E9">
        <w:rPr>
          <w:rFonts w:cstheme="minorHAnsi"/>
          <w:sz w:val="28"/>
          <w:szCs w:val="28"/>
        </w:rPr>
        <w:t>czerwca 1960 r. – Kodeks postępowania administracyjnego (Dz. U. z 2023</w:t>
      </w:r>
      <w:r>
        <w:rPr>
          <w:rFonts w:cstheme="minorHAnsi"/>
          <w:sz w:val="28"/>
          <w:szCs w:val="28"/>
        </w:rPr>
        <w:t> </w:t>
      </w:r>
      <w:r w:rsidRPr="00BB61E9">
        <w:rPr>
          <w:rFonts w:cstheme="minorHAnsi"/>
          <w:sz w:val="28"/>
          <w:szCs w:val="28"/>
        </w:rPr>
        <w:t>r. poz. 775 i 803)</w:t>
      </w:r>
      <w:r>
        <w:rPr>
          <w:rFonts w:cstheme="minorHAnsi"/>
          <w:sz w:val="28"/>
          <w:szCs w:val="28"/>
        </w:rPr>
        <w:t xml:space="preserve"> </w:t>
      </w:r>
    </w:p>
    <w:p w14:paraId="74560A41" w14:textId="77777777" w:rsidR="00E9384C" w:rsidRDefault="00E9384C" w:rsidP="001E33D8">
      <w:pPr>
        <w:rPr>
          <w:rFonts w:ascii="Calibri" w:eastAsia="Times New Roman" w:hAnsi="Calibri" w:cs="Calibri"/>
          <w:color w:val="FF0000"/>
          <w:sz w:val="28"/>
          <w:szCs w:val="28"/>
          <w:highlight w:val="yellow"/>
          <w:lang w:eastAsia="pl-PL"/>
        </w:rPr>
        <w:sectPr w:rsidR="00E9384C" w:rsidSect="006E54F5">
          <w:headerReference w:type="default" r:id="rId8"/>
          <w:footerReference w:type="default" r:id="rId9"/>
          <w:headerReference w:type="first" r:id="rId10"/>
          <w:footerReference w:type="first" r:id="rId11"/>
          <w:pgSz w:w="11906" w:h="16838"/>
          <w:pgMar w:top="1418" w:right="1418" w:bottom="1701" w:left="1701" w:header="709" w:footer="709" w:gutter="0"/>
          <w:cols w:space="708"/>
          <w:titlePg/>
          <w:docGrid w:linePitch="360"/>
        </w:sectPr>
      </w:pPr>
    </w:p>
    <w:p w14:paraId="2F8C16AF" w14:textId="77777777" w:rsidR="00DF4357" w:rsidRPr="00DF4357" w:rsidRDefault="00DF4357" w:rsidP="00DF4357">
      <w:pPr>
        <w:widowControl w:val="0"/>
        <w:autoSpaceDE w:val="0"/>
        <w:autoSpaceDN w:val="0"/>
        <w:adjustRightInd w:val="0"/>
        <w:spacing w:after="0" w:line="240" w:lineRule="auto"/>
        <w:ind w:right="4961"/>
        <w:jc w:val="center"/>
        <w:rPr>
          <w:rFonts w:ascii="Calibri" w:hAnsi="Calibri" w:cs="Calibri"/>
          <w:bCs/>
          <w:sz w:val="28"/>
          <w:szCs w:val="28"/>
        </w:rPr>
      </w:pPr>
      <w:r w:rsidRPr="00DF4357">
        <w:rPr>
          <w:rFonts w:ascii="Calibri" w:hAnsi="Calibri" w:cs="Calibri"/>
          <w:bCs/>
          <w:sz w:val="28"/>
          <w:szCs w:val="28"/>
        </w:rPr>
        <w:lastRenderedPageBreak/>
        <w:t>Burmistrz Śremu</w:t>
      </w:r>
    </w:p>
    <w:p w14:paraId="2C4EF697" w14:textId="77777777" w:rsidR="00DF4357" w:rsidRPr="00DF4357" w:rsidRDefault="00DF4357" w:rsidP="00DF4357">
      <w:pPr>
        <w:widowControl w:val="0"/>
        <w:autoSpaceDE w:val="0"/>
        <w:autoSpaceDN w:val="0"/>
        <w:adjustRightInd w:val="0"/>
        <w:spacing w:after="0" w:line="240" w:lineRule="auto"/>
        <w:ind w:right="4961"/>
        <w:jc w:val="center"/>
        <w:rPr>
          <w:rFonts w:ascii="Calibri" w:hAnsi="Calibri" w:cs="Calibri"/>
          <w:bCs/>
          <w:sz w:val="28"/>
          <w:szCs w:val="28"/>
        </w:rPr>
      </w:pPr>
      <w:r w:rsidRPr="00DF4357">
        <w:rPr>
          <w:rFonts w:ascii="Calibri" w:hAnsi="Calibri" w:cs="Calibri"/>
          <w:bCs/>
          <w:sz w:val="28"/>
          <w:szCs w:val="28"/>
        </w:rPr>
        <w:t>ul. Plac 20 Października 1</w:t>
      </w:r>
    </w:p>
    <w:p w14:paraId="377A93C3" w14:textId="11E70918" w:rsidR="00F022DA" w:rsidRDefault="00DF4357" w:rsidP="004D2F43">
      <w:pPr>
        <w:widowControl w:val="0"/>
        <w:autoSpaceDE w:val="0"/>
        <w:autoSpaceDN w:val="0"/>
        <w:adjustRightInd w:val="0"/>
        <w:spacing w:after="0" w:line="240" w:lineRule="auto"/>
        <w:ind w:right="4961"/>
        <w:jc w:val="center"/>
        <w:rPr>
          <w:rFonts w:ascii="Calibri" w:hAnsi="Calibri" w:cs="Calibri"/>
          <w:bCs/>
          <w:sz w:val="28"/>
          <w:szCs w:val="28"/>
        </w:rPr>
      </w:pPr>
      <w:r w:rsidRPr="00DF4357">
        <w:rPr>
          <w:rFonts w:ascii="Calibri" w:hAnsi="Calibri" w:cs="Calibri"/>
          <w:bCs/>
          <w:sz w:val="28"/>
          <w:szCs w:val="28"/>
        </w:rPr>
        <w:t>63 – 100 Śrem</w:t>
      </w:r>
    </w:p>
    <w:p w14:paraId="4D8946BB" w14:textId="77777777" w:rsidR="00C960F5" w:rsidRPr="00C960F5" w:rsidRDefault="00C960F5" w:rsidP="00C960F5">
      <w:pPr>
        <w:spacing w:after="120" w:line="240" w:lineRule="auto"/>
        <w:ind w:left="567"/>
        <w:jc w:val="right"/>
        <w:rPr>
          <w:rFonts w:cstheme="minorHAnsi"/>
          <w:sz w:val="28"/>
          <w:szCs w:val="28"/>
        </w:rPr>
      </w:pPr>
      <w:bookmarkStart w:id="0" w:name="_Hlk151540389"/>
      <w:r w:rsidRPr="00C960F5">
        <w:rPr>
          <w:rFonts w:cstheme="minorHAnsi"/>
          <w:sz w:val="28"/>
          <w:szCs w:val="28"/>
        </w:rPr>
        <w:t>Śrem, 8 kwietnia 2024 r.</w:t>
      </w:r>
    </w:p>
    <w:p w14:paraId="266B5258" w14:textId="77777777" w:rsidR="00C960F5" w:rsidRPr="00C960F5" w:rsidRDefault="00C960F5" w:rsidP="00C960F5">
      <w:pPr>
        <w:spacing w:after="120" w:line="240" w:lineRule="auto"/>
        <w:jc w:val="both"/>
        <w:rPr>
          <w:rFonts w:cstheme="minorHAnsi"/>
          <w:sz w:val="28"/>
          <w:szCs w:val="28"/>
        </w:rPr>
      </w:pPr>
      <w:r w:rsidRPr="00C960F5">
        <w:rPr>
          <w:rFonts w:cstheme="minorHAnsi"/>
          <w:sz w:val="28"/>
          <w:szCs w:val="28"/>
        </w:rPr>
        <w:t>PPSPP.6730.108.2022.GMON</w:t>
      </w:r>
    </w:p>
    <w:p w14:paraId="7E42CEB6" w14:textId="77777777" w:rsidR="00C960F5" w:rsidRPr="00C960F5" w:rsidRDefault="00C960F5" w:rsidP="00C960F5">
      <w:pPr>
        <w:spacing w:after="120" w:line="240" w:lineRule="auto"/>
        <w:jc w:val="center"/>
        <w:rPr>
          <w:rFonts w:cstheme="minorHAnsi"/>
          <w:sz w:val="28"/>
          <w:szCs w:val="28"/>
        </w:rPr>
      </w:pPr>
      <w:r w:rsidRPr="00C960F5">
        <w:rPr>
          <w:rFonts w:cstheme="minorHAnsi"/>
          <w:sz w:val="28"/>
          <w:szCs w:val="28"/>
        </w:rPr>
        <w:t>Decyzja nr 34/2024</w:t>
      </w:r>
      <w:r w:rsidRPr="00C960F5">
        <w:rPr>
          <w:rFonts w:cstheme="minorHAnsi"/>
          <w:sz w:val="28"/>
          <w:szCs w:val="28"/>
        </w:rPr>
        <w:br/>
        <w:t xml:space="preserve"> o warunkach zabudowy</w:t>
      </w:r>
    </w:p>
    <w:p w14:paraId="640106AA" w14:textId="77777777" w:rsidR="00C960F5" w:rsidRPr="00C960F5" w:rsidRDefault="00C960F5" w:rsidP="00C960F5">
      <w:pPr>
        <w:spacing w:after="120" w:line="240" w:lineRule="auto"/>
        <w:jc w:val="center"/>
        <w:rPr>
          <w:rFonts w:cstheme="minorHAnsi"/>
          <w:sz w:val="28"/>
          <w:szCs w:val="28"/>
        </w:rPr>
      </w:pPr>
    </w:p>
    <w:p w14:paraId="16698CFD" w14:textId="77777777" w:rsidR="00C960F5" w:rsidRPr="00C960F5" w:rsidRDefault="00C960F5" w:rsidP="00C960F5">
      <w:pPr>
        <w:spacing w:after="120" w:line="240" w:lineRule="auto"/>
        <w:ind w:firstLine="567"/>
        <w:jc w:val="both"/>
        <w:rPr>
          <w:rFonts w:cstheme="minorHAnsi"/>
          <w:sz w:val="28"/>
          <w:szCs w:val="28"/>
        </w:rPr>
      </w:pPr>
      <w:r w:rsidRPr="00C960F5">
        <w:rPr>
          <w:rFonts w:cs="Times New Roman"/>
          <w:sz w:val="28"/>
          <w:szCs w:val="28"/>
        </w:rPr>
        <w:t xml:space="preserve">Na podstawie art. 4 ust. 2 pkt 2 w związku z art. 59 ust. 1 i art. 60 ust. 1 ustawy z dnia 27 marca 2003 r. o planowaniu i zagospodarowaniu przestrzennym (Dz. U. z 2023 r. poz. 977, 1506, 1597, 1688, 1890, 2029 i 2739), </w:t>
      </w:r>
      <w:r w:rsidRPr="00C960F5">
        <w:rPr>
          <w:rFonts w:cstheme="minorHAnsi"/>
          <w:sz w:val="28"/>
          <w:szCs w:val="28"/>
        </w:rPr>
        <w:t>zwanej dalej u.p.z.p.,</w:t>
      </w:r>
      <w:r w:rsidRPr="00C960F5">
        <w:rPr>
          <w:rFonts w:cs="Times New Roman"/>
          <w:sz w:val="28"/>
          <w:szCs w:val="28"/>
        </w:rPr>
        <w:t xml:space="preserve"> oraz art. 104 ustawy z dnia 14 czerwca 1960 r. – Kodeks postępowania administracyjnego (Dz. U. z 2023 r. poz. 775 i 803), zwanej dalej k.p.a., po rozpatrzeniu wniosku </w:t>
      </w:r>
      <w:r w:rsidRPr="00C960F5">
        <w:rPr>
          <w:rFonts w:cstheme="minorHAnsi"/>
          <w:sz w:val="28"/>
          <w:szCs w:val="28"/>
        </w:rPr>
        <w:t>złożonego 11.08.2022 r., uzupełnionego 13.09.2022 r. i 06.12.2023 r., zmienionego 06.12.2023 r., 02.02.2024 r., 14.02.2024 r. i 04.03.2024 r., przez:</w:t>
      </w:r>
    </w:p>
    <w:p w14:paraId="6A528898" w14:textId="1B91CD3D" w:rsidR="00C960F5" w:rsidRPr="00C960F5" w:rsidRDefault="00971466" w:rsidP="00C960F5">
      <w:pPr>
        <w:spacing w:after="120" w:line="240" w:lineRule="auto"/>
        <w:jc w:val="center"/>
        <w:rPr>
          <w:rFonts w:cstheme="minorHAnsi"/>
          <w:bCs/>
          <w:sz w:val="28"/>
          <w:szCs w:val="28"/>
        </w:rPr>
      </w:pPr>
      <w:r>
        <w:rPr>
          <w:rFonts w:cstheme="minorHAnsi"/>
          <w:bCs/>
          <w:sz w:val="28"/>
          <w:szCs w:val="28"/>
        </w:rPr>
        <w:t>Osobę fizyczną</w:t>
      </w:r>
    </w:p>
    <w:p w14:paraId="7B4F2261" w14:textId="77777777" w:rsidR="00C960F5" w:rsidRPr="00C960F5" w:rsidRDefault="00C960F5" w:rsidP="00C960F5">
      <w:pPr>
        <w:widowControl w:val="0"/>
        <w:tabs>
          <w:tab w:val="left" w:pos="0"/>
        </w:tabs>
        <w:autoSpaceDE w:val="0"/>
        <w:autoSpaceDN w:val="0"/>
        <w:adjustRightInd w:val="0"/>
        <w:spacing w:after="120" w:line="240" w:lineRule="auto"/>
        <w:jc w:val="both"/>
        <w:rPr>
          <w:rFonts w:cstheme="minorHAnsi"/>
          <w:bCs/>
          <w:sz w:val="28"/>
          <w:szCs w:val="28"/>
        </w:rPr>
      </w:pPr>
      <w:r w:rsidRPr="00C960F5">
        <w:rPr>
          <w:rFonts w:cstheme="minorHAnsi"/>
          <w:sz w:val="28"/>
          <w:szCs w:val="28"/>
        </w:rPr>
        <w:t>w sprawie ustalenia warunków zabudowy dla przedsięwzięcia:</w:t>
      </w:r>
      <w:r w:rsidRPr="00C960F5">
        <w:rPr>
          <w:rFonts w:cstheme="minorHAnsi"/>
          <w:sz w:val="28"/>
        </w:rPr>
        <w:t xml:space="preserve"> „budowa 24 budynków mieszkalnych jednorodzinnych wraz z wewnętrznym układem komunikacyjnym” na terenie części działki o nr ewid. 10/11, obręb Luciny,</w:t>
      </w:r>
    </w:p>
    <w:p w14:paraId="25E6EA69" w14:textId="77777777" w:rsidR="00C960F5" w:rsidRPr="00C960F5" w:rsidRDefault="00C960F5" w:rsidP="00C960F5">
      <w:pPr>
        <w:spacing w:after="120" w:line="240" w:lineRule="auto"/>
        <w:jc w:val="center"/>
        <w:rPr>
          <w:rFonts w:cstheme="minorHAnsi"/>
          <w:sz w:val="28"/>
          <w:szCs w:val="28"/>
        </w:rPr>
      </w:pPr>
      <w:r w:rsidRPr="00C960F5">
        <w:rPr>
          <w:rFonts w:cstheme="minorHAnsi"/>
          <w:sz w:val="28"/>
          <w:szCs w:val="28"/>
        </w:rPr>
        <w:t>ustalam</w:t>
      </w:r>
      <w:r w:rsidRPr="00C960F5">
        <w:rPr>
          <w:rFonts w:cstheme="minorHAnsi"/>
          <w:sz w:val="28"/>
          <w:szCs w:val="28"/>
        </w:rPr>
        <w:br/>
        <w:t xml:space="preserve"> na rzecz Wnioskodawcy</w:t>
      </w:r>
      <w:r w:rsidRPr="00C960F5">
        <w:rPr>
          <w:rFonts w:cstheme="minorHAnsi"/>
          <w:sz w:val="28"/>
          <w:szCs w:val="28"/>
        </w:rPr>
        <w:br/>
        <w:t xml:space="preserve"> następujące warunki zabudowy i zagospodarowania terenu:</w:t>
      </w:r>
    </w:p>
    <w:p w14:paraId="26BB8BB2" w14:textId="77777777" w:rsidR="00C960F5" w:rsidRPr="00C960F5" w:rsidRDefault="00C960F5" w:rsidP="00C960F5">
      <w:pPr>
        <w:numPr>
          <w:ilvl w:val="0"/>
          <w:numId w:val="14"/>
        </w:numPr>
        <w:tabs>
          <w:tab w:val="left" w:pos="426"/>
        </w:tabs>
        <w:spacing w:after="120" w:line="240" w:lineRule="auto"/>
        <w:ind w:left="414" w:hanging="357"/>
        <w:contextualSpacing/>
        <w:jc w:val="both"/>
        <w:rPr>
          <w:rFonts w:cstheme="minorHAnsi"/>
          <w:sz w:val="28"/>
          <w:szCs w:val="28"/>
        </w:rPr>
      </w:pPr>
      <w:r w:rsidRPr="00C960F5">
        <w:rPr>
          <w:rFonts w:cstheme="minorHAnsi"/>
          <w:sz w:val="28"/>
          <w:szCs w:val="28"/>
        </w:rPr>
        <w:t>Opis inwestycji:</w:t>
      </w:r>
    </w:p>
    <w:p w14:paraId="03EB056F" w14:textId="77777777" w:rsidR="00C960F5" w:rsidRPr="00C960F5" w:rsidRDefault="00C960F5" w:rsidP="00C960F5">
      <w:pPr>
        <w:numPr>
          <w:ilvl w:val="0"/>
          <w:numId w:val="1"/>
        </w:numPr>
        <w:tabs>
          <w:tab w:val="left" w:pos="567"/>
        </w:tabs>
        <w:spacing w:after="120" w:line="240" w:lineRule="auto"/>
        <w:ind w:left="567"/>
        <w:contextualSpacing/>
        <w:jc w:val="both"/>
        <w:rPr>
          <w:rFonts w:cstheme="minorHAnsi"/>
          <w:sz w:val="28"/>
          <w:szCs w:val="28"/>
        </w:rPr>
      </w:pPr>
      <w:r w:rsidRPr="00C960F5">
        <w:rPr>
          <w:rFonts w:cstheme="minorHAnsi"/>
          <w:sz w:val="28"/>
          <w:szCs w:val="28"/>
        </w:rPr>
        <w:t>rodzaj: 24 budynki mieszkalne jednorodzinne wolno stojące, droga wewnętrzna;</w:t>
      </w:r>
    </w:p>
    <w:p w14:paraId="6A3C17AA" w14:textId="77777777" w:rsidR="00C960F5" w:rsidRPr="00C960F5" w:rsidRDefault="00C960F5" w:rsidP="00C960F5">
      <w:pPr>
        <w:numPr>
          <w:ilvl w:val="0"/>
          <w:numId w:val="1"/>
        </w:numPr>
        <w:tabs>
          <w:tab w:val="left" w:pos="567"/>
        </w:tabs>
        <w:spacing w:after="120" w:line="240" w:lineRule="auto"/>
        <w:ind w:left="567"/>
        <w:contextualSpacing/>
        <w:jc w:val="both"/>
        <w:rPr>
          <w:rFonts w:cstheme="minorHAnsi"/>
          <w:sz w:val="28"/>
          <w:szCs w:val="28"/>
        </w:rPr>
      </w:pPr>
      <w:r w:rsidRPr="00C960F5">
        <w:rPr>
          <w:rFonts w:cstheme="minorHAnsi"/>
          <w:sz w:val="28"/>
          <w:szCs w:val="28"/>
        </w:rPr>
        <w:t xml:space="preserve">lokalizacja: część działki o nr ewid. </w:t>
      </w:r>
      <w:r w:rsidRPr="00C960F5">
        <w:rPr>
          <w:rFonts w:cstheme="minorHAnsi"/>
          <w:sz w:val="28"/>
        </w:rPr>
        <w:t>10/11, obręb Luciny,</w:t>
      </w:r>
      <w:r w:rsidRPr="00C960F5">
        <w:rPr>
          <w:rFonts w:cstheme="minorHAnsi"/>
          <w:sz w:val="28"/>
          <w:szCs w:val="28"/>
        </w:rPr>
        <w:t xml:space="preserve"> stanowiąca sumę terenów oznaczonych symbolami: A, B, C i D, zgodnie z liniami rozgraniczającymi teren inwestycji wyznaczonymi na mapie, stanowiącej załącznik nr 1 do decyzji;</w:t>
      </w:r>
    </w:p>
    <w:p w14:paraId="1E64B245" w14:textId="77777777" w:rsidR="00C960F5" w:rsidRPr="00C960F5" w:rsidRDefault="00C960F5" w:rsidP="00C960F5">
      <w:pPr>
        <w:numPr>
          <w:ilvl w:val="0"/>
          <w:numId w:val="1"/>
        </w:numPr>
        <w:tabs>
          <w:tab w:val="left" w:pos="567"/>
        </w:tabs>
        <w:spacing w:after="120" w:line="240" w:lineRule="auto"/>
        <w:ind w:left="567"/>
        <w:contextualSpacing/>
        <w:jc w:val="both"/>
        <w:rPr>
          <w:rFonts w:cstheme="minorHAnsi"/>
          <w:sz w:val="28"/>
          <w:szCs w:val="28"/>
        </w:rPr>
      </w:pPr>
      <w:r w:rsidRPr="00C960F5">
        <w:rPr>
          <w:rFonts w:cstheme="minorHAnsi"/>
          <w:sz w:val="28"/>
          <w:szCs w:val="28"/>
        </w:rPr>
        <w:t>funkcja zabudowy i zagospodarowania terenu: mieszkaniowa, komunikacja.</w:t>
      </w:r>
    </w:p>
    <w:p w14:paraId="1817CEEB" w14:textId="77777777" w:rsidR="00C960F5" w:rsidRPr="00C960F5" w:rsidRDefault="00C960F5" w:rsidP="00C960F5">
      <w:pPr>
        <w:spacing w:after="0" w:line="240" w:lineRule="auto"/>
        <w:rPr>
          <w:rFonts w:cstheme="minorHAnsi"/>
          <w:sz w:val="28"/>
          <w:szCs w:val="28"/>
        </w:rPr>
      </w:pPr>
      <w:r w:rsidRPr="00C960F5">
        <w:rPr>
          <w:rFonts w:cstheme="minorHAnsi"/>
          <w:sz w:val="28"/>
          <w:szCs w:val="28"/>
        </w:rPr>
        <w:br w:type="page"/>
      </w:r>
    </w:p>
    <w:p w14:paraId="6469DCA5" w14:textId="77777777" w:rsidR="00C960F5" w:rsidRPr="00C960F5" w:rsidRDefault="00C960F5" w:rsidP="00C960F5">
      <w:pPr>
        <w:numPr>
          <w:ilvl w:val="0"/>
          <w:numId w:val="14"/>
        </w:numPr>
        <w:tabs>
          <w:tab w:val="left" w:pos="426"/>
        </w:tabs>
        <w:spacing w:after="120" w:line="240" w:lineRule="auto"/>
        <w:ind w:left="414" w:hanging="357"/>
        <w:contextualSpacing/>
        <w:jc w:val="both"/>
        <w:rPr>
          <w:rFonts w:cstheme="minorHAnsi"/>
          <w:sz w:val="28"/>
          <w:szCs w:val="28"/>
        </w:rPr>
      </w:pPr>
      <w:r w:rsidRPr="00C960F5">
        <w:rPr>
          <w:rFonts w:cstheme="minorHAnsi"/>
          <w:sz w:val="28"/>
          <w:szCs w:val="28"/>
        </w:rPr>
        <w:lastRenderedPageBreak/>
        <w:t>Warunki i szczegółowe zasady zagospodarowania terenu oraz jego zabudowy wynikające z przepisów odrębnych w zakresie:</w:t>
      </w:r>
    </w:p>
    <w:p w14:paraId="4C428686" w14:textId="77777777" w:rsidR="00C960F5" w:rsidRPr="00C960F5" w:rsidRDefault="00C960F5" w:rsidP="00C960F5">
      <w:pPr>
        <w:numPr>
          <w:ilvl w:val="0"/>
          <w:numId w:val="2"/>
        </w:numPr>
        <w:tabs>
          <w:tab w:val="left" w:pos="567"/>
        </w:tabs>
        <w:spacing w:after="120" w:line="240" w:lineRule="auto"/>
        <w:ind w:left="567"/>
        <w:contextualSpacing/>
        <w:jc w:val="both"/>
        <w:rPr>
          <w:rFonts w:cstheme="minorHAnsi"/>
          <w:sz w:val="28"/>
          <w:szCs w:val="28"/>
        </w:rPr>
      </w:pPr>
      <w:r w:rsidRPr="00C960F5">
        <w:rPr>
          <w:rFonts w:cstheme="minorHAnsi"/>
          <w:sz w:val="28"/>
          <w:szCs w:val="28"/>
        </w:rPr>
        <w:t xml:space="preserve">warunków i wymagań ochrony i kształtowania ładu przestrzennego </w:t>
      </w:r>
      <w:r w:rsidRPr="00C960F5">
        <w:rPr>
          <w:rFonts w:cstheme="minorHAnsi"/>
          <w:b/>
          <w:bCs/>
          <w:sz w:val="28"/>
          <w:szCs w:val="28"/>
        </w:rPr>
        <w:t>dla każdego z terenów oznaczonych symbolem: A, B i C</w:t>
      </w:r>
      <w:r w:rsidRPr="00C960F5">
        <w:rPr>
          <w:rFonts w:cstheme="minorHAnsi"/>
          <w:sz w:val="28"/>
          <w:szCs w:val="28"/>
        </w:rPr>
        <w:t>:</w:t>
      </w:r>
    </w:p>
    <w:p w14:paraId="2F2FA1B1" w14:textId="77777777" w:rsidR="00C960F5" w:rsidRPr="00C960F5" w:rsidRDefault="00C960F5" w:rsidP="00C960F5">
      <w:pPr>
        <w:numPr>
          <w:ilvl w:val="0"/>
          <w:numId w:val="8"/>
        </w:numPr>
        <w:spacing w:after="120" w:line="240" w:lineRule="auto"/>
        <w:contextualSpacing/>
        <w:jc w:val="both"/>
        <w:rPr>
          <w:rFonts w:cstheme="minorHAnsi"/>
          <w:sz w:val="28"/>
          <w:szCs w:val="28"/>
        </w:rPr>
      </w:pPr>
      <w:r w:rsidRPr="00C960F5">
        <w:rPr>
          <w:rFonts w:cstheme="minorHAnsi"/>
          <w:sz w:val="28"/>
          <w:szCs w:val="28"/>
        </w:rPr>
        <w:t xml:space="preserve">linie zabudowy: wyznaczone jako nieprzekraczalne i oznaczające linie wyznaczające najmniejszą odległość, w której mogą być zlokalizowane zewnętrzne krawędzie ścian zewnętrznych budynków, ustalone </w:t>
      </w:r>
      <w:bookmarkStart w:id="1" w:name="_Hlk158972612"/>
      <w:r w:rsidRPr="00C960F5">
        <w:rPr>
          <w:rFonts w:cstheme="minorHAnsi"/>
          <w:sz w:val="28"/>
          <w:szCs w:val="28"/>
        </w:rPr>
        <w:t>w odległości 20,0 m od zewnętrznej krawędzi jezdni drogi powiatowej – ul. Wspólnej (dla terenu oznaczonego symbolem A)</w:t>
      </w:r>
      <w:bookmarkEnd w:id="1"/>
      <w:r w:rsidRPr="00C960F5">
        <w:rPr>
          <w:rFonts w:cstheme="minorHAnsi"/>
          <w:sz w:val="28"/>
          <w:szCs w:val="28"/>
        </w:rPr>
        <w:t>, w odległości 6,0 m od granicy drogi wewnętrznej – ul. Jarzębinowej (dla terenu oznaczonego symbolem B) oraz w odległości 6,0 m od granicy planowanej drogi wewnętrznej, oznaczonej symbolem D na załączniku nr 1 do decyzji (dla każdego z terenów oznaczonych symbolem: A, B i C), przy czym:</w:t>
      </w:r>
    </w:p>
    <w:p w14:paraId="515AC310" w14:textId="77777777" w:rsidR="00C960F5" w:rsidRPr="00C960F5" w:rsidRDefault="00C960F5" w:rsidP="00C960F5">
      <w:pPr>
        <w:numPr>
          <w:ilvl w:val="0"/>
          <w:numId w:val="19"/>
        </w:numPr>
        <w:spacing w:after="120" w:line="240" w:lineRule="auto"/>
        <w:contextualSpacing/>
        <w:jc w:val="both"/>
        <w:rPr>
          <w:rFonts w:cstheme="minorHAnsi"/>
          <w:sz w:val="28"/>
          <w:szCs w:val="28"/>
        </w:rPr>
      </w:pPr>
      <w:r w:rsidRPr="00C960F5">
        <w:rPr>
          <w:rFonts w:cstheme="minorHAnsi"/>
          <w:sz w:val="28"/>
          <w:szCs w:val="28"/>
        </w:rPr>
        <w:t xml:space="preserve">okapy i gzymsy, mogą wykraczać przed nieprzekraczalne linie zabudowy o nie więcej niż 0,8 m, </w:t>
      </w:r>
    </w:p>
    <w:p w14:paraId="21FA2CC2" w14:textId="77777777" w:rsidR="00C960F5" w:rsidRPr="00C960F5" w:rsidRDefault="00C960F5" w:rsidP="00C960F5">
      <w:pPr>
        <w:numPr>
          <w:ilvl w:val="0"/>
          <w:numId w:val="19"/>
        </w:numPr>
        <w:spacing w:after="120" w:line="240" w:lineRule="auto"/>
        <w:contextualSpacing/>
        <w:jc w:val="both"/>
        <w:rPr>
          <w:rFonts w:cstheme="minorHAnsi"/>
          <w:sz w:val="28"/>
          <w:szCs w:val="28"/>
        </w:rPr>
      </w:pPr>
      <w:r w:rsidRPr="00C960F5">
        <w:rPr>
          <w:rFonts w:cstheme="minorHAnsi"/>
          <w:sz w:val="28"/>
          <w:szCs w:val="28"/>
        </w:rPr>
        <w:t>części budynków takie, jak: balkony, galerie, wykusze i ich zadaszenia wyłącznie na kondygnacjach wyższych niż parter, mogą wykraczać poza nieprzekraczalne linie zabudowy o nie więcej niż 1,5 m,</w:t>
      </w:r>
    </w:p>
    <w:p w14:paraId="1593D031" w14:textId="77777777" w:rsidR="00C960F5" w:rsidRPr="00C960F5" w:rsidRDefault="00C960F5" w:rsidP="00C960F5">
      <w:pPr>
        <w:numPr>
          <w:ilvl w:val="0"/>
          <w:numId w:val="19"/>
        </w:numPr>
        <w:spacing w:after="120" w:line="240" w:lineRule="auto"/>
        <w:contextualSpacing/>
        <w:jc w:val="both"/>
        <w:rPr>
          <w:rFonts w:cstheme="minorHAnsi"/>
          <w:color w:val="1F497D" w:themeColor="text2"/>
          <w:sz w:val="28"/>
          <w:szCs w:val="28"/>
        </w:rPr>
      </w:pPr>
      <w:r w:rsidRPr="00C960F5">
        <w:rPr>
          <w:rFonts w:cstheme="minorHAnsi"/>
          <w:sz w:val="28"/>
          <w:szCs w:val="28"/>
        </w:rPr>
        <w:t>zadaszenia wejściowe, mogą wykraczać poza nieprzekraczalne linie zabudowy o nie więcej niż 1,5 m,</w:t>
      </w:r>
    </w:p>
    <w:p w14:paraId="62A6A6BD" w14:textId="77777777" w:rsidR="00C960F5" w:rsidRPr="00C960F5" w:rsidRDefault="00C960F5" w:rsidP="00C960F5">
      <w:pPr>
        <w:numPr>
          <w:ilvl w:val="0"/>
          <w:numId w:val="8"/>
        </w:numPr>
        <w:spacing w:after="120" w:line="240" w:lineRule="auto"/>
        <w:contextualSpacing/>
        <w:jc w:val="both"/>
        <w:rPr>
          <w:rFonts w:cstheme="minorHAnsi"/>
          <w:sz w:val="28"/>
          <w:szCs w:val="28"/>
        </w:rPr>
      </w:pPr>
      <w:r w:rsidRPr="00C960F5">
        <w:rPr>
          <w:rFonts w:cstheme="minorHAnsi"/>
          <w:sz w:val="28"/>
          <w:szCs w:val="28"/>
        </w:rPr>
        <w:t>wskaźnik powierzchni nowej zabudowy: od 16,5 % do 18,1 % powierzchni terenu,</w:t>
      </w:r>
    </w:p>
    <w:p w14:paraId="2E5790AE" w14:textId="77777777" w:rsidR="00C960F5" w:rsidRPr="00C960F5" w:rsidRDefault="00C960F5" w:rsidP="00C960F5">
      <w:pPr>
        <w:numPr>
          <w:ilvl w:val="0"/>
          <w:numId w:val="8"/>
        </w:numPr>
        <w:spacing w:after="120" w:line="240" w:lineRule="auto"/>
        <w:contextualSpacing/>
        <w:jc w:val="both"/>
        <w:rPr>
          <w:rFonts w:cstheme="minorHAnsi"/>
          <w:sz w:val="28"/>
          <w:szCs w:val="28"/>
        </w:rPr>
      </w:pPr>
      <w:r w:rsidRPr="00C960F5">
        <w:rPr>
          <w:rFonts w:cstheme="minorHAnsi"/>
          <w:sz w:val="28"/>
          <w:szCs w:val="28"/>
        </w:rPr>
        <w:t>powierzchnia biologicznie czynna: nie mniejsza niż 50 % powierzchni terenu,</w:t>
      </w:r>
    </w:p>
    <w:p w14:paraId="70562BE4" w14:textId="77777777" w:rsidR="00C960F5" w:rsidRPr="00C960F5" w:rsidRDefault="00C960F5" w:rsidP="00C960F5">
      <w:pPr>
        <w:numPr>
          <w:ilvl w:val="0"/>
          <w:numId w:val="8"/>
        </w:numPr>
        <w:spacing w:after="120" w:line="240" w:lineRule="auto"/>
        <w:contextualSpacing/>
        <w:jc w:val="both"/>
        <w:rPr>
          <w:rFonts w:cstheme="minorHAnsi"/>
          <w:sz w:val="28"/>
          <w:szCs w:val="28"/>
        </w:rPr>
      </w:pPr>
      <w:r w:rsidRPr="00C960F5">
        <w:rPr>
          <w:rFonts w:cstheme="minorHAnsi"/>
          <w:sz w:val="28"/>
          <w:szCs w:val="28"/>
        </w:rPr>
        <w:t>szerokość elewacji frontowej</w:t>
      </w:r>
      <w:r w:rsidRPr="00C960F5">
        <w:rPr>
          <w:rFonts w:cstheme="minorHAnsi"/>
          <w:sz w:val="28"/>
          <w:szCs w:val="28"/>
          <w:vertAlign w:val="superscript"/>
        </w:rPr>
        <w:footnoteReference w:id="1"/>
      </w:r>
      <w:r w:rsidRPr="00C960F5">
        <w:rPr>
          <w:rFonts w:cstheme="minorHAnsi"/>
          <w:sz w:val="28"/>
          <w:szCs w:val="28"/>
        </w:rPr>
        <w:t xml:space="preserve"> budynku: 12,5 m ± 20 %,</w:t>
      </w:r>
    </w:p>
    <w:p w14:paraId="34DEAB03" w14:textId="77777777" w:rsidR="00C960F5" w:rsidRPr="00C960F5" w:rsidRDefault="00C960F5" w:rsidP="00C960F5">
      <w:pPr>
        <w:numPr>
          <w:ilvl w:val="0"/>
          <w:numId w:val="8"/>
        </w:numPr>
        <w:spacing w:after="120" w:line="240" w:lineRule="auto"/>
        <w:contextualSpacing/>
        <w:jc w:val="both"/>
        <w:rPr>
          <w:rFonts w:cstheme="minorHAnsi"/>
          <w:sz w:val="28"/>
          <w:szCs w:val="28"/>
        </w:rPr>
      </w:pPr>
      <w:r w:rsidRPr="00C960F5">
        <w:rPr>
          <w:rFonts w:cstheme="minorHAnsi"/>
          <w:sz w:val="28"/>
          <w:szCs w:val="28"/>
        </w:rPr>
        <w:t>wysokość górnej krawędzi elewacji frontowej budynku: od 3,5 m do 4,5 m,</w:t>
      </w:r>
    </w:p>
    <w:p w14:paraId="5D535C31" w14:textId="77777777" w:rsidR="00C960F5" w:rsidRPr="00C960F5" w:rsidRDefault="00C960F5" w:rsidP="00C960F5">
      <w:pPr>
        <w:numPr>
          <w:ilvl w:val="0"/>
          <w:numId w:val="8"/>
        </w:numPr>
        <w:spacing w:after="120" w:line="240" w:lineRule="auto"/>
        <w:contextualSpacing/>
        <w:jc w:val="both"/>
        <w:rPr>
          <w:rFonts w:cstheme="minorHAnsi"/>
          <w:sz w:val="28"/>
          <w:szCs w:val="28"/>
        </w:rPr>
      </w:pPr>
      <w:r w:rsidRPr="00C960F5">
        <w:rPr>
          <w:rFonts w:cstheme="minorHAnsi"/>
          <w:sz w:val="28"/>
          <w:szCs w:val="28"/>
        </w:rPr>
        <w:t>liczba kondygnacji nadziemnych budynku: 2,</w:t>
      </w:r>
    </w:p>
    <w:p w14:paraId="6204B64A" w14:textId="77777777" w:rsidR="00C960F5" w:rsidRPr="00C960F5" w:rsidRDefault="00C960F5" w:rsidP="00C960F5">
      <w:pPr>
        <w:numPr>
          <w:ilvl w:val="0"/>
          <w:numId w:val="8"/>
        </w:numPr>
        <w:spacing w:after="120" w:line="240" w:lineRule="auto"/>
        <w:contextualSpacing/>
        <w:jc w:val="both"/>
        <w:rPr>
          <w:rFonts w:cstheme="minorHAnsi"/>
          <w:sz w:val="28"/>
          <w:szCs w:val="28"/>
        </w:rPr>
      </w:pPr>
      <w:r w:rsidRPr="00C960F5">
        <w:rPr>
          <w:rFonts w:cstheme="minorHAnsi"/>
          <w:sz w:val="28"/>
          <w:szCs w:val="28"/>
        </w:rPr>
        <w:t>geometria dachu:</w:t>
      </w:r>
    </w:p>
    <w:p w14:paraId="69D223B3" w14:textId="77777777" w:rsidR="00C960F5" w:rsidRPr="00C960F5" w:rsidRDefault="00C960F5" w:rsidP="00C960F5">
      <w:pPr>
        <w:numPr>
          <w:ilvl w:val="0"/>
          <w:numId w:val="9"/>
        </w:numPr>
        <w:spacing w:after="120" w:line="240" w:lineRule="auto"/>
        <w:ind w:left="924" w:hanging="357"/>
        <w:contextualSpacing/>
        <w:jc w:val="both"/>
        <w:rPr>
          <w:rFonts w:cstheme="minorHAnsi"/>
          <w:sz w:val="28"/>
          <w:szCs w:val="28"/>
        </w:rPr>
      </w:pPr>
      <w:bookmarkStart w:id="2" w:name="_Hlk151465828"/>
      <w:r w:rsidRPr="00C960F5">
        <w:rPr>
          <w:rFonts w:cstheme="minorHAnsi"/>
          <w:sz w:val="28"/>
          <w:szCs w:val="28"/>
        </w:rPr>
        <w:t>kąt nachylenia głównych połaci dachu: od 30° do 40°,</w:t>
      </w:r>
    </w:p>
    <w:p w14:paraId="3DB07CAB" w14:textId="77777777" w:rsidR="00C960F5" w:rsidRPr="00C960F5" w:rsidRDefault="00C960F5" w:rsidP="00C960F5">
      <w:pPr>
        <w:numPr>
          <w:ilvl w:val="0"/>
          <w:numId w:val="9"/>
        </w:numPr>
        <w:spacing w:after="120" w:line="240" w:lineRule="auto"/>
        <w:ind w:left="924" w:hanging="357"/>
        <w:contextualSpacing/>
        <w:jc w:val="both"/>
        <w:rPr>
          <w:rFonts w:cstheme="minorHAnsi"/>
          <w:sz w:val="28"/>
          <w:szCs w:val="28"/>
        </w:rPr>
      </w:pPr>
      <w:r w:rsidRPr="00C960F5">
        <w:rPr>
          <w:rFonts w:cstheme="minorHAnsi"/>
          <w:sz w:val="28"/>
          <w:szCs w:val="28"/>
        </w:rPr>
        <w:t>wysokość głównej kalenicy</w:t>
      </w:r>
      <w:bookmarkEnd w:id="2"/>
      <w:r w:rsidRPr="00C960F5">
        <w:rPr>
          <w:rFonts w:cstheme="minorHAnsi"/>
          <w:sz w:val="28"/>
          <w:szCs w:val="28"/>
        </w:rPr>
        <w:t>: od 7,0 m do 8,5 m,</w:t>
      </w:r>
    </w:p>
    <w:p w14:paraId="36AB8284" w14:textId="77777777" w:rsidR="00C960F5" w:rsidRPr="00C960F5" w:rsidRDefault="00C960F5" w:rsidP="00C960F5">
      <w:pPr>
        <w:numPr>
          <w:ilvl w:val="0"/>
          <w:numId w:val="9"/>
        </w:numPr>
        <w:spacing w:after="120" w:line="240" w:lineRule="auto"/>
        <w:ind w:left="924" w:hanging="357"/>
        <w:contextualSpacing/>
        <w:jc w:val="both"/>
        <w:rPr>
          <w:rFonts w:cstheme="minorHAnsi"/>
          <w:sz w:val="28"/>
          <w:szCs w:val="28"/>
        </w:rPr>
      </w:pPr>
      <w:r w:rsidRPr="00C960F5">
        <w:rPr>
          <w:rFonts w:cstheme="minorHAnsi"/>
          <w:sz w:val="28"/>
          <w:szCs w:val="28"/>
        </w:rPr>
        <w:t>układ połaci dachowych: dwuspadowy,</w:t>
      </w:r>
    </w:p>
    <w:p w14:paraId="6CBAC5FC" w14:textId="77777777" w:rsidR="00C960F5" w:rsidRPr="00C960F5" w:rsidRDefault="00C960F5" w:rsidP="00C960F5">
      <w:pPr>
        <w:numPr>
          <w:ilvl w:val="0"/>
          <w:numId w:val="9"/>
        </w:numPr>
        <w:spacing w:after="120" w:line="240" w:lineRule="auto"/>
        <w:ind w:left="924" w:hanging="357"/>
        <w:contextualSpacing/>
        <w:jc w:val="both"/>
        <w:rPr>
          <w:rFonts w:cstheme="minorHAnsi"/>
          <w:sz w:val="28"/>
          <w:szCs w:val="28"/>
        </w:rPr>
      </w:pPr>
      <w:r w:rsidRPr="00C960F5">
        <w:rPr>
          <w:rFonts w:cstheme="minorHAnsi"/>
          <w:sz w:val="28"/>
          <w:szCs w:val="28"/>
        </w:rPr>
        <w:lastRenderedPageBreak/>
        <w:t>kierunek głównej kalenicy dachu w stosunku do frontu terenu: kalenicowy,</w:t>
      </w:r>
    </w:p>
    <w:p w14:paraId="544A520D" w14:textId="77777777" w:rsidR="00C960F5" w:rsidRPr="00C960F5" w:rsidRDefault="00C960F5" w:rsidP="00C960F5">
      <w:pPr>
        <w:numPr>
          <w:ilvl w:val="0"/>
          <w:numId w:val="8"/>
        </w:numPr>
        <w:spacing w:after="120" w:line="240" w:lineRule="auto"/>
        <w:contextualSpacing/>
        <w:jc w:val="both"/>
        <w:rPr>
          <w:rFonts w:cstheme="minorHAnsi"/>
          <w:sz w:val="28"/>
          <w:szCs w:val="28"/>
        </w:rPr>
      </w:pPr>
      <w:r w:rsidRPr="00C960F5">
        <w:rPr>
          <w:rFonts w:cstheme="minorHAnsi"/>
          <w:sz w:val="28"/>
          <w:szCs w:val="28"/>
        </w:rPr>
        <w:t>powierzchnia nowo wydzielanej działki budowlanej nie mniejsza niż 630 m</w:t>
      </w:r>
      <w:r w:rsidRPr="00C960F5">
        <w:rPr>
          <w:rFonts w:cstheme="minorHAnsi"/>
          <w:sz w:val="28"/>
          <w:szCs w:val="28"/>
          <w:vertAlign w:val="superscript"/>
        </w:rPr>
        <w:t>2</w:t>
      </w:r>
      <w:r w:rsidRPr="00C960F5">
        <w:rPr>
          <w:rFonts w:cstheme="minorHAnsi"/>
          <w:sz w:val="28"/>
          <w:szCs w:val="28"/>
        </w:rPr>
        <w:t>;</w:t>
      </w:r>
    </w:p>
    <w:p w14:paraId="423AA027" w14:textId="77777777" w:rsidR="00C960F5" w:rsidRPr="00C960F5" w:rsidRDefault="00C960F5" w:rsidP="00C960F5">
      <w:pPr>
        <w:numPr>
          <w:ilvl w:val="0"/>
          <w:numId w:val="2"/>
        </w:numPr>
        <w:tabs>
          <w:tab w:val="left" w:pos="567"/>
        </w:tabs>
        <w:spacing w:after="120" w:line="240" w:lineRule="auto"/>
        <w:ind w:left="567"/>
        <w:contextualSpacing/>
        <w:jc w:val="both"/>
        <w:rPr>
          <w:rFonts w:cstheme="minorHAnsi"/>
          <w:sz w:val="28"/>
          <w:szCs w:val="28"/>
        </w:rPr>
      </w:pPr>
      <w:r w:rsidRPr="00C960F5">
        <w:rPr>
          <w:rFonts w:cstheme="minorHAnsi"/>
          <w:sz w:val="28"/>
          <w:szCs w:val="28"/>
        </w:rPr>
        <w:t xml:space="preserve">warunków i wymagań ochrony i kształtowania ładu przestrzennego </w:t>
      </w:r>
      <w:r w:rsidRPr="00C960F5">
        <w:rPr>
          <w:rFonts w:cstheme="minorHAnsi"/>
          <w:b/>
          <w:bCs/>
          <w:sz w:val="28"/>
          <w:szCs w:val="28"/>
        </w:rPr>
        <w:t>dla terenu oznaczonego symbolem D</w:t>
      </w:r>
      <w:r w:rsidRPr="00C960F5">
        <w:rPr>
          <w:rFonts w:cstheme="minorHAnsi"/>
          <w:sz w:val="28"/>
          <w:szCs w:val="28"/>
        </w:rPr>
        <w:t>: parametry wewnętrznego układu komunikacyjnego: droga o szerokości nie mniejszej niż 8,0 m z poszerzeniami na trójkąty widoczności, z placami do zawracania samochodów o wymiarach nie mniejszych niż 12,5 m x 12,5 m;</w:t>
      </w:r>
    </w:p>
    <w:p w14:paraId="5E1ED36E" w14:textId="77777777" w:rsidR="00C960F5" w:rsidRPr="00C960F5" w:rsidRDefault="00C960F5" w:rsidP="00C960F5">
      <w:pPr>
        <w:numPr>
          <w:ilvl w:val="0"/>
          <w:numId w:val="2"/>
        </w:numPr>
        <w:spacing w:after="0" w:line="240" w:lineRule="auto"/>
        <w:ind w:left="567"/>
        <w:contextualSpacing/>
        <w:jc w:val="both"/>
        <w:rPr>
          <w:rFonts w:cs="Times New Roman"/>
          <w:sz w:val="28"/>
          <w:szCs w:val="28"/>
        </w:rPr>
      </w:pPr>
      <w:r w:rsidRPr="00C960F5">
        <w:rPr>
          <w:rFonts w:cs="Times New Roman"/>
          <w:sz w:val="28"/>
          <w:szCs w:val="28"/>
        </w:rPr>
        <w:t>ochrony środowiska i zdrowia ludzi oraz dziedzictwa kulturowego i zabytków oraz dóbr kultury współczesnej:</w:t>
      </w:r>
    </w:p>
    <w:p w14:paraId="5FA205F1" w14:textId="77777777" w:rsidR="00C960F5" w:rsidRPr="00C960F5" w:rsidRDefault="00C960F5" w:rsidP="00C960F5">
      <w:pPr>
        <w:numPr>
          <w:ilvl w:val="0"/>
          <w:numId w:val="23"/>
        </w:numPr>
        <w:spacing w:after="0" w:line="240" w:lineRule="auto"/>
        <w:ind w:left="709" w:hanging="352"/>
        <w:contextualSpacing/>
        <w:jc w:val="both"/>
        <w:rPr>
          <w:rFonts w:cs="Times New Roman"/>
          <w:sz w:val="28"/>
          <w:szCs w:val="28"/>
        </w:rPr>
      </w:pPr>
      <w:r w:rsidRPr="00C960F5">
        <w:rPr>
          <w:rFonts w:cs="Times New Roman"/>
          <w:sz w:val="28"/>
          <w:szCs w:val="28"/>
        </w:rPr>
        <w:t>uwzględnienie ograniczeń wynikających z położenia terenu w granicach Głównego Zbiornika Wód Podziemnych nr 150 – Pradolina Warszawa-Berlin;</w:t>
      </w:r>
    </w:p>
    <w:p w14:paraId="65CAC65D" w14:textId="77777777" w:rsidR="00C960F5" w:rsidRPr="00C960F5" w:rsidRDefault="00C960F5" w:rsidP="00C960F5">
      <w:pPr>
        <w:numPr>
          <w:ilvl w:val="0"/>
          <w:numId w:val="23"/>
        </w:numPr>
        <w:spacing w:after="0" w:line="240" w:lineRule="auto"/>
        <w:ind w:left="709" w:hanging="352"/>
        <w:contextualSpacing/>
        <w:jc w:val="both"/>
        <w:rPr>
          <w:rFonts w:cs="Times New Roman"/>
          <w:sz w:val="28"/>
          <w:szCs w:val="28"/>
        </w:rPr>
      </w:pPr>
      <w:r w:rsidRPr="00C960F5">
        <w:rPr>
          <w:rFonts w:cs="Times New Roman"/>
          <w:sz w:val="28"/>
          <w:szCs w:val="28"/>
        </w:rPr>
        <w:t xml:space="preserve">uwzględnienie istotnych warunków korzystania ze środowiska w fazie realizacji i eksploatacji lub użytkowania przedsięwzięcia ze szczególnym uwzględnieniem konieczności ochrony cennych wartości przyrodniczych, zasobów naturalnych i zabytków, ograniczenia uciążliwości dla terenów sąsiednich oraz unikania, zapobiegania i ograniczania oddziaływania przedsięwzięcia na środowisko określonych w decyzji Burmistrza Śremu znak PPSOŚ.6220.3.2023.BM z 18.08.2023 r. (ostateczna 21.09.2023 r.) o środowiskowych uwarunkowaniach dla przedsięwzięcia polegającego na budowie zespołu budynków mieszkalnych jednorodzinnych na terenie działki o nr ewid. 10/11, obręb Luciny, w ramach której stwierdzono brak potrzeby przeprowadzenia oceny oddziaływania na środowisko dla planowego przedsięwzięcia; </w:t>
      </w:r>
    </w:p>
    <w:p w14:paraId="2F28D97E" w14:textId="77777777" w:rsidR="00C960F5" w:rsidRPr="00C960F5" w:rsidRDefault="00C960F5" w:rsidP="00C960F5">
      <w:pPr>
        <w:numPr>
          <w:ilvl w:val="0"/>
          <w:numId w:val="2"/>
        </w:numPr>
        <w:spacing w:after="120" w:line="240" w:lineRule="auto"/>
        <w:ind w:left="567" w:hanging="357"/>
        <w:contextualSpacing/>
        <w:jc w:val="both"/>
        <w:rPr>
          <w:rFonts w:cstheme="minorHAnsi"/>
          <w:sz w:val="28"/>
          <w:szCs w:val="28"/>
        </w:rPr>
      </w:pPr>
      <w:r w:rsidRPr="00C960F5">
        <w:rPr>
          <w:rFonts w:cstheme="minorHAnsi"/>
          <w:sz w:val="28"/>
          <w:szCs w:val="28"/>
        </w:rPr>
        <w:t>obsługi w zakresie infrastruktury technicznej i komunikacji:</w:t>
      </w:r>
    </w:p>
    <w:p w14:paraId="4D2C8C57" w14:textId="77777777" w:rsidR="00C960F5" w:rsidRPr="00C960F5" w:rsidRDefault="00C960F5" w:rsidP="00C960F5">
      <w:pPr>
        <w:numPr>
          <w:ilvl w:val="0"/>
          <w:numId w:val="10"/>
        </w:numPr>
        <w:tabs>
          <w:tab w:val="left" w:pos="709"/>
        </w:tabs>
        <w:spacing w:after="120" w:line="240" w:lineRule="auto"/>
        <w:contextualSpacing/>
        <w:jc w:val="both"/>
        <w:rPr>
          <w:rFonts w:cstheme="minorHAnsi"/>
          <w:sz w:val="28"/>
          <w:szCs w:val="28"/>
        </w:rPr>
      </w:pPr>
      <w:r w:rsidRPr="00C960F5">
        <w:rPr>
          <w:rFonts w:cstheme="minorHAnsi"/>
          <w:sz w:val="28"/>
          <w:szCs w:val="28"/>
        </w:rPr>
        <w:t>sposób zaopatrzenia w wodę: sieć wodociągowa lub studnie do poboru wody pitnej</w:t>
      </w:r>
      <w:r w:rsidRPr="00C960F5">
        <w:rPr>
          <w:rFonts w:ascii="Calibri" w:hAnsi="Calibri" w:cs="Times New Roman"/>
          <w:sz w:val="28"/>
          <w:szCs w:val="28"/>
        </w:rPr>
        <w:t xml:space="preserve"> (opinia Śremskich Wodociągów Sp. z o.o. z 18.11.2021 r.),</w:t>
      </w:r>
    </w:p>
    <w:p w14:paraId="4110D014" w14:textId="77777777" w:rsidR="00C960F5" w:rsidRPr="00C960F5" w:rsidRDefault="00C960F5" w:rsidP="00C960F5">
      <w:pPr>
        <w:numPr>
          <w:ilvl w:val="0"/>
          <w:numId w:val="10"/>
        </w:numPr>
        <w:tabs>
          <w:tab w:val="left" w:pos="709"/>
        </w:tabs>
        <w:spacing w:after="120" w:line="240" w:lineRule="auto"/>
        <w:contextualSpacing/>
        <w:jc w:val="both"/>
        <w:rPr>
          <w:rFonts w:cstheme="minorHAnsi"/>
          <w:sz w:val="28"/>
          <w:szCs w:val="28"/>
        </w:rPr>
      </w:pPr>
      <w:r w:rsidRPr="00C960F5">
        <w:rPr>
          <w:rFonts w:cstheme="minorHAnsi"/>
          <w:sz w:val="28"/>
          <w:szCs w:val="28"/>
        </w:rPr>
        <w:t>sposób zaopatrzenia w energię elektryczną: sieć elektroenergetyczna (oświadczenie ENEA Operator Sp. z o.o. z 18.08.2023 r.),</w:t>
      </w:r>
    </w:p>
    <w:p w14:paraId="3D0B6D60" w14:textId="77777777" w:rsidR="00C960F5" w:rsidRPr="00C960F5" w:rsidRDefault="00C960F5" w:rsidP="00C960F5">
      <w:pPr>
        <w:numPr>
          <w:ilvl w:val="0"/>
          <w:numId w:val="10"/>
        </w:numPr>
        <w:tabs>
          <w:tab w:val="left" w:pos="709"/>
        </w:tabs>
        <w:spacing w:after="120" w:line="240" w:lineRule="auto"/>
        <w:contextualSpacing/>
        <w:jc w:val="both"/>
        <w:rPr>
          <w:rFonts w:cstheme="minorHAnsi"/>
          <w:sz w:val="28"/>
          <w:szCs w:val="28"/>
        </w:rPr>
      </w:pPr>
      <w:r w:rsidRPr="00C960F5">
        <w:rPr>
          <w:rFonts w:cstheme="minorHAnsi"/>
          <w:sz w:val="28"/>
          <w:szCs w:val="28"/>
        </w:rPr>
        <w:t>sposób zaopatrzenia w energię cieplną: zgodnie z przepisami odrębnymi,</w:t>
      </w:r>
    </w:p>
    <w:p w14:paraId="7A6FDB1B" w14:textId="77777777" w:rsidR="00C960F5" w:rsidRPr="00C960F5" w:rsidRDefault="00C960F5" w:rsidP="00C960F5">
      <w:pPr>
        <w:numPr>
          <w:ilvl w:val="0"/>
          <w:numId w:val="10"/>
        </w:numPr>
        <w:tabs>
          <w:tab w:val="left" w:pos="709"/>
        </w:tabs>
        <w:spacing w:after="120" w:line="240" w:lineRule="auto"/>
        <w:contextualSpacing/>
        <w:jc w:val="both"/>
        <w:rPr>
          <w:rFonts w:cstheme="minorHAnsi"/>
          <w:sz w:val="28"/>
          <w:szCs w:val="28"/>
        </w:rPr>
      </w:pPr>
      <w:r w:rsidRPr="00C960F5">
        <w:rPr>
          <w:rFonts w:cstheme="minorHAnsi"/>
          <w:sz w:val="28"/>
          <w:szCs w:val="28"/>
        </w:rPr>
        <w:t>odprowadzanie ścieków bytowych: sieć kanalizacji sanitarnej, z dopuszczeniem do czasu jej realizacji, korzystania z bezodpływowych zbiorników na nieczystości ciekłe o pojemności do 10 m</w:t>
      </w:r>
      <w:r w:rsidRPr="00C960F5">
        <w:rPr>
          <w:rFonts w:cstheme="minorHAnsi"/>
          <w:sz w:val="28"/>
          <w:szCs w:val="28"/>
          <w:vertAlign w:val="superscript"/>
        </w:rPr>
        <w:t>3</w:t>
      </w:r>
      <w:r w:rsidRPr="00C960F5">
        <w:rPr>
          <w:rFonts w:cstheme="minorHAnsi"/>
          <w:sz w:val="28"/>
          <w:szCs w:val="28"/>
        </w:rPr>
        <w:t xml:space="preserve"> każdy lub przydomowych oczyszczalni ścieków o wydajności do 7,5 m</w:t>
      </w:r>
      <w:r w:rsidRPr="00C960F5">
        <w:rPr>
          <w:rFonts w:cstheme="minorHAnsi"/>
          <w:sz w:val="28"/>
          <w:szCs w:val="28"/>
          <w:vertAlign w:val="superscript"/>
        </w:rPr>
        <w:t>3</w:t>
      </w:r>
      <w:r w:rsidRPr="00C960F5">
        <w:rPr>
          <w:rFonts w:cstheme="minorHAnsi"/>
          <w:sz w:val="28"/>
          <w:szCs w:val="28"/>
        </w:rPr>
        <w:t xml:space="preserve"> na dobę każda </w:t>
      </w:r>
      <w:r w:rsidRPr="00C960F5">
        <w:rPr>
          <w:rFonts w:ascii="Calibri" w:hAnsi="Calibri" w:cs="Times New Roman"/>
          <w:sz w:val="28"/>
          <w:szCs w:val="28"/>
        </w:rPr>
        <w:t>(opinia Śremskich Wodociągów Sp. z o.o. z 18.11.2021 r.),</w:t>
      </w:r>
    </w:p>
    <w:p w14:paraId="303595D8" w14:textId="77777777" w:rsidR="00C960F5" w:rsidRPr="00C960F5" w:rsidRDefault="00C960F5" w:rsidP="00C960F5">
      <w:pPr>
        <w:numPr>
          <w:ilvl w:val="0"/>
          <w:numId w:val="10"/>
        </w:numPr>
        <w:tabs>
          <w:tab w:val="left" w:pos="709"/>
        </w:tabs>
        <w:spacing w:after="120" w:line="240" w:lineRule="auto"/>
        <w:contextualSpacing/>
        <w:jc w:val="both"/>
        <w:rPr>
          <w:rFonts w:cstheme="minorHAnsi"/>
          <w:sz w:val="28"/>
          <w:szCs w:val="28"/>
        </w:rPr>
      </w:pPr>
      <w:r w:rsidRPr="00C960F5">
        <w:rPr>
          <w:rFonts w:cstheme="minorHAnsi"/>
          <w:sz w:val="28"/>
          <w:szCs w:val="28"/>
        </w:rPr>
        <w:lastRenderedPageBreak/>
        <w:t>należy uwzględnić ograniczenia wynikające z występowania uzbrojenia technicznego, uzyskać stosowne oświadczenia i warunki od właściwych jednostek oraz wykonać inwestycję w sposób zapewniający zachowanie sprawności użytkowej urządzeń,</w:t>
      </w:r>
    </w:p>
    <w:p w14:paraId="12C23CD7" w14:textId="77777777" w:rsidR="00C960F5" w:rsidRPr="00C960F5" w:rsidRDefault="00C960F5" w:rsidP="00C960F5">
      <w:pPr>
        <w:numPr>
          <w:ilvl w:val="0"/>
          <w:numId w:val="10"/>
        </w:numPr>
        <w:tabs>
          <w:tab w:val="left" w:pos="709"/>
        </w:tabs>
        <w:spacing w:after="120" w:line="240" w:lineRule="auto"/>
        <w:contextualSpacing/>
        <w:jc w:val="both"/>
        <w:rPr>
          <w:rFonts w:cstheme="minorHAnsi"/>
          <w:sz w:val="28"/>
          <w:szCs w:val="28"/>
        </w:rPr>
      </w:pPr>
      <w:r w:rsidRPr="00C960F5">
        <w:rPr>
          <w:rFonts w:cstheme="minorHAnsi"/>
          <w:sz w:val="28"/>
          <w:szCs w:val="28"/>
        </w:rPr>
        <w:t>gospodarowanie odpadami: zgodnie z przepisami odrębnymi,</w:t>
      </w:r>
    </w:p>
    <w:p w14:paraId="40A4AE84" w14:textId="77777777" w:rsidR="00C960F5" w:rsidRPr="00C960F5" w:rsidRDefault="00C960F5" w:rsidP="00C960F5">
      <w:pPr>
        <w:numPr>
          <w:ilvl w:val="0"/>
          <w:numId w:val="10"/>
        </w:numPr>
        <w:tabs>
          <w:tab w:val="left" w:pos="709"/>
        </w:tabs>
        <w:spacing w:after="120" w:line="240" w:lineRule="auto"/>
        <w:contextualSpacing/>
        <w:jc w:val="both"/>
        <w:rPr>
          <w:rFonts w:cstheme="minorHAnsi"/>
          <w:sz w:val="24"/>
          <w:szCs w:val="24"/>
        </w:rPr>
      </w:pPr>
      <w:r w:rsidRPr="00C960F5">
        <w:rPr>
          <w:rFonts w:cstheme="minorHAnsi"/>
          <w:sz w:val="28"/>
          <w:szCs w:val="28"/>
        </w:rPr>
        <w:t xml:space="preserve">dostęp do drogi publicznej: </w:t>
      </w:r>
      <w:r w:rsidRPr="00C960F5">
        <w:rPr>
          <w:rFonts w:cstheme="minorHAnsi"/>
          <w:sz w:val="28"/>
        </w:rPr>
        <w:t xml:space="preserve">pośredni do drogi powiatowej – ul. Wspólnej (działki o nr ewid. 1, obręb Luciny) </w:t>
      </w:r>
      <w:r w:rsidRPr="00C960F5">
        <w:rPr>
          <w:rFonts w:eastAsia="Times New Roman" w:cstheme="minorHAnsi"/>
          <w:sz w:val="28"/>
          <w:lang w:eastAsia="pl-PL"/>
        </w:rPr>
        <w:t>poprzez planowaną drogę wewnętrzną, oznaczoną symbolem D na załączniku nr 1 do decyzji i ul. Jarzębinową (działkę o nr ewid. 10/6, obręb Luciny)</w:t>
      </w:r>
      <w:r w:rsidRPr="00C960F5">
        <w:rPr>
          <w:rFonts w:cstheme="minorHAnsi"/>
          <w:sz w:val="28"/>
        </w:rPr>
        <w:t>,</w:t>
      </w:r>
    </w:p>
    <w:p w14:paraId="08C7D074" w14:textId="77777777" w:rsidR="00C960F5" w:rsidRPr="00C960F5" w:rsidRDefault="00C960F5" w:rsidP="00C960F5">
      <w:pPr>
        <w:numPr>
          <w:ilvl w:val="0"/>
          <w:numId w:val="10"/>
        </w:numPr>
        <w:tabs>
          <w:tab w:val="left" w:pos="709"/>
        </w:tabs>
        <w:spacing w:after="120" w:line="240" w:lineRule="auto"/>
        <w:contextualSpacing/>
        <w:jc w:val="both"/>
        <w:rPr>
          <w:rFonts w:cstheme="minorHAnsi"/>
          <w:sz w:val="28"/>
          <w:szCs w:val="28"/>
        </w:rPr>
      </w:pPr>
      <w:r w:rsidRPr="00C960F5">
        <w:rPr>
          <w:rFonts w:cstheme="minorHAnsi"/>
          <w:sz w:val="28"/>
          <w:szCs w:val="28"/>
        </w:rPr>
        <w:t>liczba miejsc parkingowych: nie mniejsza niż dwa na lokal mieszkalny zlokalizowane na terenie inwestycji, z wyłączeniem planowanej drogi wewnętrznej;</w:t>
      </w:r>
    </w:p>
    <w:p w14:paraId="7494A517" w14:textId="77777777" w:rsidR="00C960F5" w:rsidRPr="00C960F5" w:rsidRDefault="00C960F5" w:rsidP="00C960F5">
      <w:pPr>
        <w:numPr>
          <w:ilvl w:val="0"/>
          <w:numId w:val="2"/>
        </w:numPr>
        <w:spacing w:after="120" w:line="240" w:lineRule="auto"/>
        <w:ind w:left="567" w:hanging="357"/>
        <w:contextualSpacing/>
        <w:jc w:val="both"/>
        <w:rPr>
          <w:rFonts w:cstheme="minorHAnsi"/>
          <w:sz w:val="28"/>
          <w:szCs w:val="28"/>
        </w:rPr>
      </w:pPr>
      <w:r w:rsidRPr="00C960F5">
        <w:rPr>
          <w:rFonts w:cstheme="minorHAnsi"/>
          <w:sz w:val="28"/>
          <w:szCs w:val="28"/>
        </w:rPr>
        <w:t>wymagań dotyczących ochrony interesów osób trzecich:</w:t>
      </w:r>
    </w:p>
    <w:p w14:paraId="058E50FB" w14:textId="77777777" w:rsidR="00C960F5" w:rsidRPr="00C960F5" w:rsidRDefault="00C960F5" w:rsidP="00C960F5">
      <w:pPr>
        <w:numPr>
          <w:ilvl w:val="0"/>
          <w:numId w:val="3"/>
        </w:numPr>
        <w:spacing w:after="120" w:line="240" w:lineRule="auto"/>
        <w:contextualSpacing/>
        <w:jc w:val="both"/>
        <w:rPr>
          <w:rFonts w:cstheme="minorHAnsi"/>
          <w:sz w:val="28"/>
          <w:szCs w:val="28"/>
        </w:rPr>
      </w:pPr>
      <w:r w:rsidRPr="00C960F5">
        <w:rPr>
          <w:rFonts w:cstheme="minorHAnsi"/>
          <w:sz w:val="28"/>
          <w:szCs w:val="28"/>
        </w:rPr>
        <w:t xml:space="preserve">warunki ochrony przed pozbawieniem: </w:t>
      </w:r>
    </w:p>
    <w:p w14:paraId="3FC556C5" w14:textId="77777777" w:rsidR="00C960F5" w:rsidRPr="00C960F5" w:rsidRDefault="00C960F5" w:rsidP="00C960F5">
      <w:pPr>
        <w:numPr>
          <w:ilvl w:val="0"/>
          <w:numId w:val="4"/>
        </w:numPr>
        <w:spacing w:after="120" w:line="240" w:lineRule="auto"/>
        <w:ind w:left="993" w:hanging="426"/>
        <w:contextualSpacing/>
        <w:jc w:val="both"/>
        <w:rPr>
          <w:rFonts w:cstheme="minorHAnsi"/>
          <w:sz w:val="28"/>
          <w:szCs w:val="28"/>
        </w:rPr>
      </w:pPr>
      <w:r w:rsidRPr="00C960F5">
        <w:rPr>
          <w:rFonts w:cstheme="minorHAnsi"/>
          <w:sz w:val="28"/>
          <w:szCs w:val="28"/>
        </w:rPr>
        <w:t xml:space="preserve">dostępu do drogi publicznej, możliwości korzystania z wody, kanalizacji, energii elektrycznej i cieplnej oraz ze środków łączności – inwestycja nie może pozbawiać dostępu do drogi publicznej, ani możliwości korzystania z: wody, kanalizacji, energii elektrycznej i cieplnej oraz ze środków łączności osoby trzecie, </w:t>
      </w:r>
    </w:p>
    <w:p w14:paraId="109E9624" w14:textId="77777777" w:rsidR="00C960F5" w:rsidRPr="00C960F5" w:rsidRDefault="00C960F5" w:rsidP="00C960F5">
      <w:pPr>
        <w:numPr>
          <w:ilvl w:val="0"/>
          <w:numId w:val="4"/>
        </w:numPr>
        <w:spacing w:after="120" w:line="240" w:lineRule="auto"/>
        <w:ind w:left="993" w:hanging="426"/>
        <w:contextualSpacing/>
        <w:jc w:val="both"/>
        <w:rPr>
          <w:rFonts w:cstheme="minorHAnsi"/>
          <w:sz w:val="28"/>
          <w:szCs w:val="28"/>
        </w:rPr>
      </w:pPr>
      <w:r w:rsidRPr="00C960F5">
        <w:rPr>
          <w:rFonts w:cstheme="minorHAnsi"/>
          <w:sz w:val="28"/>
          <w:szCs w:val="28"/>
        </w:rPr>
        <w:t>dostępu światła dziennego do pomieszczeń przeznaczonych na pobyt ludzi – inwestycja i sposób zagospodarowania działki powinny spełniać wymogi zawarte w przepisach techniczno – budowlanych, a jednocześnie na etapie opracowania projektu budowlanego należy uwzględnić wymagania w zakresie ochrony uzasadnionych interesów osób trzecich,</w:t>
      </w:r>
    </w:p>
    <w:p w14:paraId="2EF29D00" w14:textId="77777777" w:rsidR="00C960F5" w:rsidRPr="00C960F5" w:rsidRDefault="00C960F5" w:rsidP="00C960F5">
      <w:pPr>
        <w:numPr>
          <w:ilvl w:val="0"/>
          <w:numId w:val="3"/>
        </w:numPr>
        <w:spacing w:after="120" w:line="240" w:lineRule="auto"/>
        <w:contextualSpacing/>
        <w:jc w:val="both"/>
        <w:rPr>
          <w:rFonts w:cstheme="minorHAnsi"/>
          <w:sz w:val="28"/>
          <w:szCs w:val="28"/>
        </w:rPr>
      </w:pPr>
      <w:r w:rsidRPr="00C960F5">
        <w:rPr>
          <w:rFonts w:cstheme="minorHAnsi"/>
          <w:sz w:val="28"/>
          <w:szCs w:val="28"/>
        </w:rPr>
        <w:t>warunki ochrony przed uciążliwościami powodowanymi przez hałas, wibracje, zakłócenia elektryczne i promieniowanie; a także zanieczyszczeniem powietrza, wody i gleby – zgodnie z przepisami z zakresu ochrony środowiska należy podjąć działania mające na celu zapobieganie ewentualnym negatywnym oddziaływaniom na środowisko.</w:t>
      </w:r>
    </w:p>
    <w:p w14:paraId="2C7DCC23" w14:textId="77777777" w:rsidR="00C960F5" w:rsidRPr="00C960F5" w:rsidRDefault="00C960F5" w:rsidP="00C960F5">
      <w:pPr>
        <w:numPr>
          <w:ilvl w:val="0"/>
          <w:numId w:val="14"/>
        </w:numPr>
        <w:tabs>
          <w:tab w:val="left" w:pos="426"/>
        </w:tabs>
        <w:spacing w:after="120" w:line="240" w:lineRule="auto"/>
        <w:ind w:left="414" w:hanging="357"/>
        <w:contextualSpacing/>
        <w:jc w:val="both"/>
        <w:rPr>
          <w:rFonts w:cstheme="minorHAnsi"/>
          <w:sz w:val="28"/>
          <w:szCs w:val="28"/>
        </w:rPr>
      </w:pPr>
      <w:r w:rsidRPr="00C960F5">
        <w:rPr>
          <w:rFonts w:cstheme="minorHAnsi"/>
          <w:sz w:val="28"/>
          <w:szCs w:val="28"/>
        </w:rPr>
        <w:t>Linie rozgraniczające teren inwestycji wyznaczone na mapie zasadniczej w skali 1:1000.</w:t>
      </w:r>
    </w:p>
    <w:p w14:paraId="710D2AF6" w14:textId="77777777" w:rsidR="00C960F5" w:rsidRPr="00C960F5" w:rsidRDefault="00C960F5" w:rsidP="00C960F5">
      <w:pPr>
        <w:spacing w:after="0" w:line="240" w:lineRule="auto"/>
        <w:rPr>
          <w:rFonts w:cstheme="minorHAnsi"/>
          <w:sz w:val="28"/>
          <w:szCs w:val="28"/>
        </w:rPr>
      </w:pPr>
      <w:r w:rsidRPr="00C960F5">
        <w:rPr>
          <w:rFonts w:cstheme="minorHAnsi"/>
          <w:sz w:val="28"/>
          <w:szCs w:val="28"/>
        </w:rPr>
        <w:br w:type="page"/>
      </w:r>
    </w:p>
    <w:p w14:paraId="21360DD0" w14:textId="77777777" w:rsidR="00C960F5" w:rsidRPr="00C960F5" w:rsidRDefault="00C960F5" w:rsidP="00C960F5">
      <w:pPr>
        <w:spacing w:after="120" w:line="240" w:lineRule="auto"/>
        <w:jc w:val="center"/>
        <w:rPr>
          <w:rFonts w:cstheme="minorHAnsi"/>
          <w:sz w:val="28"/>
          <w:szCs w:val="28"/>
        </w:rPr>
      </w:pPr>
      <w:r w:rsidRPr="00C960F5">
        <w:rPr>
          <w:rFonts w:cstheme="minorHAnsi"/>
          <w:sz w:val="28"/>
          <w:szCs w:val="28"/>
        </w:rPr>
        <w:lastRenderedPageBreak/>
        <w:t>Uzasadnienie</w:t>
      </w:r>
    </w:p>
    <w:p w14:paraId="31BCB483" w14:textId="77777777" w:rsidR="00C960F5" w:rsidRPr="00C960F5" w:rsidRDefault="00C960F5" w:rsidP="00C960F5">
      <w:pPr>
        <w:spacing w:after="120" w:line="240" w:lineRule="auto"/>
        <w:ind w:firstLine="567"/>
        <w:jc w:val="both"/>
        <w:rPr>
          <w:sz w:val="28"/>
          <w:szCs w:val="28"/>
        </w:rPr>
      </w:pPr>
      <w:r w:rsidRPr="00C960F5">
        <w:rPr>
          <w:sz w:val="28"/>
          <w:szCs w:val="28"/>
        </w:rPr>
        <w:t>Stosownie do art. 59 ustawy z dnia 7 lipca 2023 r. o zmianie u.p.z.p. oraz niektórych innych ustaw (Dz. U. poz. 1688) do spraw dotyczących ustalenia lokalizacji inwestycji celu publicznego lub wydania decyzji o warunkach zabudowy, wszczętych i niezakończonych decyzją ostateczną przed dniem wejścia w życie niniejszej ustawy, stosuje się przepisy ustawy zmienianej w art. 1 w brzmieniu dotychczasowym.</w:t>
      </w:r>
    </w:p>
    <w:p w14:paraId="2F65D82A" w14:textId="77777777" w:rsidR="00C960F5" w:rsidRPr="00C960F5" w:rsidRDefault="00C960F5" w:rsidP="00C960F5">
      <w:pPr>
        <w:spacing w:after="120" w:line="240" w:lineRule="auto"/>
        <w:ind w:firstLine="567"/>
        <w:jc w:val="both"/>
        <w:rPr>
          <w:rFonts w:cstheme="minorHAnsi"/>
          <w:sz w:val="28"/>
          <w:szCs w:val="28"/>
        </w:rPr>
      </w:pPr>
      <w:r w:rsidRPr="00C960F5">
        <w:rPr>
          <w:rFonts w:cstheme="minorHAnsi"/>
          <w:sz w:val="28"/>
          <w:szCs w:val="28"/>
        </w:rPr>
        <w:t>Stosownie do art. 4 ust. 2 pkt 2 u.p.z.p. w przypadku braku miejscowego planu zagospodarowania przestrzennego określenie sposobów zagospodarowania i warunków zabudowy terenu dla lokalizacji inwestycji innych niż celu publicznego następuje w drodze decyzji o warunkach zabudowy.</w:t>
      </w:r>
    </w:p>
    <w:p w14:paraId="71227D2D" w14:textId="77777777" w:rsidR="00C960F5" w:rsidRPr="00C960F5" w:rsidRDefault="00C960F5" w:rsidP="00C960F5">
      <w:pPr>
        <w:spacing w:after="120" w:line="240" w:lineRule="auto"/>
        <w:ind w:firstLine="567"/>
        <w:jc w:val="both"/>
        <w:rPr>
          <w:sz w:val="28"/>
          <w:szCs w:val="28"/>
        </w:rPr>
      </w:pPr>
      <w:r w:rsidRPr="00C960F5">
        <w:rPr>
          <w:sz w:val="28"/>
          <w:szCs w:val="28"/>
        </w:rPr>
        <w:t>W myśl art. 59 ust. 1, ust. 2 i ust. 2a u.p.z.p.:</w:t>
      </w:r>
    </w:p>
    <w:p w14:paraId="532910D9" w14:textId="77777777" w:rsidR="00C960F5" w:rsidRPr="00C960F5" w:rsidRDefault="00C960F5" w:rsidP="00C960F5">
      <w:pPr>
        <w:numPr>
          <w:ilvl w:val="0"/>
          <w:numId w:val="17"/>
        </w:numPr>
        <w:tabs>
          <w:tab w:val="left" w:pos="993"/>
        </w:tabs>
        <w:spacing w:after="120" w:line="240" w:lineRule="auto"/>
        <w:ind w:left="0" w:firstLine="567"/>
        <w:contextualSpacing/>
        <w:jc w:val="both"/>
        <w:rPr>
          <w:sz w:val="28"/>
          <w:szCs w:val="28"/>
        </w:rPr>
      </w:pPr>
      <w:r w:rsidRPr="00C960F5">
        <w:rPr>
          <w:sz w:val="28"/>
          <w:szCs w:val="28"/>
        </w:rPr>
        <w:t>zmiana zagospodarowania terenu w przypadku braku planu miejscowego, polegająca na budowie obiektu budowlanego lub wykonaniu innych robót budowlanych, a także zmiana sposobu użytkowania obiektu budowlanego lub jego części, z zastrzeżeniem art. 50 ust. 1 i art. 86, wymaga ustalenia, w drodze decyzji, warunków zabudowy. Przepis art. 50 ust. 2 stosuje się odpowiednio;</w:t>
      </w:r>
    </w:p>
    <w:p w14:paraId="69782514" w14:textId="77777777" w:rsidR="00C960F5" w:rsidRPr="00C960F5" w:rsidRDefault="00C960F5" w:rsidP="00C960F5">
      <w:pPr>
        <w:numPr>
          <w:ilvl w:val="0"/>
          <w:numId w:val="17"/>
        </w:numPr>
        <w:tabs>
          <w:tab w:val="left" w:pos="993"/>
        </w:tabs>
        <w:spacing w:after="120" w:line="240" w:lineRule="auto"/>
        <w:ind w:left="0" w:firstLine="567"/>
        <w:contextualSpacing/>
        <w:jc w:val="both"/>
        <w:rPr>
          <w:sz w:val="28"/>
          <w:szCs w:val="28"/>
        </w:rPr>
      </w:pPr>
      <w:r w:rsidRPr="00C960F5">
        <w:rPr>
          <w:sz w:val="28"/>
          <w:szCs w:val="28"/>
        </w:rPr>
        <w:t>powyższy przepis stosuje się również do zmiany zagospodarowania terenu, która nie wymaga pozwolenia na budowę, z wyjątkiem tymczasowej, jednorazowej zmiany zagospodarowania terenu, trwającej do roku;</w:t>
      </w:r>
    </w:p>
    <w:p w14:paraId="41335EB6" w14:textId="77777777" w:rsidR="00C960F5" w:rsidRPr="00C960F5" w:rsidRDefault="00C960F5" w:rsidP="00C960F5">
      <w:pPr>
        <w:numPr>
          <w:ilvl w:val="0"/>
          <w:numId w:val="17"/>
        </w:numPr>
        <w:tabs>
          <w:tab w:val="left" w:pos="993"/>
        </w:tabs>
        <w:spacing w:after="120" w:line="240" w:lineRule="auto"/>
        <w:ind w:left="0" w:firstLine="567"/>
        <w:contextualSpacing/>
        <w:jc w:val="both"/>
        <w:rPr>
          <w:sz w:val="28"/>
          <w:szCs w:val="28"/>
        </w:rPr>
      </w:pPr>
      <w:r w:rsidRPr="00C960F5">
        <w:rPr>
          <w:rFonts w:cstheme="minorHAnsi"/>
          <w:sz w:val="28"/>
          <w:szCs w:val="28"/>
        </w:rPr>
        <w:t>w przypadku braku miejscowego planu zagospodarowania przestrzennego budowa obiektów budowlanych, o których mowa w art. 29 ust. 1 pkt 1, 1a, 3 i pkt 16 lit. b ustawy z dnia 7 lipca 1994 r. - Prawo budowlane, wymaga uzyskania decyzji o warunkach zabudowy i zagospodarowania terenu.</w:t>
      </w:r>
    </w:p>
    <w:p w14:paraId="6AC53BEA" w14:textId="77777777" w:rsidR="00C960F5" w:rsidRPr="00C960F5" w:rsidRDefault="00C960F5" w:rsidP="00C960F5">
      <w:pPr>
        <w:widowControl w:val="0"/>
        <w:autoSpaceDE w:val="0"/>
        <w:autoSpaceDN w:val="0"/>
        <w:adjustRightInd w:val="0"/>
        <w:spacing w:after="120" w:line="240" w:lineRule="auto"/>
        <w:ind w:right="-1" w:firstLine="567"/>
        <w:jc w:val="both"/>
        <w:rPr>
          <w:sz w:val="28"/>
          <w:szCs w:val="28"/>
        </w:rPr>
      </w:pPr>
      <w:r w:rsidRPr="00C960F5">
        <w:rPr>
          <w:sz w:val="28"/>
          <w:szCs w:val="28"/>
        </w:rPr>
        <w:t>Zgodnie z art. 60 ust. 1 i ust. 1a u.p.z.p. decyzję o warunkach zabudowy wydaje (…) wójt, burmistrz albo prezydent miasta po uzgodnieniu z organami, o których mowa w art. 53 ust. 4, i uzyskaniu uzgodnień lub decyzji wymaganych przepisami odrębnymi. Do decyzji o warunkach zabudowy stosuje się art. 53 ust. 5b i 5c u.p.z.p.</w:t>
      </w:r>
    </w:p>
    <w:p w14:paraId="2B986B02" w14:textId="77777777" w:rsidR="00C960F5" w:rsidRDefault="00C960F5" w:rsidP="00C960F5">
      <w:pPr>
        <w:widowControl w:val="0"/>
        <w:autoSpaceDE w:val="0"/>
        <w:autoSpaceDN w:val="0"/>
        <w:adjustRightInd w:val="0"/>
        <w:spacing w:after="120" w:line="240" w:lineRule="auto"/>
        <w:ind w:right="-1" w:firstLine="567"/>
        <w:jc w:val="both"/>
        <w:rPr>
          <w:sz w:val="28"/>
          <w:szCs w:val="28"/>
        </w:rPr>
      </w:pPr>
      <w:r w:rsidRPr="00C960F5">
        <w:rPr>
          <w:sz w:val="28"/>
          <w:szCs w:val="28"/>
        </w:rPr>
        <w:t>Stosownie do art. 104 § 1 i § 2 k.p.a. organ administracji publicznej załatwia sprawę przez wydanie decyzji, chyba że przepisy kodeksu stanowią inaczej. Decyzje rozstrzygają sprawę co do jej istoty w całości lub w części albo w inny sposób kończą sprawę w danej instancji.</w:t>
      </w:r>
    </w:p>
    <w:p w14:paraId="137C4B03" w14:textId="77777777" w:rsidR="00C960F5" w:rsidRPr="00C960F5" w:rsidRDefault="00C960F5" w:rsidP="00C960F5">
      <w:pPr>
        <w:widowControl w:val="0"/>
        <w:autoSpaceDE w:val="0"/>
        <w:autoSpaceDN w:val="0"/>
        <w:adjustRightInd w:val="0"/>
        <w:spacing w:after="120" w:line="240" w:lineRule="auto"/>
        <w:ind w:right="-1" w:firstLine="567"/>
        <w:jc w:val="both"/>
        <w:rPr>
          <w:sz w:val="28"/>
          <w:szCs w:val="28"/>
        </w:rPr>
      </w:pPr>
    </w:p>
    <w:p w14:paraId="114DEDE4" w14:textId="77777777" w:rsidR="00C960F5" w:rsidRPr="00C960F5" w:rsidRDefault="00C960F5" w:rsidP="00C960F5">
      <w:pPr>
        <w:tabs>
          <w:tab w:val="left" w:pos="993"/>
        </w:tabs>
        <w:spacing w:after="120" w:line="240" w:lineRule="auto"/>
        <w:ind w:firstLine="567"/>
        <w:jc w:val="both"/>
        <w:rPr>
          <w:rFonts w:cstheme="minorHAnsi"/>
          <w:sz w:val="28"/>
          <w:szCs w:val="28"/>
        </w:rPr>
      </w:pPr>
      <w:r w:rsidRPr="00C960F5">
        <w:rPr>
          <w:rFonts w:cstheme="minorHAnsi"/>
          <w:sz w:val="28"/>
          <w:szCs w:val="28"/>
        </w:rPr>
        <w:lastRenderedPageBreak/>
        <w:t xml:space="preserve">Do wniosku o ustalenie warunków zabudowy Wnioskodawca załączył charakterystykę zabudowy i zagospodarowania terenu, w tym przeznaczenia i gabarytów projektowanego obiektu budowlanego oraz powierzchni terenu podlegającej przekształceniu, przedstawioną w formie opisowej i graficznej, która znajduje się w aktach sprawy. Treść wniosku oraz załącznik graficzny do wniosku są ze sobą spójne. W części graficznej Wnioskodawca wskazał również </w:t>
      </w:r>
      <w:r w:rsidRPr="00C960F5">
        <w:rPr>
          <w:rFonts w:cstheme="minorHAnsi"/>
          <w:sz w:val="28"/>
        </w:rPr>
        <w:t>obszar, na który planowana inwestycja będzie oddziaływać</w:t>
      </w:r>
      <w:r w:rsidRPr="00C960F5">
        <w:rPr>
          <w:rFonts w:cstheme="minorHAnsi"/>
          <w:sz w:val="28"/>
          <w:szCs w:val="28"/>
        </w:rPr>
        <w:t xml:space="preserve">. Wniosek zatem był kompletny. </w:t>
      </w:r>
    </w:p>
    <w:p w14:paraId="75AC0636" w14:textId="77777777" w:rsidR="00C960F5" w:rsidRPr="00C960F5" w:rsidRDefault="00C960F5" w:rsidP="00C960F5">
      <w:pPr>
        <w:tabs>
          <w:tab w:val="left" w:pos="993"/>
        </w:tabs>
        <w:spacing w:after="120" w:line="240" w:lineRule="auto"/>
        <w:ind w:firstLine="567"/>
        <w:jc w:val="both"/>
        <w:rPr>
          <w:rFonts w:cstheme="minorHAnsi"/>
          <w:sz w:val="28"/>
          <w:szCs w:val="28"/>
        </w:rPr>
      </w:pPr>
      <w:r w:rsidRPr="00C960F5">
        <w:rPr>
          <w:rFonts w:cstheme="minorHAnsi"/>
          <w:sz w:val="28"/>
          <w:szCs w:val="28"/>
        </w:rPr>
        <w:t>W okresie od 19.09.2022 r. do 06.10.2023 r. postępowanie w przedmiotowej sprawie było zawieszone na wniosek Wnioskodawcy.</w:t>
      </w:r>
    </w:p>
    <w:p w14:paraId="63774345" w14:textId="77777777" w:rsidR="00C960F5" w:rsidRPr="00C960F5" w:rsidRDefault="00C960F5" w:rsidP="00C960F5">
      <w:pPr>
        <w:tabs>
          <w:tab w:val="left" w:pos="993"/>
        </w:tabs>
        <w:spacing w:after="120" w:line="240" w:lineRule="auto"/>
        <w:ind w:firstLine="567"/>
        <w:jc w:val="both"/>
        <w:rPr>
          <w:rFonts w:cstheme="minorHAnsi"/>
          <w:sz w:val="28"/>
          <w:szCs w:val="28"/>
        </w:rPr>
      </w:pPr>
      <w:r w:rsidRPr="00C960F5">
        <w:rPr>
          <w:rFonts w:cstheme="minorHAnsi"/>
          <w:sz w:val="28"/>
          <w:szCs w:val="28"/>
        </w:rPr>
        <w:t xml:space="preserve">06.10.2023 r. Wnioskodawca wniósł o podjęcie zawieszonego postępowania oraz uzupełnił wniosek o decyzję o środowiskowych uwarunkowaniach, przedstawił nową koncepcję zagospodarowania terenu oraz zmienił wniosek w zakresie: przedmiotu planowanej inwestycji, terenu objętego wnioskiem, powierzchni zabudowy, powierzchni biologicznie czynnej, powierzchni podlegającej przekształceniu oraz ilości planowanych lokali mieszkalnych. Następnie 06.12.2023 r. uzupełnił wniosek o aktualne opinie od gestorów sieci, opinię hydrogeologiczną oraz zmienił wniosek w zakresie parametrów planowanych budynków. </w:t>
      </w:r>
    </w:p>
    <w:p w14:paraId="715C9F6E" w14:textId="77777777" w:rsidR="00C960F5" w:rsidRPr="00C960F5" w:rsidRDefault="00C960F5" w:rsidP="00C960F5">
      <w:pPr>
        <w:tabs>
          <w:tab w:val="left" w:pos="993"/>
        </w:tabs>
        <w:spacing w:after="120" w:line="240" w:lineRule="auto"/>
        <w:ind w:firstLine="567"/>
        <w:jc w:val="both"/>
        <w:rPr>
          <w:rFonts w:cstheme="minorHAnsi"/>
          <w:sz w:val="28"/>
          <w:szCs w:val="28"/>
        </w:rPr>
      </w:pPr>
      <w:r w:rsidRPr="00C960F5">
        <w:rPr>
          <w:rFonts w:cstheme="minorHAnsi"/>
          <w:sz w:val="28"/>
          <w:szCs w:val="28"/>
        </w:rPr>
        <w:t xml:space="preserve">30.01.2024 r. Wnioskodawca został powiadomiony o wynikach przeprowadzonej analizy funkcji i cech zabudowy, w związku z czym 02.02.2024 r. ponownie zmienił wniosek w zakresie wskaźnika powierzchni zabudowy, szerokości elewacji frontowej oraz wysokości głównej kalenicy. 14.02.2024 r. wniosek został zmieniony w zakresie przedmiotu planowanej inwestycji. </w:t>
      </w:r>
    </w:p>
    <w:p w14:paraId="095D3859" w14:textId="77777777" w:rsidR="00C960F5" w:rsidRPr="00C960F5" w:rsidRDefault="00C960F5" w:rsidP="00C960F5">
      <w:pPr>
        <w:tabs>
          <w:tab w:val="left" w:pos="993"/>
        </w:tabs>
        <w:spacing w:after="120" w:line="240" w:lineRule="auto"/>
        <w:ind w:firstLine="567"/>
        <w:jc w:val="both"/>
        <w:rPr>
          <w:rFonts w:cstheme="minorHAnsi"/>
          <w:sz w:val="28"/>
          <w:szCs w:val="28"/>
        </w:rPr>
      </w:pPr>
      <w:r w:rsidRPr="00C960F5">
        <w:rPr>
          <w:rFonts w:cstheme="minorHAnsi"/>
          <w:sz w:val="28"/>
          <w:szCs w:val="28"/>
        </w:rPr>
        <w:t>04.03.2024 r. Wnioskodawca zmienił wniosek w zakresie: przedmiotu planowanej inwestycji, terenu objętego wnioskiem, powierzchni zabudowy, powierzchni biologicznie czynnej, powierzchni podlegającej przekształceniu oraz ilości planowanych lokali mieszkalnych oraz przedstawił nowy załącznik graficzny do wniosku.</w:t>
      </w:r>
    </w:p>
    <w:p w14:paraId="58476BB2" w14:textId="77777777" w:rsidR="00C960F5" w:rsidRPr="00C960F5" w:rsidRDefault="00C960F5" w:rsidP="00C960F5">
      <w:pPr>
        <w:tabs>
          <w:tab w:val="left" w:pos="993"/>
        </w:tabs>
        <w:spacing w:after="120" w:line="240" w:lineRule="auto"/>
        <w:ind w:firstLine="567"/>
        <w:jc w:val="both"/>
        <w:rPr>
          <w:rFonts w:cstheme="minorHAnsi"/>
          <w:sz w:val="28"/>
          <w:szCs w:val="28"/>
        </w:rPr>
      </w:pPr>
      <w:r w:rsidRPr="00C960F5">
        <w:rPr>
          <w:rFonts w:cstheme="minorHAnsi"/>
          <w:sz w:val="28"/>
          <w:szCs w:val="28"/>
        </w:rPr>
        <w:t>Planowana inwestycja polega więc na budowie 24 budynków mieszkalnych jednorodzinnych wolno stojących oraz drogi wewnętrznej na terenie części (26986 m</w:t>
      </w:r>
      <w:r w:rsidRPr="00C960F5">
        <w:rPr>
          <w:rFonts w:cstheme="minorHAnsi"/>
          <w:sz w:val="28"/>
          <w:szCs w:val="28"/>
          <w:vertAlign w:val="superscript"/>
        </w:rPr>
        <w:t>2</w:t>
      </w:r>
      <w:r w:rsidRPr="00C960F5">
        <w:rPr>
          <w:rFonts w:cstheme="minorHAnsi"/>
          <w:sz w:val="28"/>
          <w:szCs w:val="28"/>
        </w:rPr>
        <w:t xml:space="preserve">) działki o nr ewid. </w:t>
      </w:r>
      <w:r w:rsidRPr="00C960F5">
        <w:rPr>
          <w:rFonts w:cstheme="minorHAnsi"/>
          <w:sz w:val="28"/>
        </w:rPr>
        <w:t>10/11, obręb Luciny</w:t>
      </w:r>
      <w:r w:rsidRPr="00C960F5">
        <w:rPr>
          <w:rFonts w:cstheme="minorHAnsi"/>
          <w:sz w:val="28"/>
          <w:szCs w:val="28"/>
        </w:rPr>
        <w:t xml:space="preserve">. Działka jest zlokalizowana na obrzeżach wsi, pomiędzy ulicą Wspólną i ulicą Ojca Jana Góry. </w:t>
      </w:r>
    </w:p>
    <w:p w14:paraId="46FB82CD" w14:textId="77777777" w:rsidR="00C960F5" w:rsidRPr="00C960F5" w:rsidRDefault="00C960F5" w:rsidP="00C960F5">
      <w:pPr>
        <w:tabs>
          <w:tab w:val="left" w:pos="993"/>
        </w:tabs>
        <w:spacing w:after="120" w:line="240" w:lineRule="auto"/>
        <w:ind w:firstLine="567"/>
        <w:jc w:val="both"/>
        <w:rPr>
          <w:rFonts w:cstheme="minorHAnsi"/>
          <w:sz w:val="28"/>
          <w:szCs w:val="28"/>
        </w:rPr>
      </w:pPr>
      <w:r w:rsidRPr="00C960F5">
        <w:rPr>
          <w:rFonts w:cstheme="minorHAnsi"/>
          <w:sz w:val="28"/>
          <w:szCs w:val="28"/>
        </w:rPr>
        <w:t>Charakterystyka planowanej inwestycji na podstawie wniosku:</w:t>
      </w:r>
    </w:p>
    <w:p w14:paraId="39D5C4F8" w14:textId="77777777" w:rsidR="00C960F5" w:rsidRPr="00C960F5" w:rsidRDefault="00C960F5" w:rsidP="00C960F5">
      <w:pPr>
        <w:numPr>
          <w:ilvl w:val="0"/>
          <w:numId w:val="13"/>
        </w:numPr>
        <w:tabs>
          <w:tab w:val="left" w:pos="993"/>
        </w:tabs>
        <w:spacing w:after="120" w:line="240" w:lineRule="auto"/>
        <w:contextualSpacing/>
        <w:jc w:val="both"/>
        <w:rPr>
          <w:rFonts w:cstheme="minorHAnsi"/>
          <w:sz w:val="28"/>
          <w:szCs w:val="28"/>
        </w:rPr>
      </w:pPr>
      <w:r w:rsidRPr="00C960F5">
        <w:rPr>
          <w:rFonts w:cstheme="minorHAnsi"/>
          <w:sz w:val="28"/>
          <w:szCs w:val="28"/>
        </w:rPr>
        <w:t>powierzchnia zabudowy: od 1920 m</w:t>
      </w:r>
      <w:r w:rsidRPr="00C960F5">
        <w:rPr>
          <w:rFonts w:cstheme="minorHAnsi"/>
          <w:sz w:val="28"/>
          <w:szCs w:val="28"/>
          <w:vertAlign w:val="superscript"/>
        </w:rPr>
        <w:t>2</w:t>
      </w:r>
      <w:r w:rsidRPr="00C960F5">
        <w:rPr>
          <w:rFonts w:cstheme="minorHAnsi"/>
          <w:sz w:val="28"/>
          <w:szCs w:val="28"/>
        </w:rPr>
        <w:t xml:space="preserve"> do 4800 m</w:t>
      </w:r>
      <w:r w:rsidRPr="00C960F5">
        <w:rPr>
          <w:rFonts w:cstheme="minorHAnsi"/>
          <w:sz w:val="28"/>
          <w:szCs w:val="28"/>
          <w:vertAlign w:val="superscript"/>
        </w:rPr>
        <w:t>2</w:t>
      </w:r>
      <w:r w:rsidRPr="00C960F5">
        <w:rPr>
          <w:rFonts w:cstheme="minorHAnsi"/>
          <w:sz w:val="28"/>
          <w:szCs w:val="28"/>
        </w:rPr>
        <w:t>,</w:t>
      </w:r>
    </w:p>
    <w:p w14:paraId="58F23768" w14:textId="77777777" w:rsidR="00C960F5" w:rsidRPr="00C960F5" w:rsidRDefault="00C960F5" w:rsidP="00C960F5">
      <w:pPr>
        <w:numPr>
          <w:ilvl w:val="0"/>
          <w:numId w:val="13"/>
        </w:numPr>
        <w:tabs>
          <w:tab w:val="left" w:pos="993"/>
        </w:tabs>
        <w:spacing w:after="120" w:line="240" w:lineRule="auto"/>
        <w:contextualSpacing/>
        <w:jc w:val="both"/>
        <w:rPr>
          <w:rFonts w:cstheme="minorHAnsi"/>
          <w:sz w:val="28"/>
          <w:szCs w:val="28"/>
        </w:rPr>
      </w:pPr>
      <w:r w:rsidRPr="00C960F5">
        <w:rPr>
          <w:rFonts w:cstheme="minorHAnsi"/>
          <w:sz w:val="28"/>
          <w:szCs w:val="28"/>
        </w:rPr>
        <w:lastRenderedPageBreak/>
        <w:t>liczba kondygnacji nadziemnych budynku: 2,</w:t>
      </w:r>
    </w:p>
    <w:p w14:paraId="5F447E66" w14:textId="77777777" w:rsidR="00C960F5" w:rsidRPr="00C960F5" w:rsidRDefault="00C960F5" w:rsidP="00C960F5">
      <w:pPr>
        <w:numPr>
          <w:ilvl w:val="0"/>
          <w:numId w:val="13"/>
        </w:numPr>
        <w:tabs>
          <w:tab w:val="left" w:pos="993"/>
        </w:tabs>
        <w:spacing w:after="120" w:line="240" w:lineRule="auto"/>
        <w:contextualSpacing/>
        <w:jc w:val="both"/>
        <w:rPr>
          <w:rFonts w:cstheme="minorHAnsi"/>
          <w:sz w:val="28"/>
          <w:szCs w:val="28"/>
        </w:rPr>
      </w:pPr>
      <w:r w:rsidRPr="00C960F5">
        <w:rPr>
          <w:rFonts w:cstheme="minorHAnsi"/>
          <w:sz w:val="28"/>
          <w:szCs w:val="28"/>
        </w:rPr>
        <w:t>wysokość górnej krawędzi elewacji frontowej: od 3,5 m do 4,5 m,</w:t>
      </w:r>
    </w:p>
    <w:p w14:paraId="61B2054A" w14:textId="77777777" w:rsidR="00C960F5" w:rsidRPr="00C960F5" w:rsidRDefault="00C960F5" w:rsidP="00C960F5">
      <w:pPr>
        <w:numPr>
          <w:ilvl w:val="0"/>
          <w:numId w:val="13"/>
        </w:numPr>
        <w:tabs>
          <w:tab w:val="left" w:pos="993"/>
        </w:tabs>
        <w:spacing w:after="120" w:line="240" w:lineRule="auto"/>
        <w:contextualSpacing/>
        <w:jc w:val="both"/>
        <w:rPr>
          <w:rFonts w:cstheme="minorHAnsi"/>
          <w:sz w:val="28"/>
          <w:szCs w:val="28"/>
        </w:rPr>
      </w:pPr>
      <w:r w:rsidRPr="00C960F5">
        <w:rPr>
          <w:rFonts w:cstheme="minorHAnsi"/>
          <w:sz w:val="28"/>
          <w:szCs w:val="28"/>
        </w:rPr>
        <w:t>wysokość głównej kalenicy budynku: od 7,5 m do 8,5 m,</w:t>
      </w:r>
    </w:p>
    <w:p w14:paraId="0581D9DA" w14:textId="77777777" w:rsidR="00C960F5" w:rsidRPr="00C960F5" w:rsidRDefault="00C960F5" w:rsidP="00C960F5">
      <w:pPr>
        <w:numPr>
          <w:ilvl w:val="0"/>
          <w:numId w:val="13"/>
        </w:numPr>
        <w:tabs>
          <w:tab w:val="left" w:pos="993"/>
        </w:tabs>
        <w:spacing w:after="120" w:line="240" w:lineRule="auto"/>
        <w:contextualSpacing/>
        <w:jc w:val="both"/>
        <w:rPr>
          <w:rFonts w:cstheme="minorHAnsi"/>
          <w:sz w:val="28"/>
          <w:szCs w:val="28"/>
        </w:rPr>
      </w:pPr>
      <w:r w:rsidRPr="00C960F5">
        <w:rPr>
          <w:rFonts w:cstheme="minorHAnsi"/>
          <w:sz w:val="28"/>
          <w:szCs w:val="28"/>
        </w:rPr>
        <w:t xml:space="preserve">szerokość elewacji frontowej budynku: 12,5 m ± 20 %, </w:t>
      </w:r>
    </w:p>
    <w:p w14:paraId="618F3E3C" w14:textId="77777777" w:rsidR="00C960F5" w:rsidRPr="00C960F5" w:rsidRDefault="00C960F5" w:rsidP="00C960F5">
      <w:pPr>
        <w:numPr>
          <w:ilvl w:val="0"/>
          <w:numId w:val="13"/>
        </w:numPr>
        <w:tabs>
          <w:tab w:val="left" w:pos="993"/>
        </w:tabs>
        <w:spacing w:after="120" w:line="240" w:lineRule="auto"/>
        <w:contextualSpacing/>
        <w:jc w:val="both"/>
        <w:rPr>
          <w:rFonts w:cstheme="minorHAnsi"/>
          <w:sz w:val="28"/>
          <w:szCs w:val="28"/>
        </w:rPr>
      </w:pPr>
      <w:r w:rsidRPr="00C960F5">
        <w:rPr>
          <w:rFonts w:cstheme="minorHAnsi"/>
          <w:sz w:val="28"/>
          <w:szCs w:val="28"/>
        </w:rPr>
        <w:t>kąt nachylenia dachu: od 30° do 40°,</w:t>
      </w:r>
    </w:p>
    <w:p w14:paraId="4F536CEC" w14:textId="77777777" w:rsidR="00C960F5" w:rsidRPr="00C960F5" w:rsidRDefault="00C960F5" w:rsidP="00C960F5">
      <w:pPr>
        <w:numPr>
          <w:ilvl w:val="0"/>
          <w:numId w:val="13"/>
        </w:numPr>
        <w:tabs>
          <w:tab w:val="left" w:pos="993"/>
        </w:tabs>
        <w:spacing w:after="120" w:line="240" w:lineRule="auto"/>
        <w:contextualSpacing/>
        <w:jc w:val="both"/>
        <w:rPr>
          <w:rFonts w:cstheme="minorHAnsi"/>
          <w:sz w:val="28"/>
          <w:szCs w:val="28"/>
        </w:rPr>
      </w:pPr>
      <w:r w:rsidRPr="00C960F5">
        <w:rPr>
          <w:rFonts w:cstheme="minorHAnsi"/>
          <w:sz w:val="28"/>
          <w:szCs w:val="28"/>
        </w:rPr>
        <w:t>rodzaj dachu: dwuspadowy, kalenicowy lub szczytowy.</w:t>
      </w:r>
    </w:p>
    <w:p w14:paraId="4E866D81" w14:textId="77777777" w:rsidR="00C960F5" w:rsidRPr="00C960F5" w:rsidRDefault="00C960F5" w:rsidP="00C960F5">
      <w:pPr>
        <w:tabs>
          <w:tab w:val="left" w:pos="993"/>
        </w:tabs>
        <w:spacing w:after="120" w:line="240" w:lineRule="auto"/>
        <w:ind w:firstLine="567"/>
        <w:jc w:val="both"/>
        <w:rPr>
          <w:rFonts w:cstheme="minorHAnsi"/>
          <w:sz w:val="28"/>
          <w:szCs w:val="28"/>
        </w:rPr>
      </w:pPr>
      <w:r w:rsidRPr="00C960F5">
        <w:rPr>
          <w:rFonts w:cstheme="minorHAnsi"/>
          <w:sz w:val="28"/>
          <w:szCs w:val="28"/>
        </w:rPr>
        <w:t xml:space="preserve">Przedmiotowy teren działki o nr ewid. </w:t>
      </w:r>
      <w:r w:rsidRPr="00C960F5">
        <w:rPr>
          <w:rFonts w:cstheme="minorHAnsi"/>
          <w:sz w:val="28"/>
        </w:rPr>
        <w:t>10/11, obręb Luciny</w:t>
      </w:r>
      <w:r w:rsidRPr="00C960F5">
        <w:rPr>
          <w:rFonts w:cstheme="minorHAnsi"/>
          <w:sz w:val="28"/>
          <w:szCs w:val="28"/>
        </w:rPr>
        <w:t>, o powierzchni 48836 m</w:t>
      </w:r>
      <w:r w:rsidRPr="00C960F5">
        <w:rPr>
          <w:rFonts w:cstheme="minorHAnsi"/>
          <w:sz w:val="28"/>
          <w:szCs w:val="28"/>
          <w:vertAlign w:val="superscript"/>
        </w:rPr>
        <w:t>2</w:t>
      </w:r>
      <w:r w:rsidRPr="00C960F5">
        <w:rPr>
          <w:rFonts w:cstheme="minorHAnsi"/>
          <w:sz w:val="28"/>
          <w:szCs w:val="28"/>
        </w:rPr>
        <w:t>, zgodnie z prowadzoną przez Starostę Śremskiego ewidencją gruntów i budynków, stanowi grunty orne klasy IVa, IVb, V, VI. Wnioskiem objęta jest część działki o nr ewid. 10/11, obręb Luciny, o powierzchni 26986 m</w:t>
      </w:r>
      <w:r w:rsidRPr="00C960F5">
        <w:rPr>
          <w:rFonts w:cstheme="minorHAnsi"/>
          <w:sz w:val="28"/>
          <w:szCs w:val="28"/>
          <w:vertAlign w:val="superscript"/>
        </w:rPr>
        <w:t>2</w:t>
      </w:r>
      <w:r w:rsidRPr="00C960F5">
        <w:rPr>
          <w:rFonts w:cstheme="minorHAnsi"/>
          <w:sz w:val="28"/>
          <w:szCs w:val="28"/>
        </w:rPr>
        <w:t xml:space="preserve">. Front terenu objętego wnioskiem o szerokości ca 75,6 m to część przylegająca do drogi powiatowej – ul. Wspólnej (działki o nr ewid. 1, obręb Luciny). Teren objęty wnioskiem </w:t>
      </w:r>
      <w:r w:rsidRPr="00C960F5">
        <w:rPr>
          <w:rFonts w:cstheme="minorHAnsi"/>
          <w:sz w:val="28"/>
        </w:rPr>
        <w:t>od strony zachodniej i wschodniej graniczy z działkami drogowymi, od strony zachodniej w części i od strony północnej granicy z niezabudowanymi działkami budowlanymi, a od strony południowej graniczy z zabudową mieszkaniową.</w:t>
      </w:r>
    </w:p>
    <w:p w14:paraId="1623CA8D" w14:textId="77777777" w:rsidR="00C960F5" w:rsidRPr="00C960F5" w:rsidRDefault="00C960F5" w:rsidP="00C960F5">
      <w:pPr>
        <w:tabs>
          <w:tab w:val="left" w:pos="993"/>
        </w:tabs>
        <w:spacing w:after="120" w:line="240" w:lineRule="auto"/>
        <w:ind w:firstLine="567"/>
        <w:jc w:val="both"/>
        <w:rPr>
          <w:rFonts w:cstheme="minorHAnsi"/>
          <w:sz w:val="28"/>
          <w:szCs w:val="28"/>
        </w:rPr>
      </w:pPr>
      <w:r w:rsidRPr="00C960F5">
        <w:rPr>
          <w:rFonts w:cstheme="minorHAnsi"/>
          <w:sz w:val="28"/>
          <w:szCs w:val="28"/>
        </w:rPr>
        <w:t>Dla terenu projektowanej inwestycji nie został uchwalony miejscowy plan zagospodarowania przestrzennego oraz plan ogólny gminy ani nie została podjęta uchwała w sprawie przystąpienia do sporządzenia miejscowego planu zagospodarowania przestrzennego.</w:t>
      </w:r>
    </w:p>
    <w:p w14:paraId="761E5125" w14:textId="77777777" w:rsidR="00C960F5" w:rsidRPr="00C960F5" w:rsidRDefault="00C960F5" w:rsidP="00C960F5">
      <w:pPr>
        <w:spacing w:after="120" w:line="240" w:lineRule="auto"/>
        <w:ind w:firstLine="567"/>
        <w:jc w:val="both"/>
        <w:rPr>
          <w:rFonts w:cstheme="minorHAnsi"/>
          <w:sz w:val="28"/>
          <w:szCs w:val="28"/>
        </w:rPr>
      </w:pPr>
      <w:r w:rsidRPr="00C960F5">
        <w:rPr>
          <w:rFonts w:cstheme="minorHAnsi"/>
          <w:sz w:val="28"/>
          <w:szCs w:val="28"/>
        </w:rPr>
        <w:t>Stosownie do art. 53 ust. 3 w związku z art. 64 ust. 1 u.p.z.p. przeprowadzone zostały analizy: warunków i zasad zagospodarowania terenu oraz jego zabudowy, wynikających z przepisów odrębnych, oraz stanu faktycznego i prawnego terenu, na którym przewiduje się realizację inwestycji. Wyniki tych analiz znajdują się w aktach sprawy.</w:t>
      </w:r>
    </w:p>
    <w:p w14:paraId="041BF50D" w14:textId="77777777" w:rsidR="00C960F5" w:rsidRPr="00C960F5" w:rsidRDefault="00C960F5" w:rsidP="00C960F5">
      <w:pPr>
        <w:spacing w:after="120" w:line="240" w:lineRule="auto"/>
        <w:ind w:firstLine="567"/>
        <w:jc w:val="both"/>
        <w:rPr>
          <w:rFonts w:cstheme="minorHAnsi"/>
          <w:sz w:val="28"/>
          <w:szCs w:val="28"/>
        </w:rPr>
      </w:pPr>
      <w:r w:rsidRPr="00C960F5">
        <w:rPr>
          <w:rFonts w:cstheme="minorHAnsi"/>
          <w:sz w:val="28"/>
          <w:szCs w:val="28"/>
        </w:rPr>
        <w:t xml:space="preserve">Zgodnie z art. 60 ust. 4 u.p.z.p. sporządzenie projektu decyzji o warunków zabudowy powierzono osobie spełniającej warunki określone w art. 5 pkt 4. Projekt decyzji znajduje się w aktach sprawy. </w:t>
      </w:r>
    </w:p>
    <w:p w14:paraId="3F94A9E5" w14:textId="77777777" w:rsidR="00C960F5" w:rsidRPr="00C960F5" w:rsidRDefault="00C960F5" w:rsidP="00C960F5">
      <w:pPr>
        <w:widowControl w:val="0"/>
        <w:autoSpaceDE w:val="0"/>
        <w:spacing w:after="120" w:line="240" w:lineRule="auto"/>
        <w:ind w:firstLine="567"/>
        <w:jc w:val="both"/>
        <w:rPr>
          <w:rFonts w:cstheme="minorHAnsi"/>
          <w:sz w:val="28"/>
          <w:szCs w:val="28"/>
        </w:rPr>
      </w:pPr>
      <w:r w:rsidRPr="00C960F5">
        <w:rPr>
          <w:rFonts w:cstheme="minorHAnsi"/>
          <w:sz w:val="28"/>
          <w:szCs w:val="28"/>
        </w:rPr>
        <w:t>W decyzji nie ustalono warunków i szczegółowych zasad zagospodarowania terenu oraz jego zabudowy wynikających z przepisów odrębnych – w zakresie ochrony środowiska i zdrowia ludzi oraz dziedzictwa kulturowego i zabytków oraz dóbr kultury współczesnej, a związanych z:</w:t>
      </w:r>
    </w:p>
    <w:p w14:paraId="45469C8B" w14:textId="77777777" w:rsidR="00C960F5" w:rsidRPr="00C960F5" w:rsidRDefault="00C960F5" w:rsidP="00C960F5">
      <w:pPr>
        <w:numPr>
          <w:ilvl w:val="0"/>
          <w:numId w:val="6"/>
        </w:numPr>
        <w:tabs>
          <w:tab w:val="left" w:pos="851"/>
        </w:tabs>
        <w:spacing w:after="120" w:line="240" w:lineRule="auto"/>
        <w:ind w:left="0" w:firstLine="567"/>
        <w:contextualSpacing/>
        <w:jc w:val="both"/>
        <w:rPr>
          <w:rFonts w:cstheme="minorHAnsi"/>
          <w:sz w:val="28"/>
          <w:szCs w:val="28"/>
        </w:rPr>
      </w:pPr>
      <w:r w:rsidRPr="00C960F5">
        <w:rPr>
          <w:rFonts w:cstheme="minorHAnsi"/>
          <w:sz w:val="28"/>
          <w:szCs w:val="28"/>
        </w:rPr>
        <w:t>występowaniem złóż kopalin oraz obecnych i przyszłych potrzeb eksploatacji tych złóż;</w:t>
      </w:r>
    </w:p>
    <w:p w14:paraId="40F05EFB" w14:textId="77777777" w:rsidR="00C960F5" w:rsidRPr="00C960F5" w:rsidRDefault="00C960F5" w:rsidP="00C960F5">
      <w:pPr>
        <w:numPr>
          <w:ilvl w:val="0"/>
          <w:numId w:val="6"/>
        </w:numPr>
        <w:tabs>
          <w:tab w:val="left" w:pos="851"/>
        </w:tabs>
        <w:spacing w:after="120" w:line="240" w:lineRule="auto"/>
        <w:ind w:left="0" w:firstLine="567"/>
        <w:contextualSpacing/>
        <w:jc w:val="both"/>
        <w:rPr>
          <w:rFonts w:cstheme="minorHAnsi"/>
          <w:sz w:val="28"/>
          <w:szCs w:val="28"/>
        </w:rPr>
      </w:pPr>
      <w:r w:rsidRPr="00C960F5">
        <w:rPr>
          <w:rFonts w:cstheme="minorHAnsi"/>
          <w:sz w:val="28"/>
          <w:szCs w:val="28"/>
        </w:rPr>
        <w:t>ochroną wód, gleby i ziemi przed zanieczyszczeniem w związku z prowadzeniem gospodarki rolnej;</w:t>
      </w:r>
    </w:p>
    <w:p w14:paraId="60789EE5" w14:textId="77777777" w:rsidR="00C960F5" w:rsidRPr="00C960F5" w:rsidRDefault="00C960F5" w:rsidP="00C960F5">
      <w:pPr>
        <w:numPr>
          <w:ilvl w:val="0"/>
          <w:numId w:val="6"/>
        </w:numPr>
        <w:tabs>
          <w:tab w:val="left" w:pos="851"/>
        </w:tabs>
        <w:spacing w:after="120" w:line="240" w:lineRule="auto"/>
        <w:ind w:left="0" w:firstLine="567"/>
        <w:contextualSpacing/>
        <w:jc w:val="both"/>
        <w:rPr>
          <w:rFonts w:cstheme="minorHAnsi"/>
          <w:sz w:val="28"/>
          <w:szCs w:val="28"/>
        </w:rPr>
      </w:pPr>
      <w:r w:rsidRPr="00C960F5">
        <w:rPr>
          <w:rFonts w:cstheme="minorHAnsi"/>
          <w:sz w:val="28"/>
          <w:szCs w:val="28"/>
        </w:rPr>
        <w:t>potrzebami w zakresie zapobiegania ruchom masowym ziemi i ich skutkom;</w:t>
      </w:r>
    </w:p>
    <w:p w14:paraId="0E749D9F" w14:textId="77777777" w:rsidR="00C960F5" w:rsidRPr="00C960F5" w:rsidRDefault="00C960F5" w:rsidP="00C960F5">
      <w:pPr>
        <w:numPr>
          <w:ilvl w:val="0"/>
          <w:numId w:val="6"/>
        </w:numPr>
        <w:tabs>
          <w:tab w:val="left" w:pos="851"/>
        </w:tabs>
        <w:spacing w:after="120" w:line="240" w:lineRule="auto"/>
        <w:ind w:left="0" w:firstLine="567"/>
        <w:contextualSpacing/>
        <w:jc w:val="both"/>
        <w:rPr>
          <w:rFonts w:cstheme="minorHAnsi"/>
          <w:sz w:val="28"/>
          <w:szCs w:val="28"/>
        </w:rPr>
      </w:pPr>
      <w:r w:rsidRPr="00C960F5">
        <w:rPr>
          <w:rFonts w:cstheme="minorHAnsi"/>
          <w:sz w:val="28"/>
          <w:szCs w:val="28"/>
        </w:rPr>
        <w:lastRenderedPageBreak/>
        <w:t>ograniczeniami wynikającymi z ustanowienia w trybie ustawy z dnia 16 kwietnia 2004 r. o ochronie przyrody (Dz. U. z 2023 r. poz. 1336, 1688 i 1890, z 2022 r. poz. 2375) form ochrony przyrody oraz ustaleń obowiązujących planów ochrony;</w:t>
      </w:r>
    </w:p>
    <w:p w14:paraId="2ACF9BDA" w14:textId="77777777" w:rsidR="00C960F5" w:rsidRPr="00C960F5" w:rsidRDefault="00C960F5" w:rsidP="00C960F5">
      <w:pPr>
        <w:numPr>
          <w:ilvl w:val="0"/>
          <w:numId w:val="6"/>
        </w:numPr>
        <w:tabs>
          <w:tab w:val="left" w:pos="851"/>
        </w:tabs>
        <w:spacing w:after="120" w:line="240" w:lineRule="auto"/>
        <w:ind w:left="0" w:firstLine="567"/>
        <w:contextualSpacing/>
        <w:jc w:val="both"/>
        <w:rPr>
          <w:rFonts w:cstheme="minorHAnsi"/>
          <w:sz w:val="28"/>
          <w:szCs w:val="28"/>
        </w:rPr>
      </w:pPr>
      <w:r w:rsidRPr="00C960F5">
        <w:rPr>
          <w:rFonts w:cstheme="minorHAnsi"/>
          <w:sz w:val="28"/>
          <w:szCs w:val="28"/>
        </w:rPr>
        <w:t>ograniczeniami wynikającymi z ustalenia w trybie przepisów ustawy z dnia 20 lipca 2017 r. – Prawo wodne (Dz. U. z 2023 r. poz. 1478, 1688, 1963, 1890 i 2029) warunków korzystania z wód regionu wodnego i zlewni oraz ustanowienia stref ochronnych ujęć wód, a także obszarów ochronnych zbiorników wód śródlądowych;</w:t>
      </w:r>
    </w:p>
    <w:p w14:paraId="799AD1C9" w14:textId="77777777" w:rsidR="00C960F5" w:rsidRPr="00C960F5" w:rsidRDefault="00C960F5" w:rsidP="00C960F5">
      <w:pPr>
        <w:numPr>
          <w:ilvl w:val="0"/>
          <w:numId w:val="6"/>
        </w:numPr>
        <w:tabs>
          <w:tab w:val="left" w:pos="851"/>
        </w:tabs>
        <w:spacing w:after="120" w:line="240" w:lineRule="auto"/>
        <w:ind w:left="0" w:firstLine="567"/>
        <w:contextualSpacing/>
        <w:jc w:val="both"/>
        <w:rPr>
          <w:rFonts w:cstheme="minorHAnsi"/>
          <w:sz w:val="28"/>
          <w:szCs w:val="28"/>
        </w:rPr>
      </w:pPr>
      <w:r w:rsidRPr="00C960F5">
        <w:rPr>
          <w:rFonts w:cstheme="minorHAnsi"/>
          <w:sz w:val="28"/>
          <w:szCs w:val="28"/>
        </w:rPr>
        <w:t>ograniczeniami w zabudowie i zagospodarowaniu terenu wynikających z lokalizacji terenu w strefie ochrony konserwatorskiej lub wykonywaniem robót budowlanych w budynku wpisanym do rejestru lub gminnej ewidencji zabytków,</w:t>
      </w:r>
    </w:p>
    <w:p w14:paraId="436EF2D2" w14:textId="77777777" w:rsidR="00C960F5" w:rsidRPr="00C960F5" w:rsidRDefault="00C960F5" w:rsidP="00C960F5">
      <w:pPr>
        <w:tabs>
          <w:tab w:val="left" w:pos="851"/>
        </w:tabs>
        <w:spacing w:after="120" w:line="240" w:lineRule="auto"/>
        <w:jc w:val="both"/>
        <w:rPr>
          <w:rFonts w:cstheme="minorHAnsi"/>
          <w:sz w:val="28"/>
          <w:szCs w:val="28"/>
        </w:rPr>
      </w:pPr>
      <w:r w:rsidRPr="00C960F5">
        <w:rPr>
          <w:rFonts w:cstheme="minorHAnsi"/>
          <w:sz w:val="28"/>
          <w:szCs w:val="28"/>
        </w:rPr>
        <w:t>oraz ochroną obiektów budowlanych na terenach górniczych, w zakresie granic i sposobów zagospodarowania terenów lub obiektów podlegających ochronie, ustalonych na podstawie odrębnych przepisów, w tym terenów górniczych, a także narażonych na niebezpieczeństwo powodzi oraz zagrożonych osuwaniem się mas ziemnych,</w:t>
      </w:r>
    </w:p>
    <w:p w14:paraId="12664439" w14:textId="77777777" w:rsidR="00C960F5" w:rsidRPr="00C960F5" w:rsidRDefault="00C960F5" w:rsidP="00C960F5">
      <w:pPr>
        <w:widowControl w:val="0"/>
        <w:tabs>
          <w:tab w:val="left" w:pos="993"/>
        </w:tabs>
        <w:autoSpaceDE w:val="0"/>
        <w:spacing w:after="120" w:line="240" w:lineRule="auto"/>
        <w:jc w:val="both"/>
        <w:rPr>
          <w:rFonts w:cstheme="minorHAnsi"/>
          <w:sz w:val="28"/>
          <w:szCs w:val="28"/>
        </w:rPr>
      </w:pPr>
      <w:r w:rsidRPr="00C960F5">
        <w:rPr>
          <w:rFonts w:cstheme="minorHAnsi"/>
          <w:sz w:val="28"/>
          <w:szCs w:val="28"/>
        </w:rPr>
        <w:t>ponieważ nie wynikały z nich żadne nakazy, zakazy i ograniczenia w zagospodarowaniu przedmiotowego terenu.</w:t>
      </w:r>
    </w:p>
    <w:p w14:paraId="785401B1" w14:textId="77777777" w:rsidR="00C960F5" w:rsidRPr="00C960F5" w:rsidRDefault="00C960F5" w:rsidP="00C960F5">
      <w:pPr>
        <w:spacing w:after="120" w:line="240" w:lineRule="auto"/>
        <w:ind w:firstLine="567"/>
        <w:jc w:val="both"/>
        <w:rPr>
          <w:rFonts w:cstheme="minorHAnsi"/>
          <w:sz w:val="28"/>
          <w:szCs w:val="28"/>
        </w:rPr>
      </w:pPr>
      <w:r w:rsidRPr="00C960F5">
        <w:rPr>
          <w:rFonts w:cstheme="minorHAnsi"/>
          <w:sz w:val="28"/>
          <w:szCs w:val="28"/>
        </w:rPr>
        <w:t>Wydanie decyzji o warunkach zabudowy jest możliwe jedynie w przypadku łącznego spełnienia warunków, o których mowa w art. 61 ust. 1 u.p.z.p., a mianowicie:</w:t>
      </w:r>
    </w:p>
    <w:p w14:paraId="49D1CBFA" w14:textId="77777777" w:rsidR="00C960F5" w:rsidRPr="00C960F5" w:rsidRDefault="00C960F5" w:rsidP="00C960F5">
      <w:pPr>
        <w:numPr>
          <w:ilvl w:val="0"/>
          <w:numId w:val="15"/>
        </w:numPr>
        <w:tabs>
          <w:tab w:val="left" w:pos="851"/>
        </w:tabs>
        <w:spacing w:after="120" w:line="240" w:lineRule="auto"/>
        <w:ind w:left="0" w:firstLine="567"/>
        <w:contextualSpacing/>
        <w:jc w:val="both"/>
        <w:rPr>
          <w:rFonts w:cstheme="minorHAnsi"/>
          <w:sz w:val="28"/>
          <w:szCs w:val="28"/>
        </w:rPr>
      </w:pPr>
      <w:r w:rsidRPr="00C960F5">
        <w:rPr>
          <w:rFonts w:cstheme="minorHAnsi"/>
          <w:sz w:val="28"/>
          <w:szCs w:val="28"/>
        </w:rPr>
        <w:t>co najmniej jedna działka sąsiednia, dostępna z tej samej drogi publicznej, jest zabudowana w sposób pozwalający na określenie wymagań dotyczących nowej zabudowy w zakresie kontynuacji parametrów, cech i wskaźników kształtowania zabudowy oraz zagospodarowania terenu, w tym gabarytów i formy architektonicznej obiektów budowlanych, linii zabudowy oraz intensywności wykorzystania terenu;</w:t>
      </w:r>
    </w:p>
    <w:p w14:paraId="108B0639" w14:textId="77777777" w:rsidR="00C960F5" w:rsidRPr="00C960F5" w:rsidRDefault="00C960F5" w:rsidP="00C960F5">
      <w:pPr>
        <w:numPr>
          <w:ilvl w:val="0"/>
          <w:numId w:val="15"/>
        </w:numPr>
        <w:tabs>
          <w:tab w:val="left" w:pos="851"/>
        </w:tabs>
        <w:spacing w:after="120" w:line="240" w:lineRule="auto"/>
        <w:ind w:left="0" w:firstLine="567"/>
        <w:contextualSpacing/>
        <w:jc w:val="both"/>
        <w:rPr>
          <w:rFonts w:cstheme="minorHAnsi"/>
          <w:sz w:val="28"/>
          <w:szCs w:val="28"/>
        </w:rPr>
      </w:pPr>
      <w:r w:rsidRPr="00C960F5">
        <w:rPr>
          <w:rFonts w:cstheme="minorHAnsi"/>
          <w:sz w:val="28"/>
          <w:szCs w:val="28"/>
        </w:rPr>
        <w:t>teren ma dostęp do drogi publicznej rozumiany jako bezpośredni dostęp do tej drogi albo dostęp do niej przez drogę wewnętrzną lub przez ustanowienie odpowiedniej służebności drogowej;</w:t>
      </w:r>
    </w:p>
    <w:p w14:paraId="407A685D" w14:textId="77777777" w:rsidR="00C960F5" w:rsidRDefault="00C960F5" w:rsidP="00C960F5">
      <w:pPr>
        <w:numPr>
          <w:ilvl w:val="0"/>
          <w:numId w:val="15"/>
        </w:numPr>
        <w:tabs>
          <w:tab w:val="left" w:pos="851"/>
        </w:tabs>
        <w:spacing w:after="120" w:line="240" w:lineRule="auto"/>
        <w:ind w:left="0" w:firstLine="567"/>
        <w:contextualSpacing/>
        <w:jc w:val="both"/>
        <w:rPr>
          <w:rFonts w:cstheme="minorHAnsi"/>
          <w:sz w:val="28"/>
          <w:szCs w:val="28"/>
        </w:rPr>
      </w:pPr>
      <w:r w:rsidRPr="00C960F5">
        <w:rPr>
          <w:rFonts w:cstheme="minorHAnsi"/>
          <w:sz w:val="28"/>
          <w:szCs w:val="28"/>
        </w:rPr>
        <w:t>istniejące lub projektowane uzbrojenie terenu jest wystarczające dla zamierzenia budowlanego, przy czym warunek uznaje się za spełniony, jeżeli wykonanie uzbrojenia terenu zostanie zagwarantowane w drodze umowy zawartej między właściwą jednostką organizacyjną a inwestorem;</w:t>
      </w:r>
    </w:p>
    <w:p w14:paraId="698B85F0" w14:textId="77777777" w:rsidR="00C960F5" w:rsidRDefault="00C960F5" w:rsidP="00C960F5">
      <w:pPr>
        <w:tabs>
          <w:tab w:val="left" w:pos="851"/>
        </w:tabs>
        <w:spacing w:after="120" w:line="240" w:lineRule="auto"/>
        <w:contextualSpacing/>
        <w:jc w:val="both"/>
        <w:rPr>
          <w:rFonts w:cstheme="minorHAnsi"/>
          <w:sz w:val="28"/>
          <w:szCs w:val="28"/>
        </w:rPr>
      </w:pPr>
    </w:p>
    <w:p w14:paraId="58AE3422" w14:textId="77777777" w:rsidR="00C960F5" w:rsidRPr="00C960F5" w:rsidRDefault="00C960F5" w:rsidP="00C960F5">
      <w:pPr>
        <w:tabs>
          <w:tab w:val="left" w:pos="851"/>
        </w:tabs>
        <w:spacing w:after="120" w:line="240" w:lineRule="auto"/>
        <w:contextualSpacing/>
        <w:jc w:val="both"/>
        <w:rPr>
          <w:rFonts w:cstheme="minorHAnsi"/>
          <w:sz w:val="28"/>
          <w:szCs w:val="28"/>
        </w:rPr>
      </w:pPr>
    </w:p>
    <w:p w14:paraId="33027F58" w14:textId="77777777" w:rsidR="00C960F5" w:rsidRPr="00C960F5" w:rsidRDefault="00C960F5" w:rsidP="00C960F5">
      <w:pPr>
        <w:numPr>
          <w:ilvl w:val="0"/>
          <w:numId w:val="15"/>
        </w:numPr>
        <w:tabs>
          <w:tab w:val="left" w:pos="851"/>
        </w:tabs>
        <w:spacing w:after="120" w:line="240" w:lineRule="auto"/>
        <w:ind w:left="0" w:firstLine="567"/>
        <w:contextualSpacing/>
        <w:jc w:val="both"/>
        <w:rPr>
          <w:rFonts w:cstheme="minorHAnsi"/>
          <w:sz w:val="28"/>
          <w:szCs w:val="28"/>
        </w:rPr>
      </w:pPr>
      <w:r w:rsidRPr="00C960F5">
        <w:rPr>
          <w:rFonts w:cstheme="minorHAnsi"/>
          <w:sz w:val="28"/>
          <w:szCs w:val="28"/>
        </w:rPr>
        <w:lastRenderedPageBreak/>
        <w:t>teren nie wymaga uzyskania zgody na zmianę przeznaczenia gruntów rolnych i leśnych na cele nierolnicze i nieleśne albo jest objęty zgodą uzyskaną przy sporządzaniu miejscowych planów, które utraciły moc na podstawie art. 67 ustawy, o której mowa w art. 88 ust. 1;</w:t>
      </w:r>
    </w:p>
    <w:p w14:paraId="01DC185B" w14:textId="77777777" w:rsidR="00C960F5" w:rsidRPr="00C960F5" w:rsidRDefault="00C960F5" w:rsidP="00C960F5">
      <w:pPr>
        <w:numPr>
          <w:ilvl w:val="0"/>
          <w:numId w:val="15"/>
        </w:numPr>
        <w:tabs>
          <w:tab w:val="left" w:pos="851"/>
        </w:tabs>
        <w:spacing w:after="120" w:line="240" w:lineRule="auto"/>
        <w:ind w:left="0" w:firstLine="567"/>
        <w:contextualSpacing/>
        <w:jc w:val="both"/>
        <w:rPr>
          <w:rFonts w:cstheme="minorHAnsi"/>
          <w:sz w:val="28"/>
          <w:szCs w:val="28"/>
        </w:rPr>
      </w:pPr>
      <w:r w:rsidRPr="00C960F5">
        <w:rPr>
          <w:rFonts w:cstheme="minorHAnsi"/>
          <w:sz w:val="28"/>
          <w:szCs w:val="28"/>
        </w:rPr>
        <w:t>decyzja jest zgodna z przepisami odrębnymi;</w:t>
      </w:r>
    </w:p>
    <w:p w14:paraId="739F162D" w14:textId="77777777" w:rsidR="00C960F5" w:rsidRPr="00C960F5" w:rsidRDefault="00C960F5" w:rsidP="00C960F5">
      <w:pPr>
        <w:numPr>
          <w:ilvl w:val="0"/>
          <w:numId w:val="15"/>
        </w:numPr>
        <w:tabs>
          <w:tab w:val="left" w:pos="851"/>
        </w:tabs>
        <w:spacing w:after="120" w:line="240" w:lineRule="auto"/>
        <w:ind w:left="0" w:firstLine="567"/>
        <w:contextualSpacing/>
        <w:jc w:val="both"/>
        <w:rPr>
          <w:rFonts w:cstheme="minorHAnsi"/>
          <w:sz w:val="28"/>
          <w:szCs w:val="28"/>
        </w:rPr>
      </w:pPr>
      <w:r w:rsidRPr="00C960F5">
        <w:rPr>
          <w:rFonts w:cstheme="minorHAnsi"/>
          <w:sz w:val="28"/>
          <w:szCs w:val="28"/>
          <w:shd w:val="clear" w:color="auto" w:fill="FFFFFF"/>
        </w:rPr>
        <w:t>zamierzenie budowlane nie znajdzie się w obszarze</w:t>
      </w:r>
      <w:r w:rsidRPr="00C960F5">
        <w:rPr>
          <w:rFonts w:cstheme="minorHAnsi"/>
          <w:sz w:val="28"/>
          <w:szCs w:val="28"/>
          <w:lang w:eastAsia="pl-PL"/>
        </w:rPr>
        <w:t xml:space="preserve">: </w:t>
      </w:r>
    </w:p>
    <w:p w14:paraId="3922A241" w14:textId="77777777" w:rsidR="00C960F5" w:rsidRPr="00C960F5" w:rsidRDefault="00C960F5" w:rsidP="00C960F5">
      <w:pPr>
        <w:numPr>
          <w:ilvl w:val="0"/>
          <w:numId w:val="11"/>
        </w:numPr>
        <w:tabs>
          <w:tab w:val="left" w:pos="1134"/>
        </w:tabs>
        <w:spacing w:after="120" w:line="240" w:lineRule="auto"/>
        <w:ind w:left="1134"/>
        <w:contextualSpacing/>
        <w:jc w:val="both"/>
        <w:rPr>
          <w:rFonts w:cstheme="minorHAnsi"/>
          <w:sz w:val="28"/>
          <w:szCs w:val="28"/>
        </w:rPr>
      </w:pPr>
      <w:r w:rsidRPr="00C960F5">
        <w:rPr>
          <w:rFonts w:cstheme="minorHAnsi"/>
          <w:sz w:val="28"/>
          <w:szCs w:val="28"/>
        </w:rPr>
        <w:t>w stosunku do którego decyzją o ustaleniu lokalizacji strategicznej inwestycji w zakresie sieci przesyłowej, o której mowa w art. 5 ust. 1 ustawy z dnia 24 lipca 2015 r. o przygotowaniu i realizacji strategicznych inwestycji w zakresie sieci przesyłowych (Dz. U. z 2023 r. poz. 1680, 1506, 1688 i 2029), ustanowiony został zakaz, o którym mowa w art. 22 ust. 2 pkt 1 tej ustawy,</w:t>
      </w:r>
    </w:p>
    <w:p w14:paraId="00B7635F" w14:textId="77777777" w:rsidR="00C960F5" w:rsidRPr="00C960F5" w:rsidRDefault="00C960F5" w:rsidP="00C960F5">
      <w:pPr>
        <w:numPr>
          <w:ilvl w:val="0"/>
          <w:numId w:val="11"/>
        </w:numPr>
        <w:tabs>
          <w:tab w:val="left" w:pos="1134"/>
        </w:tabs>
        <w:spacing w:after="120" w:line="240" w:lineRule="auto"/>
        <w:ind w:left="1134"/>
        <w:contextualSpacing/>
        <w:jc w:val="both"/>
        <w:rPr>
          <w:rFonts w:cstheme="minorHAnsi"/>
          <w:sz w:val="28"/>
          <w:szCs w:val="28"/>
        </w:rPr>
      </w:pPr>
      <w:r w:rsidRPr="00C960F5">
        <w:rPr>
          <w:rFonts w:cstheme="minorHAnsi"/>
          <w:sz w:val="28"/>
          <w:szCs w:val="28"/>
          <w:lang w:eastAsia="pl-PL"/>
        </w:rPr>
        <w:t>strefy kontrolowanej wyznaczonej po obu stronach gazociągu, o którym mowa w art. 53 ust. 5e pkt 2 u.p.z.p.,</w:t>
      </w:r>
    </w:p>
    <w:p w14:paraId="166BD921" w14:textId="77777777" w:rsidR="00C960F5" w:rsidRPr="00C960F5" w:rsidRDefault="00C960F5" w:rsidP="00C960F5">
      <w:pPr>
        <w:numPr>
          <w:ilvl w:val="0"/>
          <w:numId w:val="11"/>
        </w:numPr>
        <w:tabs>
          <w:tab w:val="left" w:pos="1134"/>
        </w:tabs>
        <w:spacing w:after="120" w:line="240" w:lineRule="auto"/>
        <w:ind w:left="1134"/>
        <w:contextualSpacing/>
        <w:jc w:val="both"/>
        <w:rPr>
          <w:rFonts w:cstheme="minorHAnsi"/>
          <w:sz w:val="28"/>
          <w:szCs w:val="28"/>
        </w:rPr>
      </w:pPr>
      <w:r w:rsidRPr="00C960F5">
        <w:rPr>
          <w:rFonts w:cstheme="minorHAnsi"/>
          <w:sz w:val="28"/>
          <w:szCs w:val="28"/>
          <w:lang w:eastAsia="pl-PL"/>
        </w:rPr>
        <w:t>strefy bezpieczeństwa wyznaczonej po obu stronach rurociągu.</w:t>
      </w:r>
    </w:p>
    <w:p w14:paraId="42758182" w14:textId="77777777" w:rsidR="00C960F5" w:rsidRPr="00C960F5" w:rsidRDefault="00C960F5" w:rsidP="00C960F5">
      <w:pPr>
        <w:tabs>
          <w:tab w:val="left" w:pos="993"/>
        </w:tabs>
        <w:spacing w:after="120" w:line="240" w:lineRule="auto"/>
        <w:ind w:firstLine="567"/>
        <w:jc w:val="both"/>
        <w:rPr>
          <w:sz w:val="28"/>
        </w:rPr>
      </w:pPr>
      <w:r w:rsidRPr="00C960F5">
        <w:rPr>
          <w:rFonts w:cs="Times New Roman"/>
          <w:sz w:val="28"/>
          <w:szCs w:val="28"/>
        </w:rPr>
        <w:t>Stosownie do art. 61 ust. 5a u.p.z.p. Burmistrz Śremu wyz</w:t>
      </w:r>
      <w:r w:rsidRPr="00C960F5">
        <w:rPr>
          <w:sz w:val="28"/>
        </w:rPr>
        <w:t>naczył wokół działki budowlanej, której dotyczy wniosek o ustalenie warunków zabudowy, obszar analizowany i przeprowadził na nim analizę funkcji oraz cech zabudowy i zagospodarowania terenu w zakresie warunków, o których mowa w art. 61 ust. 1 – 5 u.p.z.p.</w:t>
      </w:r>
    </w:p>
    <w:p w14:paraId="30F63840" w14:textId="77777777" w:rsidR="00C960F5" w:rsidRPr="00C960F5" w:rsidRDefault="00C960F5" w:rsidP="00C960F5">
      <w:pPr>
        <w:tabs>
          <w:tab w:val="left" w:pos="993"/>
        </w:tabs>
        <w:spacing w:after="120" w:line="240" w:lineRule="auto"/>
        <w:ind w:firstLine="567"/>
        <w:jc w:val="both"/>
        <w:rPr>
          <w:sz w:val="28"/>
        </w:rPr>
      </w:pPr>
      <w:r w:rsidRPr="00C960F5">
        <w:rPr>
          <w:rFonts w:cstheme="minorHAnsi"/>
          <w:sz w:val="28"/>
        </w:rPr>
        <w:t xml:space="preserve">Front terenu objętego wnioskiem przylega do ul. Wspólnej (działki o nr ewid.  1, obręb Luciny) i wynosi ca 75,6 m. Trzykrotna szerokość frontu terenu objętego wnioskiem wynosi 226,8 m, czyli nie mniej niż 50 m. </w:t>
      </w:r>
    </w:p>
    <w:p w14:paraId="70D8AD23" w14:textId="77777777" w:rsidR="00C960F5" w:rsidRPr="00C960F5" w:rsidRDefault="00C960F5" w:rsidP="00C960F5">
      <w:pPr>
        <w:tabs>
          <w:tab w:val="left" w:pos="993"/>
        </w:tabs>
        <w:spacing w:after="120" w:line="240" w:lineRule="auto"/>
        <w:ind w:firstLine="567"/>
        <w:jc w:val="both"/>
        <w:rPr>
          <w:sz w:val="28"/>
        </w:rPr>
      </w:pPr>
      <w:r w:rsidRPr="00C960F5">
        <w:rPr>
          <w:rFonts w:cstheme="minorHAnsi"/>
          <w:sz w:val="28"/>
        </w:rPr>
        <w:t>Granice obszaru analizowanego wyznaczone zostały w następujący sposób: w odległości wynoszącej 226,8 m, wokół terenu objętego wnioskiem, spełniając tym samym wymóg, o którym mowa w art. 61 ust. 5a u.p.z.p. Sposób wyznaczenia granic obszaru analizowanego został przedstawiony w formie graficznej, stanowiącej załącznik nr 1 do analizy i załącznik nr 3 do decyzji.</w:t>
      </w:r>
    </w:p>
    <w:p w14:paraId="43771944" w14:textId="77777777" w:rsidR="00C960F5" w:rsidRPr="00C960F5" w:rsidRDefault="00C960F5" w:rsidP="00C960F5">
      <w:pPr>
        <w:tabs>
          <w:tab w:val="left" w:pos="993"/>
        </w:tabs>
        <w:spacing w:after="120" w:line="240" w:lineRule="auto"/>
        <w:ind w:firstLine="567"/>
        <w:jc w:val="both"/>
        <w:rPr>
          <w:sz w:val="28"/>
        </w:rPr>
      </w:pPr>
      <w:r w:rsidRPr="00C960F5">
        <w:rPr>
          <w:rFonts w:cstheme="minorHAnsi"/>
          <w:sz w:val="28"/>
        </w:rPr>
        <w:t>Wyznaczając granice obszaru analizowanego Burmistrz Śremu ograniczył się do zastosowania odległości standardowej, zgodnie z regułą opisaną powyżej, gdyż wielkość tego obszaru jest wystarczająca dla zadośćuczynienia ustawowemu wymogowi zachowania ładu przestrzennego i tej zasadzie służy.</w:t>
      </w:r>
    </w:p>
    <w:p w14:paraId="4B1121CA" w14:textId="77777777" w:rsidR="00C960F5" w:rsidRPr="00C960F5" w:rsidRDefault="00C960F5" w:rsidP="00C960F5">
      <w:pPr>
        <w:tabs>
          <w:tab w:val="left" w:pos="993"/>
        </w:tabs>
        <w:spacing w:after="120" w:line="240" w:lineRule="auto"/>
        <w:ind w:firstLine="567"/>
        <w:jc w:val="both"/>
        <w:rPr>
          <w:rFonts w:cstheme="minorHAnsi"/>
          <w:color w:val="FF0000"/>
          <w:sz w:val="28"/>
          <w:szCs w:val="28"/>
        </w:rPr>
      </w:pPr>
      <w:r w:rsidRPr="00C960F5">
        <w:rPr>
          <w:rFonts w:cstheme="minorHAnsi"/>
          <w:sz w:val="28"/>
          <w:szCs w:val="28"/>
        </w:rPr>
        <w:t xml:space="preserve">W tak wyznaczonym obszarze analizowanym znajdują się działki zabudowane, które pozwoliły na ustalenie wymagań dla nowej zabudowy, zgodnie z zasadą określoną w art. 61 ust. 1 pkt 1 u.p.z.p. </w:t>
      </w:r>
    </w:p>
    <w:p w14:paraId="6B4A2549" w14:textId="77777777" w:rsidR="00C960F5" w:rsidRPr="00C960F5" w:rsidRDefault="00C960F5" w:rsidP="00C960F5">
      <w:pPr>
        <w:tabs>
          <w:tab w:val="left" w:pos="993"/>
        </w:tabs>
        <w:spacing w:after="120" w:line="240" w:lineRule="auto"/>
        <w:ind w:firstLine="567"/>
        <w:jc w:val="both"/>
        <w:rPr>
          <w:rFonts w:cstheme="minorHAnsi"/>
          <w:sz w:val="28"/>
          <w:szCs w:val="28"/>
        </w:rPr>
      </w:pPr>
      <w:r w:rsidRPr="00C960F5">
        <w:rPr>
          <w:rFonts w:cstheme="minorHAnsi"/>
          <w:sz w:val="28"/>
          <w:szCs w:val="28"/>
        </w:rPr>
        <w:lastRenderedPageBreak/>
        <w:t>Analiza warunków, o których mowa w art. 61 ust. 1 u.p.z.p. dokonana w trakcie prowadzonego postępowania potwierdziła, że zostały</w:t>
      </w:r>
      <w:r w:rsidRPr="00C960F5">
        <w:rPr>
          <w:rFonts w:cstheme="minorHAnsi"/>
          <w:b/>
          <w:bCs/>
          <w:sz w:val="28"/>
          <w:szCs w:val="28"/>
        </w:rPr>
        <w:t xml:space="preserve"> </w:t>
      </w:r>
      <w:r w:rsidRPr="00C960F5">
        <w:rPr>
          <w:rFonts w:cstheme="minorHAnsi"/>
          <w:sz w:val="28"/>
          <w:szCs w:val="28"/>
        </w:rPr>
        <w:t>one spełnione, bowiem:</w:t>
      </w:r>
    </w:p>
    <w:p w14:paraId="168558BC" w14:textId="77777777" w:rsidR="00C960F5" w:rsidRPr="00C960F5" w:rsidRDefault="00C960F5" w:rsidP="00C960F5">
      <w:pPr>
        <w:numPr>
          <w:ilvl w:val="0"/>
          <w:numId w:val="16"/>
        </w:numPr>
        <w:tabs>
          <w:tab w:val="left" w:pos="993"/>
        </w:tabs>
        <w:spacing w:after="120" w:line="240" w:lineRule="auto"/>
        <w:ind w:left="0" w:firstLine="567"/>
        <w:contextualSpacing/>
        <w:jc w:val="both"/>
        <w:rPr>
          <w:rFonts w:cstheme="minorHAnsi"/>
          <w:sz w:val="28"/>
          <w:szCs w:val="28"/>
        </w:rPr>
      </w:pPr>
      <w:r w:rsidRPr="00C960F5">
        <w:rPr>
          <w:rFonts w:cstheme="minorHAnsi"/>
          <w:sz w:val="28"/>
          <w:szCs w:val="28"/>
        </w:rPr>
        <w:t>zabudowa działek sąsiednich, które wraz z terenem planowanej inwestycji tworzą urbanistyczną całość (działki o nr ewid.: 425/1; 425/2; 425/3; 425/4; 425/5; 425/6; 425/7; 425/8; 425/9; 425/10; 425/11; 425/12; 425/14; 425/15; 425/16; 425/17; 425/18; 425/19; 425/20; 425/21; 425/22; 425/23; 425/24; 425/25; 208/2; 208/1, 209/4; 209/3; 209/2; 209/1; 211/3; 211/2; 212/1, 211/1; 423/1; 10/5; 10/4; 10/3; 10/2; 10/1; 11/1; 11/2; 422/10; 422/11; 422/13; 422/12; 422/15; 422/16; 422/18; 422/17; 422/20; 11/5; 422/1; 422/4; 422/7; 422/8; 422/9; 13/4; 13/3; 13/31; 13/32; 13/5, 13/6; 13/21, 13/33; 13/36, 13/38; 13/34; 13/40; 13/8; 13/35), pozwala na określenie wymagań dla nowej zabudowy pod względem kontynuacji funkcji oraz parametrów i cech zabudowy. Działki o nr ewid.: 208/1, 209/4; 212/1, 211/1; 13/5, 13/6; 13/21, 13/33; 13/36, 13/38 zostały połączone z uwagi na tego samego właściciela tych terenów;</w:t>
      </w:r>
    </w:p>
    <w:p w14:paraId="14A9D77A" w14:textId="77777777" w:rsidR="00C960F5" w:rsidRPr="00C960F5" w:rsidRDefault="00C960F5" w:rsidP="00C960F5">
      <w:pPr>
        <w:numPr>
          <w:ilvl w:val="0"/>
          <w:numId w:val="16"/>
        </w:numPr>
        <w:tabs>
          <w:tab w:val="left" w:pos="993"/>
        </w:tabs>
        <w:spacing w:after="120" w:line="240" w:lineRule="auto"/>
        <w:ind w:left="0" w:firstLine="567"/>
        <w:contextualSpacing/>
        <w:jc w:val="both"/>
        <w:rPr>
          <w:rFonts w:cstheme="minorHAnsi"/>
          <w:sz w:val="28"/>
          <w:szCs w:val="28"/>
        </w:rPr>
      </w:pPr>
      <w:r w:rsidRPr="00C960F5">
        <w:rPr>
          <w:rFonts w:cstheme="minorHAnsi"/>
          <w:sz w:val="28"/>
          <w:szCs w:val="28"/>
        </w:rPr>
        <w:t>teren objęty wnioskiem ma zapewniony bez</w:t>
      </w:r>
      <w:r w:rsidRPr="00C960F5">
        <w:rPr>
          <w:rFonts w:cstheme="minorHAnsi"/>
          <w:sz w:val="28"/>
        </w:rPr>
        <w:t>pośredni dostęp do drogi powiatowej – ul. Wspólnej, jednak dla nowo wydzielanych działek budowlanych z terenów: A, B, C, dostęp zostanie zapewniony w sposób pośredni za</w:t>
      </w:r>
      <w:r w:rsidRPr="00C960F5">
        <w:rPr>
          <w:rFonts w:eastAsia="Times New Roman" w:cstheme="minorHAnsi"/>
          <w:sz w:val="28"/>
          <w:lang w:eastAsia="pl-PL"/>
        </w:rPr>
        <w:t xml:space="preserve"> pomocą projektowanej drogi wewnętrznej, stanowiącej teren oznaczony symbolem D i działkę o nr ewid. 10/6, obręb Luciny – ul. Jarzębinową</w:t>
      </w:r>
      <w:r w:rsidRPr="00C960F5">
        <w:rPr>
          <w:rFonts w:cstheme="minorHAnsi"/>
          <w:sz w:val="28"/>
          <w:szCs w:val="28"/>
        </w:rPr>
        <w:t>;</w:t>
      </w:r>
    </w:p>
    <w:p w14:paraId="52BC191E" w14:textId="77777777" w:rsidR="00C960F5" w:rsidRPr="00C960F5" w:rsidRDefault="00C960F5" w:rsidP="00C960F5">
      <w:pPr>
        <w:numPr>
          <w:ilvl w:val="0"/>
          <w:numId w:val="16"/>
        </w:numPr>
        <w:tabs>
          <w:tab w:val="left" w:pos="993"/>
        </w:tabs>
        <w:spacing w:after="120" w:line="240" w:lineRule="auto"/>
        <w:ind w:left="0" w:firstLine="567"/>
        <w:contextualSpacing/>
        <w:jc w:val="both"/>
        <w:rPr>
          <w:rFonts w:cstheme="minorHAnsi"/>
          <w:sz w:val="28"/>
          <w:szCs w:val="28"/>
        </w:rPr>
      </w:pPr>
      <w:r w:rsidRPr="00C960F5">
        <w:rPr>
          <w:rFonts w:cstheme="minorHAnsi"/>
          <w:sz w:val="28"/>
          <w:szCs w:val="28"/>
        </w:rPr>
        <w:t>istniejące (część planowanych budynków zostanie podłączona do sieci wodociągowej i sieci kanalizacji sanitarnej) i projektowane (dla części planowanych budynków zostaną wybudowane studnie do poboru wody pitnej – opinia hydrogeologiczna sporządzona przez uprawnionego geologa w aktach sprawy oraz przydomowe oczyszczalnie ścieków lub bezodpływowe zbiorniki na nieczystości, sieć elektroenergetyczna) uzbrojenie terenu jest wystarczające dla zamierzenia budowlanego;</w:t>
      </w:r>
    </w:p>
    <w:p w14:paraId="151C7DC6" w14:textId="77777777" w:rsidR="00C960F5" w:rsidRPr="00C960F5" w:rsidRDefault="00C960F5" w:rsidP="00C960F5">
      <w:pPr>
        <w:numPr>
          <w:ilvl w:val="0"/>
          <w:numId w:val="16"/>
        </w:numPr>
        <w:tabs>
          <w:tab w:val="left" w:pos="993"/>
        </w:tabs>
        <w:spacing w:after="120" w:line="240" w:lineRule="auto"/>
        <w:ind w:left="0" w:firstLine="567"/>
        <w:contextualSpacing/>
        <w:jc w:val="both"/>
        <w:rPr>
          <w:rFonts w:cstheme="minorHAnsi"/>
          <w:sz w:val="28"/>
          <w:szCs w:val="28"/>
        </w:rPr>
      </w:pPr>
      <w:r w:rsidRPr="00C960F5">
        <w:rPr>
          <w:rFonts w:cstheme="minorHAnsi"/>
          <w:sz w:val="28"/>
          <w:szCs w:val="28"/>
        </w:rPr>
        <w:t>teren inwestycji nie wymaga uzyskania zgody na zmianę przeznaczenia gruntów rolnych i leśnych na cele nierolnicze i nieleśne, bowiem inwestycja planowana jest na działkach, która zgodnie z ewidencją gruntów i budynków prowadzoną przez Starostę Śremskiego stanowi grunty orne RIVa, RIVb, RV, RVI, które nie wymagają uzyskania zgody na przeznaczenie na cele nierolnicze i nieleśne;</w:t>
      </w:r>
    </w:p>
    <w:p w14:paraId="0111E1A9" w14:textId="77777777" w:rsidR="00C960F5" w:rsidRPr="00C960F5" w:rsidRDefault="00C960F5" w:rsidP="00C960F5">
      <w:pPr>
        <w:numPr>
          <w:ilvl w:val="0"/>
          <w:numId w:val="16"/>
        </w:numPr>
        <w:tabs>
          <w:tab w:val="left" w:pos="993"/>
        </w:tabs>
        <w:spacing w:after="120" w:line="240" w:lineRule="auto"/>
        <w:ind w:left="0" w:firstLine="567"/>
        <w:contextualSpacing/>
        <w:jc w:val="both"/>
        <w:rPr>
          <w:rFonts w:cstheme="minorHAnsi"/>
          <w:sz w:val="28"/>
          <w:szCs w:val="28"/>
        </w:rPr>
      </w:pPr>
      <w:r w:rsidRPr="00C960F5">
        <w:rPr>
          <w:rFonts w:cstheme="minorHAnsi"/>
          <w:sz w:val="28"/>
          <w:szCs w:val="28"/>
        </w:rPr>
        <w:t>decyzja jest zgodna z przepisami odrębnymi;</w:t>
      </w:r>
    </w:p>
    <w:p w14:paraId="260AC3DF" w14:textId="77777777" w:rsidR="00C960F5" w:rsidRPr="00C960F5" w:rsidRDefault="00C960F5" w:rsidP="00C960F5">
      <w:pPr>
        <w:tabs>
          <w:tab w:val="left" w:pos="993"/>
        </w:tabs>
        <w:spacing w:after="120" w:line="240" w:lineRule="auto"/>
        <w:ind w:left="567"/>
        <w:contextualSpacing/>
        <w:jc w:val="both"/>
        <w:rPr>
          <w:rFonts w:cstheme="minorHAnsi"/>
          <w:sz w:val="28"/>
          <w:szCs w:val="28"/>
        </w:rPr>
      </w:pPr>
    </w:p>
    <w:p w14:paraId="060913B0" w14:textId="77777777" w:rsidR="00C960F5" w:rsidRPr="00C960F5" w:rsidRDefault="00C960F5" w:rsidP="00C960F5">
      <w:pPr>
        <w:tabs>
          <w:tab w:val="left" w:pos="993"/>
        </w:tabs>
        <w:spacing w:after="120" w:line="240" w:lineRule="auto"/>
        <w:ind w:left="567"/>
        <w:contextualSpacing/>
        <w:jc w:val="both"/>
        <w:rPr>
          <w:rFonts w:cstheme="minorHAnsi"/>
          <w:sz w:val="28"/>
          <w:szCs w:val="28"/>
        </w:rPr>
      </w:pPr>
    </w:p>
    <w:p w14:paraId="25450578" w14:textId="77777777" w:rsidR="00C960F5" w:rsidRPr="00C960F5" w:rsidRDefault="00C960F5" w:rsidP="00C960F5">
      <w:pPr>
        <w:tabs>
          <w:tab w:val="left" w:pos="993"/>
        </w:tabs>
        <w:spacing w:after="120" w:line="240" w:lineRule="auto"/>
        <w:jc w:val="both"/>
        <w:rPr>
          <w:rFonts w:cstheme="minorHAnsi"/>
          <w:sz w:val="28"/>
          <w:szCs w:val="28"/>
        </w:rPr>
      </w:pPr>
    </w:p>
    <w:p w14:paraId="63EF831A" w14:textId="77777777" w:rsidR="00C960F5" w:rsidRPr="00C960F5" w:rsidRDefault="00C960F5" w:rsidP="00C960F5">
      <w:pPr>
        <w:numPr>
          <w:ilvl w:val="0"/>
          <w:numId w:val="16"/>
        </w:numPr>
        <w:tabs>
          <w:tab w:val="left" w:pos="993"/>
        </w:tabs>
        <w:spacing w:after="120" w:line="240" w:lineRule="auto"/>
        <w:ind w:left="0" w:firstLine="567"/>
        <w:contextualSpacing/>
        <w:jc w:val="both"/>
        <w:rPr>
          <w:rFonts w:cstheme="minorHAnsi"/>
          <w:sz w:val="28"/>
          <w:szCs w:val="28"/>
        </w:rPr>
      </w:pPr>
      <w:r w:rsidRPr="00C960F5">
        <w:rPr>
          <w:rFonts w:cstheme="minorHAnsi"/>
          <w:sz w:val="28"/>
          <w:szCs w:val="28"/>
        </w:rPr>
        <w:lastRenderedPageBreak/>
        <w:t>zamierzenie budowlane nie znajdzie się w obszarze:</w:t>
      </w:r>
    </w:p>
    <w:p w14:paraId="76856EF8" w14:textId="77777777" w:rsidR="00C960F5" w:rsidRPr="00C960F5" w:rsidRDefault="00C960F5" w:rsidP="00C960F5">
      <w:pPr>
        <w:numPr>
          <w:ilvl w:val="0"/>
          <w:numId w:val="12"/>
        </w:numPr>
        <w:tabs>
          <w:tab w:val="left" w:pos="1134"/>
        </w:tabs>
        <w:spacing w:after="120" w:line="240" w:lineRule="auto"/>
        <w:ind w:left="1134"/>
        <w:contextualSpacing/>
        <w:jc w:val="both"/>
        <w:rPr>
          <w:rFonts w:cstheme="minorHAnsi"/>
          <w:sz w:val="28"/>
          <w:szCs w:val="28"/>
        </w:rPr>
      </w:pPr>
      <w:r w:rsidRPr="00C960F5">
        <w:rPr>
          <w:rFonts w:cstheme="minorHAnsi"/>
          <w:sz w:val="28"/>
          <w:szCs w:val="28"/>
          <w:shd w:val="clear" w:color="auto" w:fill="FFFFFF"/>
        </w:rPr>
        <w:t>objętym zakazem wznoszenia i utrzymywania obiektów budowlanych przeznaczonych na pobyt ludzi związanym z lokalizacją sieci przesyłowej,</w:t>
      </w:r>
    </w:p>
    <w:p w14:paraId="77FF259D" w14:textId="77777777" w:rsidR="00C960F5" w:rsidRPr="00C960F5" w:rsidRDefault="00C960F5" w:rsidP="00C960F5">
      <w:pPr>
        <w:numPr>
          <w:ilvl w:val="0"/>
          <w:numId w:val="12"/>
        </w:numPr>
        <w:tabs>
          <w:tab w:val="left" w:pos="1134"/>
        </w:tabs>
        <w:spacing w:after="120" w:line="240" w:lineRule="auto"/>
        <w:ind w:left="1134"/>
        <w:contextualSpacing/>
        <w:jc w:val="both"/>
        <w:rPr>
          <w:rFonts w:cstheme="minorHAnsi"/>
          <w:sz w:val="28"/>
          <w:szCs w:val="28"/>
        </w:rPr>
      </w:pPr>
      <w:r w:rsidRPr="00C960F5">
        <w:rPr>
          <w:rFonts w:cstheme="minorHAnsi"/>
          <w:sz w:val="28"/>
          <w:szCs w:val="28"/>
          <w:lang w:eastAsia="pl-PL"/>
        </w:rPr>
        <w:t xml:space="preserve">strefy kontrolowanej wyznaczonej po obu stronach gazociągu, </w:t>
      </w:r>
    </w:p>
    <w:p w14:paraId="1252EC41" w14:textId="77777777" w:rsidR="00C960F5" w:rsidRPr="00C960F5" w:rsidRDefault="00C960F5" w:rsidP="00C960F5">
      <w:pPr>
        <w:numPr>
          <w:ilvl w:val="0"/>
          <w:numId w:val="12"/>
        </w:numPr>
        <w:tabs>
          <w:tab w:val="left" w:pos="1134"/>
        </w:tabs>
        <w:spacing w:after="120" w:line="240" w:lineRule="auto"/>
        <w:ind w:left="1134"/>
        <w:contextualSpacing/>
        <w:jc w:val="both"/>
        <w:rPr>
          <w:rFonts w:cstheme="minorHAnsi"/>
          <w:sz w:val="28"/>
          <w:szCs w:val="28"/>
        </w:rPr>
      </w:pPr>
      <w:r w:rsidRPr="00C960F5">
        <w:rPr>
          <w:rFonts w:cstheme="minorHAnsi"/>
          <w:sz w:val="28"/>
          <w:szCs w:val="28"/>
          <w:lang w:eastAsia="pl-PL"/>
        </w:rPr>
        <w:t>strefy bezpieczeństwa wyznaczonej po obu stronach rurociągu.</w:t>
      </w:r>
    </w:p>
    <w:p w14:paraId="123E229A" w14:textId="77777777" w:rsidR="00C960F5" w:rsidRPr="00C960F5" w:rsidRDefault="00C960F5" w:rsidP="00C960F5">
      <w:pPr>
        <w:spacing w:after="120" w:line="240" w:lineRule="auto"/>
        <w:ind w:firstLine="567"/>
        <w:jc w:val="both"/>
        <w:rPr>
          <w:rFonts w:cstheme="minorHAnsi"/>
          <w:sz w:val="28"/>
          <w:szCs w:val="28"/>
        </w:rPr>
      </w:pPr>
      <w:r w:rsidRPr="00C960F5">
        <w:rPr>
          <w:rFonts w:cstheme="minorHAnsi"/>
          <w:sz w:val="28"/>
          <w:szCs w:val="28"/>
        </w:rPr>
        <w:t>W związku z tym, że sąsiednie działki dostępne z tej samej drogi publicznej, położone w granicach obszaru analizowanego, zabudowane są w sposób pozwalający na określenie wymagań dotyczących nowej zabudowy w zakresie kontynuacji funkcji, ale także parametrów cech i wskaźników kształtowania zabudowy oraz zagospodarowania terenu, w tym gabarytów i formy architektonicznej obiektu oraz intensywności wykorzystania terenu, poczynione zostały ustalenia dotyczące warunków i wymagań kształtowania ładu przestrzennego dotyczące: określenia linii zabudowy, wielkości powierzchni zabudowy w stosunku do powierzchni działki lub terenu, udziału powierzchni biologicznie czynnej, a także gabaryty i wysokości projektowanej zabudowy, w tym szerokości elewacji frontowej oraz geometrii dachu. Powyższe ustalenia znalazły odzwierciedlenie w analizie funkcji oraz cech zabudowy i zagospodarowania terenu. Natomiast wyniki tej analizy, zawierające część tekstową i graficzną, stanowią załączniki nr 2 i 3 do decyzji.</w:t>
      </w:r>
    </w:p>
    <w:p w14:paraId="74C22F21" w14:textId="77777777" w:rsidR="00C960F5" w:rsidRPr="00C960F5" w:rsidRDefault="00C960F5" w:rsidP="00C960F5">
      <w:pPr>
        <w:spacing w:after="120" w:line="240" w:lineRule="auto"/>
        <w:ind w:firstLine="567"/>
        <w:jc w:val="both"/>
        <w:rPr>
          <w:rFonts w:cstheme="minorHAnsi"/>
          <w:sz w:val="28"/>
          <w:szCs w:val="28"/>
        </w:rPr>
      </w:pPr>
      <w:r w:rsidRPr="00C960F5">
        <w:rPr>
          <w:rFonts w:cstheme="minorHAnsi"/>
          <w:sz w:val="28"/>
          <w:szCs w:val="28"/>
        </w:rPr>
        <w:t>Planowana inwestycja (zabudowa mieszkaniowa) stanowi kontynuację funkcji mieszkaniowej terenów znajdujących się w obszarze analizowanym.</w:t>
      </w:r>
    </w:p>
    <w:p w14:paraId="5897063D" w14:textId="77777777" w:rsidR="00C960F5" w:rsidRPr="00C960F5" w:rsidRDefault="00C960F5" w:rsidP="00C960F5">
      <w:pPr>
        <w:spacing w:after="120" w:line="240" w:lineRule="auto"/>
        <w:ind w:firstLine="567"/>
        <w:jc w:val="both"/>
        <w:rPr>
          <w:rFonts w:cstheme="minorHAnsi"/>
          <w:sz w:val="28"/>
          <w:szCs w:val="28"/>
        </w:rPr>
      </w:pPr>
      <w:r w:rsidRPr="00C960F5">
        <w:rPr>
          <w:rFonts w:cstheme="minorHAnsi"/>
          <w:sz w:val="28"/>
          <w:szCs w:val="28"/>
        </w:rPr>
        <w:t xml:space="preserve">Ustalenia zawarte w niniejszej decyzji odpowiadają wymogom rozporządzenia Ministra Infrastruktury z dnia 26 sierpnia 2003 r. w sprawie sposobu ustalania wymagań dotyczących nowej zabudowy i zagospodarowania terenu w przypadku braku miejscowego planu zagospodarowania przestrzennego (Dz. U. Nr 164, poz. 1588, z 2021 r. poz. 2399), zwanego dalej rozporządzeniem. </w:t>
      </w:r>
    </w:p>
    <w:p w14:paraId="34D738BD" w14:textId="77777777" w:rsidR="00C960F5" w:rsidRPr="00C960F5" w:rsidRDefault="00C960F5" w:rsidP="00C960F5">
      <w:pPr>
        <w:spacing w:after="120" w:line="240" w:lineRule="auto"/>
        <w:ind w:firstLine="567"/>
        <w:jc w:val="both"/>
        <w:rPr>
          <w:rFonts w:cstheme="minorHAnsi"/>
          <w:sz w:val="28"/>
          <w:szCs w:val="28"/>
        </w:rPr>
      </w:pPr>
      <w:r w:rsidRPr="00C960F5">
        <w:rPr>
          <w:rFonts w:cstheme="minorHAnsi"/>
          <w:sz w:val="28"/>
          <w:szCs w:val="28"/>
        </w:rPr>
        <w:t>Linia zabudowy (linia regulacyjna) w rozumieniu § 1 pkt 1 w zw. z § 4 ust. 1 i 3 rozporządzenia określa nieprzekraczalną granicę terenu potencjalnej inwestycji, znajdującego się po przeciwnej stronie linii zabudowy niż pas drogowy. Jest to zaledwie granica obszaru, ale niekoniecznie linia, do której budynki muszą przylegać. Budynki mogą pozostawać w zróżnicowanej relacji przestrzennej (odległości) do linii zabudowy. Wyznaczenie linii zabudowy powoduje wytyczenie na nieruchomości inwestora obszaru, na którym może odbywać się zabudowa (wyrok WSA w Warszawie z dnia 11.01.2017 r. sygn. akt IV SA/Wa 2123/16).</w:t>
      </w:r>
    </w:p>
    <w:p w14:paraId="3FA877B0" w14:textId="77777777" w:rsidR="00C960F5" w:rsidRPr="00C960F5" w:rsidRDefault="00C960F5" w:rsidP="00C960F5">
      <w:pPr>
        <w:spacing w:after="120" w:line="240" w:lineRule="auto"/>
        <w:ind w:firstLine="567"/>
        <w:jc w:val="both"/>
        <w:rPr>
          <w:rFonts w:cstheme="minorHAnsi"/>
          <w:sz w:val="28"/>
          <w:szCs w:val="28"/>
        </w:rPr>
      </w:pPr>
      <w:r w:rsidRPr="00C960F5">
        <w:rPr>
          <w:rFonts w:cstheme="minorHAnsi"/>
          <w:sz w:val="28"/>
          <w:szCs w:val="28"/>
        </w:rPr>
        <w:lastRenderedPageBreak/>
        <w:t>W orzecznictwie sądów administracyjnych co do zasady dominuje pogląd, że w decyzji o warunkach zabudowy nie określa się dokładnego usytuowania planowanego obiektu na działce inwestycyjnej, za wyjątkiem wyznaczenia linii zabudowy – obowiązującej bądź nieprzekraczalnej (wyrok WSA w Poznaniu z dnia 31.01.2019 r. sygn. akt II SA/Po 731/18).</w:t>
      </w:r>
    </w:p>
    <w:p w14:paraId="3D046A49" w14:textId="77777777" w:rsidR="00C960F5" w:rsidRPr="00C960F5" w:rsidRDefault="00C960F5" w:rsidP="00C960F5">
      <w:pPr>
        <w:spacing w:after="120" w:line="240" w:lineRule="auto"/>
        <w:ind w:firstLine="567"/>
        <w:jc w:val="both"/>
        <w:rPr>
          <w:rFonts w:cstheme="minorHAnsi"/>
          <w:sz w:val="28"/>
          <w:szCs w:val="28"/>
        </w:rPr>
      </w:pPr>
      <w:r w:rsidRPr="00C960F5">
        <w:rPr>
          <w:rFonts w:cstheme="minorHAnsi"/>
          <w:sz w:val="28"/>
          <w:szCs w:val="28"/>
        </w:rPr>
        <w:t xml:space="preserve">Dla planowanej inwestycji ustalono nieprzekraczalne linie zabudowy wyznaczone w odległości 20,0 m od zewnętrznej krawędzi jezdni drogi powiatowej – ul. Wspólnej i w odległości 6,0 m od granicy z drogą wewnętrzną – ul. Jarzębinową, oznaczoną jako linią ciągłą, </w:t>
      </w:r>
      <w:r w:rsidRPr="00C960F5">
        <w:rPr>
          <w:sz w:val="28"/>
        </w:rPr>
        <w:t>z umieszczonymi</w:t>
      </w:r>
      <w:r w:rsidRPr="00C960F5">
        <w:rPr>
          <w:rFonts w:cstheme="minorHAnsi"/>
          <w:sz w:val="28"/>
          <w:szCs w:val="28"/>
        </w:rPr>
        <w:t xml:space="preserve"> stycznie niewypełnionymi trójkątami oraz w odległości 6,0 od granicy z planowaną drogą wewnętrzną. Stosownie bowiem do § 3 ust. 3 rozporządzenia Ministra Infrastruktury z dnia 26 sierpnia 2003 r. w sprawie oznaczeń i nazewnictwa stosowanych w decyzji o ustaleniu lokalizacji inwestycji celu publicznego oraz w decyzji o warunkach zabudowy „podstawowe jednobarwne oznaczenia graficzne dotyczące granic i linii regulacyjnych, a także elementów zagospodarowania przestrzennego, przeznaczone do stosowania w części graficznej decyzji, o których mowa w ust. 1, stosuje się zgodnie z Polską Normą PN-B-01027 z dnia 11 lipca 2002 r. Skoro Norma rozróżnia obowiązującą i nieprzekraczalną linię zabudowy, to nie sposób takich rozróżnień nie stosować przy ustalaniu warunków zabudowy w zakresie obowiązku wyznaczenia linii zabudowy (adekwatnie w miejscowym planie zagospodarowania przestrzennego). </w:t>
      </w:r>
    </w:p>
    <w:p w14:paraId="6D6E5A11" w14:textId="77777777" w:rsidR="00C960F5" w:rsidRPr="00C960F5" w:rsidRDefault="00C960F5" w:rsidP="00C960F5">
      <w:pPr>
        <w:spacing w:after="120" w:line="240" w:lineRule="auto"/>
        <w:ind w:firstLine="567"/>
        <w:jc w:val="both"/>
        <w:rPr>
          <w:rFonts w:cstheme="minorHAnsi"/>
          <w:sz w:val="28"/>
          <w:szCs w:val="28"/>
        </w:rPr>
      </w:pPr>
      <w:r w:rsidRPr="00C960F5">
        <w:rPr>
          <w:rFonts w:cstheme="minorHAnsi"/>
          <w:sz w:val="28"/>
          <w:szCs w:val="28"/>
        </w:rPr>
        <w:t>Wyznaczone w niniejszej decyzji linie zabudowy mają charakter nieprzekraczalnych, co oznacza, że określają ona jedynie maksymalny zasięg położenia planowanej zabudowy względem drogi powiatowej oraz planowanej drogi wewnętrznej</w:t>
      </w:r>
      <w:r w:rsidRPr="00C960F5">
        <w:rPr>
          <w:rFonts w:cstheme="minorHAnsi"/>
          <w:color w:val="1F497D" w:themeColor="text2"/>
          <w:sz w:val="28"/>
          <w:szCs w:val="28"/>
        </w:rPr>
        <w:t xml:space="preserve">, </w:t>
      </w:r>
      <w:r w:rsidRPr="00C960F5">
        <w:rPr>
          <w:rFonts w:cstheme="minorHAnsi"/>
          <w:sz w:val="28"/>
          <w:szCs w:val="28"/>
        </w:rPr>
        <w:t>nie przesądzając jednak o ostatecznej lokalizacji samego budynku na działce.</w:t>
      </w:r>
    </w:p>
    <w:p w14:paraId="3D823F6D" w14:textId="77777777" w:rsidR="00C960F5" w:rsidRPr="00C960F5" w:rsidRDefault="00C960F5" w:rsidP="00C960F5">
      <w:pPr>
        <w:spacing w:after="120" w:line="240" w:lineRule="auto"/>
        <w:ind w:firstLine="567"/>
        <w:jc w:val="both"/>
        <w:rPr>
          <w:rFonts w:cstheme="minorHAnsi"/>
          <w:sz w:val="28"/>
          <w:szCs w:val="28"/>
        </w:rPr>
      </w:pPr>
      <w:r w:rsidRPr="00C960F5">
        <w:rPr>
          <w:rFonts w:cstheme="minorHAnsi"/>
          <w:sz w:val="28"/>
          <w:szCs w:val="28"/>
        </w:rPr>
        <w:t xml:space="preserve">Zgodnie z wyrokiem NSA z dnia 09.09.2020 r. sygn. akt II OSK 1184/20 „Organ ustalający warunki zabudowy jest związany wnioskiem inwestora co do rodzaju inwestycji, natomiast nie jest bezwzględnie związany poszczególnymi parametrami technicznymi, opisującymi planowany obiekt budowlany. Nie jest także wymagane by inwestor modyfikował wniosek w zależności od ustaleń analizy. Wydający ją organ ocenia dopuszczalność zmiany zagospodarowania terenu w świetle przepisów prawa oraz wskazuje warunki i zasady, którym planowana inwestycja powinna odpowiadać. </w:t>
      </w:r>
    </w:p>
    <w:p w14:paraId="48C81F2D" w14:textId="77777777" w:rsidR="00C960F5" w:rsidRPr="00C960F5" w:rsidRDefault="00C960F5" w:rsidP="00C960F5">
      <w:pPr>
        <w:spacing w:after="120" w:line="240" w:lineRule="auto"/>
        <w:jc w:val="both"/>
        <w:rPr>
          <w:rFonts w:cstheme="minorHAnsi"/>
          <w:sz w:val="28"/>
          <w:szCs w:val="28"/>
        </w:rPr>
      </w:pPr>
    </w:p>
    <w:p w14:paraId="4060CE60" w14:textId="77777777" w:rsidR="00C960F5" w:rsidRPr="00C960F5" w:rsidRDefault="00C960F5" w:rsidP="00C960F5">
      <w:pPr>
        <w:spacing w:after="120" w:line="240" w:lineRule="auto"/>
        <w:jc w:val="both"/>
        <w:rPr>
          <w:rFonts w:cstheme="minorHAnsi"/>
          <w:sz w:val="28"/>
          <w:szCs w:val="28"/>
        </w:rPr>
      </w:pPr>
    </w:p>
    <w:p w14:paraId="5CDA0839" w14:textId="77777777" w:rsidR="00C960F5" w:rsidRPr="00C960F5" w:rsidRDefault="00C960F5" w:rsidP="00C960F5">
      <w:pPr>
        <w:spacing w:after="120" w:line="240" w:lineRule="auto"/>
        <w:jc w:val="both"/>
        <w:rPr>
          <w:rFonts w:cstheme="minorHAnsi"/>
          <w:sz w:val="28"/>
          <w:szCs w:val="28"/>
        </w:rPr>
      </w:pPr>
      <w:r w:rsidRPr="00C960F5">
        <w:rPr>
          <w:rFonts w:cstheme="minorHAnsi"/>
          <w:sz w:val="28"/>
          <w:szCs w:val="28"/>
        </w:rPr>
        <w:lastRenderedPageBreak/>
        <w:t>To rzeczą organu administracji jest dokonanie, w oparciu o obowiązujące przepisy, ustaleń i określenie wymogów dla nowej zabudowy, przy czym wyniki tak przeprowadzonej analizy mogą doprowadzić do określenia warunków inwestycji w sposób odmienny od wstępnie proponowanej przez inwestora.”</w:t>
      </w:r>
    </w:p>
    <w:p w14:paraId="337A5A42" w14:textId="77777777" w:rsidR="00C960F5" w:rsidRPr="00C960F5" w:rsidRDefault="00C960F5" w:rsidP="00C960F5">
      <w:pPr>
        <w:spacing w:after="120" w:line="240" w:lineRule="auto"/>
        <w:ind w:firstLine="567"/>
        <w:jc w:val="both"/>
        <w:rPr>
          <w:rFonts w:cstheme="minorHAnsi"/>
          <w:sz w:val="28"/>
          <w:szCs w:val="28"/>
        </w:rPr>
      </w:pPr>
      <w:r w:rsidRPr="00C960F5">
        <w:rPr>
          <w:rFonts w:cstheme="minorHAnsi"/>
          <w:sz w:val="28"/>
          <w:szCs w:val="28"/>
        </w:rPr>
        <w:t xml:space="preserve">Wskaźnik wielkości powierzchni nowej zabudowy, oznaczający stosunek sumy powierzchni rzutu poziomego budynków, mierzonej po zewnętrznym obrysie rzutu poziomego ścian zewnętrznych tych budynków zlokalizowanych na terenie do powierzchni tego terenu, nie został wyznaczony na podstawie średniego wskaźnika tej wielkości dla obszaru analizowanego. </w:t>
      </w:r>
      <w:r w:rsidRPr="00C960F5">
        <w:rPr>
          <w:rFonts w:cs="Times New Roman"/>
          <w:b/>
          <w:bCs/>
          <w:sz w:val="28"/>
          <w:szCs w:val="28"/>
        </w:rPr>
        <w:t>Średni wskaźnik w obszarze analizowanym wynosi 18,3 %</w:t>
      </w:r>
      <w:r w:rsidRPr="00C960F5">
        <w:rPr>
          <w:rFonts w:cs="Times New Roman"/>
          <w:sz w:val="28"/>
          <w:szCs w:val="28"/>
        </w:rPr>
        <w:t xml:space="preserve">, przy czym w obszarze analizowanym waha się pomiędzy </w:t>
      </w:r>
      <w:r w:rsidRPr="00C960F5">
        <w:rPr>
          <w:sz w:val="28"/>
        </w:rPr>
        <w:t xml:space="preserve">10,7 % a 23,7 %. </w:t>
      </w:r>
      <w:r w:rsidRPr="00C960F5">
        <w:rPr>
          <w:rFonts w:cstheme="minorHAnsi"/>
          <w:sz w:val="28"/>
          <w:szCs w:val="28"/>
        </w:rPr>
        <w:t>Planowana inwestycja charakteryzuje się wskaźnikiem na poziomie od 7,1 % do 17,8 % powierzchni terenu. Wskaźnik minimalny jest niższy od wskaźnika średniego, a wskaźnik maksymalny jest pośrednim wśród wskaźników istniejących w obszarze analizowanym, bowiem wskaźniki na działkach o nr ewid.: 425/1; 425/2; 425/3; 425/4; 425/5; 425/6; 425/7; 425/8; 425/9; 425/10; 425/11; 425/12; 425/14; 425/15; 425/16; 425/17; 425/18; 425/19; 425/20; 425/21; 425/22; 425/23; 425/24; 425/25; 208/2; 208/1, 209/4; 209/3; 209/2; 209/1; 211/3; 211/2; 212/1, 211/1; 423/1; 10/5; 10/4; 10/3; 10/2; 10/1; 11/1; 11/2; 422/10; 422/11; 422/13; 422/12; 422/15; 422/16; 422/18; 422/17; 422/20; 11/5; 422/1; 422/4; 422/7; 422/8; 422/9; 13/4; 13/3; 13/31; 13/32; 13/5, 13/6; 13/21, 13/33; 13/36, 13/38; 13/34; 13/40; 13/8; 13/35, wynoszą odpowiednio:</w:t>
      </w:r>
      <w:r w:rsidRPr="00C960F5">
        <w:rPr>
          <w:sz w:val="28"/>
        </w:rPr>
        <w:t xml:space="preserve"> 20,9 %, 20,9 %, 21,1 %, 21,1 %, 21,1 %, 18,4 %, 20,5 %, 20,9 %, 21,1 %, 20,9 %, 20,9 %, 21,8 %, 22,3 %, 22,3 %, 22,3 %, 22,3 %, 22,3 %, 21,8 %, 20,7 %, 20,5 %, 20,7 %, 20,5 %, 20,5 %, 17,2 %, 14,0 %, 18,5 %, 18,5 %, 18,3 %, 18,1 %, 12,0 %, 17,4 %, 16,5 %, 22,6 %, 14,4 %, 14,2 %, 12,8 %, 12,8 %, 12,4 %, 17,9 %, 14,4 %, 13,0 %, 17,8 %, 15,0 %, 13,2 %, 14,5 %, 18,4 %, 14,6 %, 14,5 %, 16,9 %, 14,7 %, 18,7 %, 15,5 %, 15,4 %, 15,7 %, 19,8 %, 10,7 %, 15,3 %, 16,9 %, 20,2 %, 16,3 %, 21,0 %, 21,5 %, 20,6 %, 17,5 %, 16,8 %, 23,7 %</w:t>
      </w:r>
      <w:r w:rsidRPr="00C960F5">
        <w:rPr>
          <w:rFonts w:cstheme="minorHAnsi"/>
          <w:sz w:val="28"/>
          <w:szCs w:val="28"/>
        </w:rPr>
        <w:t>. Powierzchnia działek w obszarze analizowanym waha się od 512 m</w:t>
      </w:r>
      <w:r w:rsidRPr="00C960F5">
        <w:rPr>
          <w:rFonts w:cstheme="minorHAnsi"/>
          <w:sz w:val="28"/>
          <w:szCs w:val="28"/>
          <w:vertAlign w:val="superscript"/>
        </w:rPr>
        <w:t>2</w:t>
      </w:r>
      <w:r w:rsidRPr="00C960F5">
        <w:rPr>
          <w:rFonts w:cstheme="minorHAnsi"/>
          <w:sz w:val="28"/>
          <w:szCs w:val="28"/>
        </w:rPr>
        <w:t xml:space="preserve"> do 1229 m</w:t>
      </w:r>
      <w:r w:rsidRPr="00C960F5">
        <w:rPr>
          <w:rFonts w:cstheme="minorHAnsi"/>
          <w:sz w:val="28"/>
          <w:szCs w:val="28"/>
          <w:vertAlign w:val="superscript"/>
        </w:rPr>
        <w:t>2</w:t>
      </w:r>
      <w:r w:rsidRPr="00C960F5">
        <w:rPr>
          <w:rFonts w:cstheme="minorHAnsi"/>
          <w:sz w:val="28"/>
          <w:szCs w:val="28"/>
        </w:rPr>
        <w:t>, przy czym działka największa ma znacznie większą powierzchnię od pozostałych, które charakteryzują się powierzchniami do 904 m</w:t>
      </w:r>
      <w:r w:rsidRPr="00C960F5">
        <w:rPr>
          <w:rFonts w:cstheme="minorHAnsi"/>
          <w:sz w:val="28"/>
          <w:szCs w:val="28"/>
          <w:vertAlign w:val="superscript"/>
        </w:rPr>
        <w:t>2</w:t>
      </w:r>
      <w:r w:rsidRPr="00C960F5">
        <w:rPr>
          <w:rFonts w:cstheme="minorHAnsi"/>
          <w:sz w:val="28"/>
          <w:szCs w:val="28"/>
        </w:rPr>
        <w:t xml:space="preserve">. Zdaniem Naczelnego Sądu Administracyjnego (wyrok z 11.06.2014 r., sygn. akt II OSK 95/13) możliwe jest w zakresie wskaźnika powierzchni zabudowy, w konkretnym przypadku, rozstrzygnięcie specyficzne, uwzględniające uwarunkowania zaistniałe na terenie obszaru urbanistycznego, w kontekście zamierzenia przedstawionego we wniosku. Wnioski do przyjęcia takiego rozstrzygnięcia muszą przy tym wynikać z analizy urbanistycznej. W omawianym przypadku wynikają. </w:t>
      </w:r>
      <w:r w:rsidRPr="00C960F5">
        <w:rPr>
          <w:rFonts w:cstheme="minorHAnsi"/>
          <w:sz w:val="28"/>
          <w:szCs w:val="28"/>
        </w:rPr>
        <w:lastRenderedPageBreak/>
        <w:t>Ponadto Naczelny Sąd Administracyjny wyrokiem z 25.02.2011 r. (sygn. akt II OSK 1857/10) orzekł, że „Zgodnie z § 5 ust. 1 rozporządzenia chodzi o to, aby wielkość powierzchni nowej zabudowy, nie odbiegała drastycznie od wielkości powierzchni zabudowy na innych działkach (zabudowanych), znajdujących się w obszarze analizowanym”. Wnioskodawca planuje podział terenu na 24 działki budowlane oraz działkę pełniącą funkcję drogi wewnętrznej. Na obszarze analizowanym występują budynki mieszkalne o powierzchni od 76 m</w:t>
      </w:r>
      <w:r w:rsidRPr="00C960F5">
        <w:rPr>
          <w:rFonts w:cstheme="minorHAnsi"/>
          <w:sz w:val="28"/>
          <w:szCs w:val="28"/>
          <w:vertAlign w:val="superscript"/>
        </w:rPr>
        <w:t>2</w:t>
      </w:r>
      <w:r w:rsidRPr="00C960F5">
        <w:rPr>
          <w:rFonts w:cstheme="minorHAnsi"/>
          <w:sz w:val="28"/>
          <w:szCs w:val="28"/>
        </w:rPr>
        <w:t xml:space="preserve"> do 162 m</w:t>
      </w:r>
      <w:r w:rsidRPr="00C960F5">
        <w:rPr>
          <w:rFonts w:cstheme="minorHAnsi"/>
          <w:sz w:val="28"/>
          <w:szCs w:val="28"/>
          <w:vertAlign w:val="superscript"/>
        </w:rPr>
        <w:t>2</w:t>
      </w:r>
      <w:r w:rsidRPr="00C960F5">
        <w:rPr>
          <w:rFonts w:cstheme="minorHAnsi"/>
          <w:sz w:val="28"/>
          <w:szCs w:val="28"/>
        </w:rPr>
        <w:t>. Nowa zabudowa nie powinna odbiegać gabarytami od zabudowy istniejącej w obszarze analizowanym. Z tego względu, przy uwzględnieniu uwarunkowań zaistniałych w obszarze poddanym analizie, wskaźnik powierzchni nowej zabudowy ustalono na poziomie od 16,5 % do 18,1 % powierzchni każdego z terenów: A, B, C. Jest to zakres zbliżony do wskaźnika średniego oraz występujący na terenach w obszarze analizowanym.</w:t>
      </w:r>
    </w:p>
    <w:p w14:paraId="77E570DD" w14:textId="77777777" w:rsidR="00C960F5" w:rsidRPr="00C960F5" w:rsidRDefault="00C960F5" w:rsidP="00C960F5">
      <w:pPr>
        <w:spacing w:after="120" w:line="240" w:lineRule="auto"/>
        <w:ind w:firstLine="567"/>
        <w:jc w:val="both"/>
        <w:rPr>
          <w:rFonts w:cstheme="minorHAnsi"/>
          <w:sz w:val="28"/>
          <w:szCs w:val="28"/>
        </w:rPr>
      </w:pPr>
      <w:r w:rsidRPr="00C960F5">
        <w:rPr>
          <w:rFonts w:cstheme="minorHAnsi"/>
          <w:sz w:val="28"/>
          <w:szCs w:val="28"/>
        </w:rPr>
        <w:t xml:space="preserve">Szerokość elewacji frontowej planowanego budynku wyznaczono na podstawie średniej szerokości elewacji dla obszaru analizowanego z tolerancją ±20 %, przy średniej szerokości elewacji wynoszącej 12,5 m. Wnioskowana szerokość elewacji (od 10,0 m do 15,0 m) mieści się w ramach standardowo wyznaczonej wielkości, a ponadto mieści się w przedziale szerokości występujących w obszarze analizowanym: od 3,5 m do 17,3 m. Szerokości elewacji budynków mieszkalnych na działkach w obszarze analizowanym o nr ewid.: 425/1; 425/2; 425/3; 425/4; 425/5; 425/6; 425/7; 425/8; 425/9; 425/10; 425/11; 425/12; 425/14; 425/15; 425/16; 425/17; 425/18; 425/19; 425/20; 425/21; 425/22; 425/23; 425/24; 425/25; 208/2; 208/1, 209/4; 209/3; 209/2; 209/1; 211/3; 211/2; 212/1, 211/1; 423/1; 10/5; 10/4; 10/3; 10/2; 10/1; 11/1; 11/2; 422/10; 422/11; 422/13; 422/12; 422/15; 422/16; 422/18; 422/17; 422/20; 11/5; 422/1; 422/4; 422/7; 422/8; 422/9; 13/4; 13/3; 13/31; 13/32; 13/5, 13/6; 13/21, 13/33; 13/36, 13/38; 13/34; 13/40; 13/8; 13/35,  wynoszą odpowiednio: 12,9 m, 12,9 m, 12,9 m, 12,9 m, 12,9 m, 12,9 m, 12,9 m, 12,9 m, 12,9 m, 12,9 m, 12,9 m, 12,9 m, 12,9 m, 12,9 m, 12,9 m, 12,9 m, 12,9 m, 12,9 m, 12,9 m, 12,9 m, 12,9 m, 12,9 m, 12,9 m, 12,9 m, 11,9 m, 11,9 m, 11,9 m, 11,9 m, 11,9 m, 9,3 m, 10,0 m, 11,3 m, 17,3 m, 13,6 m, 13,6 m, 13,1 m, 13,1 m, 13,1 m, 12,0 m, 13,5 m, 10,5 m, 13,7 m, 13,1 m, 11,5 m, 13,1 m, 17,0 m, 13,1 m, 13,1 m, 16,7 m, 12,2 m, 14,4 m, 13,1 m, 13,0 m, 13,1 m, 16,8 m, 13,2 m, 9,9 m, 11,4 m, 13,0 m, 13,0 m, 12,9 m, 15,6 m, 12,9 m, 7,7 m, 14,3 m, 12,6 m. Szerokość projektowanego budynku ze względu na zróżnicowanie istniejącej zabudowy oraz na fakt, iż powinien charakteryzować się szerokością pośrednią wśród budynków występujących w sąsiedztwie, ustalono na poziomie 12,5 m ± 20 % (czyli od 10,0 m do 15,0 m) dla każdego z terenów oznaczonych symbolami A, B, C. </w:t>
      </w:r>
    </w:p>
    <w:p w14:paraId="3827B4CA" w14:textId="77777777" w:rsidR="00C960F5" w:rsidRPr="00C960F5" w:rsidRDefault="00C960F5" w:rsidP="00C960F5">
      <w:pPr>
        <w:spacing w:after="120" w:line="240" w:lineRule="auto"/>
        <w:ind w:firstLine="567"/>
        <w:jc w:val="both"/>
        <w:rPr>
          <w:rFonts w:cs="Times New Roman"/>
          <w:sz w:val="28"/>
          <w:szCs w:val="28"/>
        </w:rPr>
      </w:pPr>
      <w:r w:rsidRPr="00C960F5">
        <w:rPr>
          <w:rFonts w:cs="Times New Roman"/>
          <w:sz w:val="28"/>
          <w:szCs w:val="28"/>
        </w:rPr>
        <w:lastRenderedPageBreak/>
        <w:t xml:space="preserve">Wysokość górnej krawędzi elewacji frontowej, jej gzymsu lub attyki wyznacza się dla nowej zabudowy jako przedłużenie tych krawędzi odpowiednio do istniejącej zabudowy na działkach sąsiednich. Dopuszcza się wyznaczenie innej wysokości górnej krawędzi elewacji frontowej, jeżeli wynika to z analizy. </w:t>
      </w:r>
    </w:p>
    <w:p w14:paraId="664F6F70" w14:textId="77777777" w:rsidR="00C960F5" w:rsidRPr="00C960F5" w:rsidRDefault="00C960F5" w:rsidP="00C960F5">
      <w:pPr>
        <w:spacing w:after="120" w:line="240" w:lineRule="auto"/>
        <w:ind w:firstLine="567"/>
        <w:jc w:val="both"/>
        <w:rPr>
          <w:rFonts w:cs="Times New Roman"/>
          <w:sz w:val="28"/>
          <w:szCs w:val="28"/>
        </w:rPr>
      </w:pPr>
      <w:r w:rsidRPr="00C960F5">
        <w:rPr>
          <w:sz w:val="28"/>
          <w:szCs w:val="28"/>
        </w:rPr>
        <w:t xml:space="preserve">Wysokość górnej krawędzi elewacji frontowej budynków usytuowanych kalenicowo do frontu </w:t>
      </w:r>
      <w:r w:rsidRPr="00C960F5">
        <w:rPr>
          <w:sz w:val="28"/>
        </w:rPr>
        <w:t xml:space="preserve">terenu na działce o nr ewid. 13/36, 13/38 wynosi 2,8 m, na działkach o nr ewid. </w:t>
      </w:r>
      <w:r w:rsidRPr="00C960F5">
        <w:rPr>
          <w:rFonts w:cstheme="minorHAnsi"/>
          <w:sz w:val="28"/>
          <w:szCs w:val="28"/>
        </w:rPr>
        <w:t xml:space="preserve">425/1; 425/2; 425/3; 425/4; 425/5; 425/6; 425/7; 425/8; 425/9; 425/10; 425/11; 425/14; 425/15; 425/16; 425/17; 425/18; 425/20; 425/21; 425/22; 425/23; 425/25; 11/1; 422/13; 422/15; 422/18; 11/5; 13/31; 13/32; 13/21, 13/33; 13/40 </w:t>
      </w:r>
      <w:r w:rsidRPr="00C960F5">
        <w:rPr>
          <w:sz w:val="28"/>
        </w:rPr>
        <w:t xml:space="preserve">wynosi 3,0 m, na działce o nr ewid. 13/8 wynosi 3,2 m, na działkach o nr ewid. 212/1, 211/2; </w:t>
      </w:r>
      <w:r w:rsidRPr="00C960F5">
        <w:rPr>
          <w:rFonts w:cstheme="minorHAnsi"/>
          <w:sz w:val="28"/>
          <w:szCs w:val="28"/>
        </w:rPr>
        <w:t xml:space="preserve">10/5; 10/4; 10/3; 10/2; 10/1; 422/10; 422/11; 422/12; 422/16; 422/17; 422/20; 422/1; 422/7; 422/8; 422/9; 13/4; 13/3 </w:t>
      </w:r>
      <w:r w:rsidRPr="00C960F5">
        <w:rPr>
          <w:sz w:val="28"/>
        </w:rPr>
        <w:t>wynosi 3,5 m, na działce o nr ewid. 211/2 wynosi 4,0 m, na działkach o nr ewid. 422/10; 13/5, 13/6 wynosi 4,5 m, a wysokość górnej krawędzi elewacji frontowej budynków w obszarze analizowanym, usytuowanych szczytowo w stosunku do frontu terenu na działkach o nr ewid. 425/12; 425/19; 208/1, 209/4; 209/3; 209/2; 209/1; 13/34 wynosi odpowiednio 6,0 m, 6,0 m, 6,0 m, 5,5 m, 5,5 m, 5,5 m 5,5 m, 7,0 m. W przedmiotowym obszarze występują również budynki gospodarcze / gospodarczo-garażowe z dachami tzw. płaskimi (o kącie nachylenia do 12</w:t>
      </w:r>
      <w:r w:rsidRPr="00C960F5">
        <w:rPr>
          <w:rFonts w:cstheme="minorHAnsi"/>
          <w:sz w:val="28"/>
        </w:rPr>
        <w:t>°</w:t>
      </w:r>
      <w:r w:rsidRPr="00C960F5">
        <w:rPr>
          <w:sz w:val="28"/>
        </w:rPr>
        <w:t xml:space="preserve">) o wysokości elewacji frontowej 2,5 m oraz budynki gospodarczo-garażowe o wysokości 3,5 m. </w:t>
      </w:r>
      <w:r w:rsidRPr="00C960F5">
        <w:rPr>
          <w:rFonts w:cs="Times New Roman"/>
          <w:sz w:val="28"/>
          <w:szCs w:val="28"/>
        </w:rPr>
        <w:t>Projektowane budynki, z wysokością elewacji frontowej od 3,5 m do 4,5 m charakteryzują się wysokościami zbliżonymi do występujących w obszarze analizowanym. W związku z powyższym wysokość górnej krawędzi elewacji frontowej ustalono na podstawie wysokości występujących w obszarze analizowanym, czyli od 3,5 m do 4,5 m</w:t>
      </w:r>
      <w:r w:rsidRPr="00C960F5">
        <w:rPr>
          <w:rFonts w:cstheme="minorHAnsi"/>
          <w:sz w:val="28"/>
          <w:szCs w:val="28"/>
        </w:rPr>
        <w:t xml:space="preserve">. </w:t>
      </w:r>
    </w:p>
    <w:p w14:paraId="10731586" w14:textId="77777777" w:rsidR="00C960F5" w:rsidRPr="00C960F5" w:rsidRDefault="00C960F5" w:rsidP="00C960F5">
      <w:pPr>
        <w:spacing w:after="120" w:line="240" w:lineRule="auto"/>
        <w:ind w:firstLine="567"/>
        <w:jc w:val="both"/>
        <w:rPr>
          <w:sz w:val="28"/>
          <w:szCs w:val="28"/>
        </w:rPr>
      </w:pPr>
      <w:r w:rsidRPr="00C960F5">
        <w:rPr>
          <w:rFonts w:cs="Times New Roman"/>
          <w:sz w:val="28"/>
          <w:szCs w:val="28"/>
        </w:rPr>
        <w:t>Geometrię dachu projektowanego budynku ustalono odpowiednio do geometrii dachów występujących na obszarze analizowanym, w którym występują budynki z dachami dwu- i wielospadowymi o nachyleniu od 15</w:t>
      </w:r>
      <w:r w:rsidRPr="00C960F5">
        <w:rPr>
          <w:rFonts w:cstheme="minorHAnsi"/>
          <w:sz w:val="28"/>
          <w:szCs w:val="28"/>
        </w:rPr>
        <w:t>°</w:t>
      </w:r>
      <w:r w:rsidRPr="00C960F5">
        <w:rPr>
          <w:rFonts w:cs="Times New Roman"/>
          <w:sz w:val="28"/>
          <w:szCs w:val="28"/>
        </w:rPr>
        <w:t xml:space="preserve"> do 45</w:t>
      </w:r>
      <w:r w:rsidRPr="00C960F5">
        <w:rPr>
          <w:rFonts w:cstheme="minorHAnsi"/>
          <w:sz w:val="28"/>
          <w:szCs w:val="28"/>
        </w:rPr>
        <w:t>°</w:t>
      </w:r>
      <w:r w:rsidRPr="00C960F5">
        <w:rPr>
          <w:rFonts w:cs="Times New Roman"/>
          <w:sz w:val="28"/>
          <w:szCs w:val="28"/>
        </w:rPr>
        <w:t xml:space="preserve">, </w:t>
      </w:r>
      <w:r w:rsidRPr="00C960F5">
        <w:rPr>
          <w:rFonts w:cstheme="minorHAnsi"/>
          <w:sz w:val="28"/>
          <w:szCs w:val="28"/>
        </w:rPr>
        <w:t>o wysokości głównej kalenicy budynków w obszarze analizowanym od 3,5 m do 8,5 m, przy czym wartość najwyższa występuje tylko na jednej działce, a pozostałe budynki charakteryzują się wysokością do 8,0 m</w:t>
      </w:r>
      <w:r w:rsidRPr="00C960F5">
        <w:rPr>
          <w:sz w:val="28"/>
          <w:szCs w:val="28"/>
        </w:rPr>
        <w:t xml:space="preserve"> </w:t>
      </w:r>
      <w:r w:rsidRPr="00C960F5">
        <w:rPr>
          <w:rFonts w:cstheme="minorHAnsi"/>
          <w:sz w:val="28"/>
          <w:szCs w:val="28"/>
        </w:rPr>
        <w:t>oraz budynki z dachem tzw. płaskimi (o kącie nachylenia do 12°) i wysokości budynku 2,5 m</w:t>
      </w:r>
      <w:r w:rsidRPr="00C960F5">
        <w:rPr>
          <w:sz w:val="28"/>
          <w:szCs w:val="28"/>
        </w:rPr>
        <w:t xml:space="preserve">. W obszarze analizowanym występują dachy o kalenicowym (równoległym lub zbliżonym do równoległego) do frontu działki i szczytowym (prostopadłym lub zbliżonym do prostopadłego) kierunku kalenicy w stosunku do frontu działki. </w:t>
      </w:r>
    </w:p>
    <w:p w14:paraId="2A0D767F" w14:textId="77777777" w:rsidR="00C960F5" w:rsidRPr="00C960F5" w:rsidRDefault="00C960F5" w:rsidP="00C960F5">
      <w:pPr>
        <w:spacing w:after="120" w:line="240" w:lineRule="auto"/>
        <w:jc w:val="both"/>
        <w:rPr>
          <w:sz w:val="28"/>
          <w:szCs w:val="28"/>
          <w:highlight w:val="yellow"/>
        </w:rPr>
      </w:pPr>
      <w:r w:rsidRPr="00C960F5">
        <w:rPr>
          <w:rFonts w:cstheme="minorHAnsi"/>
          <w:sz w:val="28"/>
          <w:szCs w:val="28"/>
        </w:rPr>
        <w:lastRenderedPageBreak/>
        <w:t xml:space="preserve">Po dokonaniu analizy stwierdzono, że wnioskowana geometria dachu budynku mieszkalnego: dach dwuspadowy o kącie nachylenia </w:t>
      </w:r>
      <w:r w:rsidRPr="00C960F5">
        <w:rPr>
          <w:rFonts w:cs="Times New Roman"/>
          <w:sz w:val="28"/>
          <w:szCs w:val="28"/>
        </w:rPr>
        <w:t>od 30</w:t>
      </w:r>
      <w:r w:rsidRPr="00C960F5">
        <w:rPr>
          <w:rFonts w:cstheme="minorHAnsi"/>
          <w:sz w:val="28"/>
          <w:szCs w:val="28"/>
        </w:rPr>
        <w:t>°</w:t>
      </w:r>
      <w:r w:rsidRPr="00C960F5">
        <w:rPr>
          <w:rFonts w:cs="Times New Roman"/>
          <w:sz w:val="28"/>
          <w:szCs w:val="28"/>
        </w:rPr>
        <w:t xml:space="preserve"> do 40</w:t>
      </w:r>
      <w:r w:rsidRPr="00C960F5">
        <w:rPr>
          <w:rFonts w:cstheme="minorHAnsi"/>
          <w:sz w:val="28"/>
          <w:szCs w:val="28"/>
        </w:rPr>
        <w:t>°, o kalenicowym lub szczytowym kierunku głównej kalenicy dachu w stosunku do frontu działki oraz o wysokości głównej kalenicy od 7,5 m do 8,0 m, odpowiada parametrom budynków w obszarze analizowanym. Możliwe jest ustalenie wnioskowanej geometrii dachu, bowiem wpisze się ona w sąsiadującą zabudowę.</w:t>
      </w:r>
    </w:p>
    <w:p w14:paraId="61879E2E" w14:textId="77777777" w:rsidR="00C960F5" w:rsidRPr="00C960F5" w:rsidRDefault="00C960F5" w:rsidP="00C960F5">
      <w:pPr>
        <w:spacing w:after="120" w:line="240" w:lineRule="auto"/>
        <w:ind w:firstLine="567"/>
        <w:jc w:val="both"/>
        <w:rPr>
          <w:rFonts w:cstheme="minorHAnsi"/>
          <w:sz w:val="28"/>
          <w:szCs w:val="28"/>
        </w:rPr>
      </w:pPr>
      <w:r w:rsidRPr="00C960F5">
        <w:rPr>
          <w:rFonts w:cstheme="minorHAnsi"/>
          <w:sz w:val="28"/>
          <w:szCs w:val="28"/>
        </w:rPr>
        <w:t xml:space="preserve">Wnioskodawca w pkt 8.2 wniosku określił przewidywaną dla planowanej inwestycji liczbę miejsc postojowych. Stosownie do § 2 pkt 6 rozporządzenia Ministra Infrastruktury z dnia 26 sierpnia 2003 r. w sprawie oznaczeń i nazewnictwa stosowanych w decyzji o ustaleniu lokalizacji inwestycji celu publicznego oraz w decyzji o warunkach zabudowy (Dz. U. Nr 64, poz. 1589) ustalony został sposób zapisywania ustaleń decyzji o warunkach zabudowy dotyczących obsługi w zakresie komunikacji i infrastruktury technicznej m.in. w zakresie wymaganej ilości miejsc parkingowych. Jak wskazuje Naczelny Sąd Administracyjny w wyroku z dnia 7 maja 2019 r. sygn. akt II OSK 1534/17 decyzja o warunkach zabudowy określać ma zasady (warunki). „Takimi zasadami wpływającymi na liczbę miejsc postojowych i urządzenie parkingu będzie np. powierzchnia zabudowy, ilość kondygnacji czy zasady komunikacji dla tej inwestycji. (…) Wymagana ilość miejsc postojowych zależy m.in. od ilości samochodów użytkowników przebywających w budynku stale lub okresowo, która to ilość jest z kolei determinowana takimi cechami budynku, jak liczba lokali mieszkalnych, ich powierzchnia, czy powierzchnia usług. Te wielkości ustalane są natomiast szczegółowo na etapie uzyskiwania pozwolenia na budowę. Zatem szczegółowe określenie ilości miejsc postojowych i sposobu ich zorganizowania (rozmieszczenia) przez organ właściwy do wydania decyzji o warunkach zabudowy stanowiłoby niedopuszczalną ingerencję w kompetencje organu administracji architektoniczno-budowlanej.”. </w:t>
      </w:r>
    </w:p>
    <w:p w14:paraId="2ACC45D2" w14:textId="77777777" w:rsidR="00C960F5" w:rsidRPr="00C960F5" w:rsidRDefault="00C960F5" w:rsidP="00C960F5">
      <w:pPr>
        <w:spacing w:after="120" w:line="240" w:lineRule="auto"/>
        <w:ind w:firstLine="567"/>
        <w:jc w:val="both"/>
        <w:rPr>
          <w:rFonts w:cstheme="minorHAnsi"/>
          <w:sz w:val="28"/>
          <w:szCs w:val="28"/>
        </w:rPr>
      </w:pPr>
      <w:r w:rsidRPr="00C960F5">
        <w:rPr>
          <w:rFonts w:cstheme="minorHAnsi"/>
          <w:sz w:val="28"/>
          <w:szCs w:val="28"/>
        </w:rPr>
        <w:t>W niniejszej decyzji Burmistrz Śremu określił zasady związane z lokalizacją miejsc parkingowych na terenie inwestycji, a mianowicie: liczbę miejsc parkingowych (nie mniej niż dwa na lokal mieszkalny), które mają zostać zlokalizowane na terenie inwestycji, poza terenem planowanej drogi wewnętrznej (ust. 2 pkt 4 lit. h decyzji).</w:t>
      </w:r>
    </w:p>
    <w:p w14:paraId="799F4D78" w14:textId="77777777" w:rsidR="00C960F5" w:rsidRPr="00C960F5" w:rsidRDefault="00C960F5" w:rsidP="00C960F5">
      <w:pPr>
        <w:spacing w:after="120" w:line="240" w:lineRule="auto"/>
        <w:ind w:firstLine="567"/>
        <w:jc w:val="both"/>
        <w:rPr>
          <w:rFonts w:ascii="Calibri" w:hAnsi="Calibri" w:cs="Calibri"/>
          <w:sz w:val="28"/>
          <w:szCs w:val="28"/>
        </w:rPr>
      </w:pPr>
      <w:r w:rsidRPr="00C960F5">
        <w:rPr>
          <w:rFonts w:ascii="Calibri" w:hAnsi="Calibri" w:cs="Calibri"/>
          <w:sz w:val="28"/>
          <w:szCs w:val="28"/>
        </w:rPr>
        <w:t xml:space="preserve">Planowane przedsięwzięcie zostało zakwalifikowane do przedsięwzięć mogących </w:t>
      </w:r>
      <w:r w:rsidRPr="00C960F5">
        <w:rPr>
          <w:rFonts w:ascii="Calibri" w:hAnsi="Calibri" w:cs="Calibri"/>
          <w:color w:val="000000" w:themeColor="text1"/>
          <w:sz w:val="28"/>
          <w:szCs w:val="28"/>
        </w:rPr>
        <w:t xml:space="preserve">znacząco </w:t>
      </w:r>
      <w:r w:rsidRPr="00C960F5">
        <w:rPr>
          <w:rFonts w:ascii="Calibri" w:hAnsi="Calibri" w:cs="Calibri"/>
          <w:sz w:val="28"/>
          <w:szCs w:val="28"/>
        </w:rPr>
        <w:t xml:space="preserve">oddziaływać na środowisko, o których mowa w rozporządzeniu Rady Ministrów z dnia 10 września 2019 r. w sprawie przedsięwzięć mogących znacząco oddziaływać na środowisko (Dz. U. poz. 1839, z 2022 r. poz. 1071, z 2023 r. 1724). </w:t>
      </w:r>
    </w:p>
    <w:p w14:paraId="6F6C0008" w14:textId="77777777" w:rsidR="00C960F5" w:rsidRPr="00C960F5" w:rsidRDefault="00C960F5" w:rsidP="00C960F5">
      <w:pPr>
        <w:spacing w:after="120" w:line="240" w:lineRule="auto"/>
        <w:jc w:val="both"/>
        <w:rPr>
          <w:rFonts w:cs="Times New Roman"/>
          <w:sz w:val="28"/>
          <w:szCs w:val="28"/>
        </w:rPr>
      </w:pPr>
      <w:r w:rsidRPr="00C960F5">
        <w:rPr>
          <w:rFonts w:cs="Times New Roman"/>
          <w:sz w:val="28"/>
          <w:szCs w:val="28"/>
        </w:rPr>
        <w:lastRenderedPageBreak/>
        <w:t>Dla planowanej inwestycji 18.08.2023 r. została wydana decyzja o środowiskowych uwarunkowaniach (PPSOŚ.6220.3.2023.BM), w której określono istotne warunki korzystania ze środowiska w fazie realizacji i eksploatacji lub użytkowania przedsięwzięcia. W ramach postępowania stwierdzono brak potrzeby przeprowadzenia oceny oddziaływania na środowisko dla planowego przedsięwzięcia. Decyzja stała się ostateczna 21.09.2023 r.</w:t>
      </w:r>
    </w:p>
    <w:p w14:paraId="1D4A3476" w14:textId="77777777" w:rsidR="00C960F5" w:rsidRPr="00C960F5" w:rsidRDefault="00C960F5" w:rsidP="00C960F5">
      <w:pPr>
        <w:widowControl w:val="0"/>
        <w:autoSpaceDE w:val="0"/>
        <w:spacing w:after="120" w:line="240" w:lineRule="auto"/>
        <w:ind w:firstLine="567"/>
        <w:jc w:val="both"/>
        <w:rPr>
          <w:rFonts w:cs="Times New Roman"/>
          <w:sz w:val="28"/>
          <w:szCs w:val="28"/>
        </w:rPr>
      </w:pPr>
      <w:r w:rsidRPr="00C960F5">
        <w:rPr>
          <w:rFonts w:cs="Times New Roman"/>
          <w:sz w:val="28"/>
          <w:szCs w:val="28"/>
        </w:rPr>
        <w:t>Projekt decyzji został uzgodniony z organami, o których mowa w art. 53 ust. 4 pkt 5, pkt 6, pkt 9 w związku z art. 64 ust. 1 u.p.z.p., a mianowicie z:</w:t>
      </w:r>
    </w:p>
    <w:p w14:paraId="42CB4897" w14:textId="77777777" w:rsidR="00C960F5" w:rsidRPr="00C960F5" w:rsidRDefault="00C960F5" w:rsidP="00C960F5">
      <w:pPr>
        <w:widowControl w:val="0"/>
        <w:numPr>
          <w:ilvl w:val="0"/>
          <w:numId w:val="44"/>
        </w:numPr>
        <w:autoSpaceDE w:val="0"/>
        <w:spacing w:after="120" w:line="240" w:lineRule="auto"/>
        <w:contextualSpacing/>
        <w:jc w:val="both"/>
        <w:rPr>
          <w:rFonts w:cs="Times New Roman"/>
          <w:sz w:val="28"/>
          <w:szCs w:val="28"/>
        </w:rPr>
      </w:pPr>
      <w:r w:rsidRPr="00C960F5">
        <w:rPr>
          <w:rFonts w:cs="Times New Roman"/>
          <w:sz w:val="28"/>
          <w:szCs w:val="28"/>
        </w:rPr>
        <w:t>Marszałkiem Województwa Wielkopolskiego,</w:t>
      </w:r>
    </w:p>
    <w:p w14:paraId="0BACABC4" w14:textId="77777777" w:rsidR="00C960F5" w:rsidRPr="00C960F5" w:rsidRDefault="00C960F5" w:rsidP="00C960F5">
      <w:pPr>
        <w:widowControl w:val="0"/>
        <w:numPr>
          <w:ilvl w:val="0"/>
          <w:numId w:val="44"/>
        </w:numPr>
        <w:autoSpaceDE w:val="0"/>
        <w:spacing w:after="120" w:line="240" w:lineRule="auto"/>
        <w:contextualSpacing/>
        <w:jc w:val="both"/>
        <w:rPr>
          <w:rFonts w:cs="Times New Roman"/>
          <w:sz w:val="28"/>
          <w:szCs w:val="28"/>
        </w:rPr>
      </w:pPr>
      <w:r w:rsidRPr="00C960F5">
        <w:rPr>
          <w:rFonts w:cs="Times New Roman"/>
          <w:sz w:val="28"/>
          <w:szCs w:val="28"/>
        </w:rPr>
        <w:t>Starostą Śremskim i Dyrektorem Zarządu Zlewni Państwowego Gospodarstwa Wodnego Wody Polskie w Poznaniu,</w:t>
      </w:r>
    </w:p>
    <w:p w14:paraId="7A4628AF" w14:textId="77777777" w:rsidR="00C960F5" w:rsidRPr="00C960F5" w:rsidRDefault="00C960F5" w:rsidP="00C960F5">
      <w:pPr>
        <w:widowControl w:val="0"/>
        <w:numPr>
          <w:ilvl w:val="0"/>
          <w:numId w:val="44"/>
        </w:numPr>
        <w:autoSpaceDE w:val="0"/>
        <w:spacing w:after="120" w:line="240" w:lineRule="auto"/>
        <w:contextualSpacing/>
        <w:jc w:val="both"/>
        <w:rPr>
          <w:rFonts w:cs="Times New Roman"/>
          <w:sz w:val="28"/>
          <w:szCs w:val="28"/>
        </w:rPr>
      </w:pPr>
      <w:r w:rsidRPr="00C960F5">
        <w:rPr>
          <w:rFonts w:cs="Times New Roman"/>
          <w:sz w:val="28"/>
          <w:szCs w:val="28"/>
        </w:rPr>
        <w:t>Dyrektorem Powiatowego Zarządu Dróg w Śremie.</w:t>
      </w:r>
    </w:p>
    <w:p w14:paraId="7093C166" w14:textId="77777777" w:rsidR="00C960F5" w:rsidRPr="00C960F5" w:rsidRDefault="00C960F5" w:rsidP="00C960F5">
      <w:pPr>
        <w:widowControl w:val="0"/>
        <w:autoSpaceDE w:val="0"/>
        <w:spacing w:after="120" w:line="240" w:lineRule="auto"/>
        <w:ind w:firstLine="567"/>
        <w:jc w:val="both"/>
        <w:rPr>
          <w:rFonts w:cstheme="minorHAnsi"/>
          <w:sz w:val="28"/>
          <w:szCs w:val="28"/>
        </w:rPr>
      </w:pPr>
      <w:r w:rsidRPr="00C960F5">
        <w:rPr>
          <w:rFonts w:cstheme="minorHAnsi"/>
          <w:sz w:val="28"/>
          <w:szCs w:val="28"/>
        </w:rPr>
        <w:t>Projekt decyzji nie wymagał zaopiniowania przez operatorów, o których mowa w art. 53 ust. 5e w związku z art. 64 ust. 1 u.p.z.p.</w:t>
      </w:r>
    </w:p>
    <w:p w14:paraId="6F6F61C2" w14:textId="77777777" w:rsidR="00C960F5" w:rsidRPr="00C960F5" w:rsidRDefault="00C960F5" w:rsidP="00C960F5">
      <w:pPr>
        <w:widowControl w:val="0"/>
        <w:autoSpaceDE w:val="0"/>
        <w:spacing w:after="120" w:line="240" w:lineRule="auto"/>
        <w:ind w:firstLine="567"/>
        <w:jc w:val="both"/>
        <w:rPr>
          <w:rFonts w:cstheme="minorHAnsi"/>
          <w:sz w:val="28"/>
          <w:szCs w:val="28"/>
        </w:rPr>
      </w:pPr>
      <w:r w:rsidRPr="00C960F5">
        <w:rPr>
          <w:rFonts w:cstheme="minorHAnsi"/>
          <w:sz w:val="28"/>
          <w:szCs w:val="28"/>
        </w:rPr>
        <w:t>W ramach wewnętrznej procedury projekt decyzji uzyskał stanowisko zarządcy drogi gminnej – ul. Ojca Jana Góry, czyli Burmistrza Śremu.</w:t>
      </w:r>
    </w:p>
    <w:p w14:paraId="1F064B7C" w14:textId="77777777" w:rsidR="00C960F5" w:rsidRPr="00C960F5" w:rsidRDefault="00C960F5" w:rsidP="00C960F5">
      <w:pPr>
        <w:widowControl w:val="0"/>
        <w:autoSpaceDE w:val="0"/>
        <w:spacing w:after="120" w:line="240" w:lineRule="auto"/>
        <w:ind w:firstLine="567"/>
        <w:jc w:val="both"/>
        <w:rPr>
          <w:rFonts w:cstheme="minorHAnsi"/>
          <w:sz w:val="28"/>
          <w:szCs w:val="28"/>
        </w:rPr>
      </w:pPr>
      <w:r w:rsidRPr="00C960F5">
        <w:rPr>
          <w:rFonts w:cstheme="minorHAnsi"/>
          <w:sz w:val="28"/>
          <w:szCs w:val="28"/>
        </w:rPr>
        <w:t>Projekt decyzji wymaga uzgodnienia z Powiatowym Państwowym Inspektorem Sanitarnym na podstawie art. 3 pkt 1a ustawy z dnia 14 marca 1985 r. o Państwowej Inspekcji Sanitarnej (Dz. U. z 2023 r. poz. 338 i 1688).</w:t>
      </w:r>
    </w:p>
    <w:p w14:paraId="4F8A9F33" w14:textId="77777777" w:rsidR="00C960F5" w:rsidRPr="00C960F5" w:rsidRDefault="00C960F5" w:rsidP="00C960F5">
      <w:pPr>
        <w:widowControl w:val="0"/>
        <w:autoSpaceDE w:val="0"/>
        <w:spacing w:after="120" w:line="240" w:lineRule="auto"/>
        <w:ind w:firstLine="567"/>
        <w:jc w:val="both"/>
        <w:rPr>
          <w:rFonts w:cstheme="minorHAnsi"/>
          <w:sz w:val="28"/>
        </w:rPr>
      </w:pPr>
      <w:r w:rsidRPr="00C960F5">
        <w:rPr>
          <w:rFonts w:cstheme="minorHAnsi"/>
          <w:sz w:val="28"/>
        </w:rPr>
        <w:t xml:space="preserve">Zgodnie z utrwaloną linią orzecznictwa sądowo-administracyjnego (vide: wyrok NSA z dnia 12.03.2019 r. sygn. akt II OSK 1024/17; wyrok WSA w Poznaniu z dnia 19.09.2019 r. sygn. akt IV SA/Po 417/19) stronami w postępowaniu o ustalenie warunków zabudowy i zagospodarowania terenu mogą być właściciele lub użytkownicy wieczyści działek sąsiednich. Stronami tego postępowania mogą być także, w zależności od okoliczności, właściciele działek niesąsiadujących bezpośrednio z terenem planowanej inwestycji. O interesie prawnym właściciela działki leżącej w sąsiedztwie działki, której dotyczy postępowanie o wydanie warunków zabudowy, decyduje nie charakter tego sąsiedztwa (bezpośredni, pośredni), ale zasięg oddziaływania danej inwestycji na nieruchomości sąsiednie oraz stopień jej uciążliwości dla tych nieruchomości. Organ prowadzący postępowanie w sprawie warunków zabudowy ma obowiązek zbadać rodzaj inwestycji, jej rozmiary oraz stopień i zakres jej uciążliwości dla otoczenia, a następnie ustalić, jak daleko sięgać będzie oddziaływanie planowanej inwestycji. Zakres tego oddziaływania pozwala na ustalenie kręgu osób, które mają interes prawny w sprawie. </w:t>
      </w:r>
    </w:p>
    <w:p w14:paraId="140A487D" w14:textId="77777777" w:rsidR="00C960F5" w:rsidRPr="00C960F5" w:rsidRDefault="00C960F5" w:rsidP="00C960F5">
      <w:pPr>
        <w:widowControl w:val="0"/>
        <w:autoSpaceDE w:val="0"/>
        <w:spacing w:after="120" w:line="240" w:lineRule="auto"/>
        <w:jc w:val="both"/>
        <w:rPr>
          <w:rFonts w:cstheme="minorHAnsi"/>
          <w:sz w:val="28"/>
        </w:rPr>
      </w:pPr>
    </w:p>
    <w:p w14:paraId="698B9888" w14:textId="77777777" w:rsidR="00C960F5" w:rsidRPr="00C960F5" w:rsidRDefault="00C960F5" w:rsidP="00C960F5">
      <w:pPr>
        <w:widowControl w:val="0"/>
        <w:autoSpaceDE w:val="0"/>
        <w:spacing w:after="120" w:line="240" w:lineRule="auto"/>
        <w:jc w:val="both"/>
        <w:rPr>
          <w:rFonts w:cstheme="minorHAnsi"/>
          <w:sz w:val="28"/>
        </w:rPr>
      </w:pPr>
      <w:r w:rsidRPr="00C960F5">
        <w:rPr>
          <w:rFonts w:cstheme="minorHAnsi"/>
          <w:sz w:val="28"/>
        </w:rPr>
        <w:lastRenderedPageBreak/>
        <w:t>W myśl wyroku Wojewódzkiego Sądu Administracyjnego w Poznaniu z dnia 17.01.2019 r. sygn. akt II SA/Po 671/18: „Tylko ograniczenia w zagospodarowaniu nieruchomości wynikające z konkretnego przepisu prawa dają podstawę do uczestnictwa w charakterze strony w postępowaniu administracyjnym dotyczącym konkretnej inwestycji. Natomiast ograniczenia, które nie są wynikiem istnienia przepisów prawnych nie dają podstawy do uznania danego podmiotu za stronę postępowania w tego typu sprawie, wówczas bowiem istnieje interes faktyczny, a nie interes prawny”.</w:t>
      </w:r>
    </w:p>
    <w:p w14:paraId="2B67914B" w14:textId="77777777" w:rsidR="00C960F5" w:rsidRPr="00C960F5" w:rsidRDefault="00C960F5" w:rsidP="00C960F5">
      <w:pPr>
        <w:widowControl w:val="0"/>
        <w:autoSpaceDE w:val="0"/>
        <w:spacing w:after="120" w:line="240" w:lineRule="auto"/>
        <w:ind w:firstLine="567"/>
        <w:jc w:val="both"/>
        <w:rPr>
          <w:rFonts w:cstheme="minorHAnsi"/>
          <w:sz w:val="28"/>
        </w:rPr>
      </w:pPr>
      <w:r w:rsidRPr="00C960F5">
        <w:rPr>
          <w:rFonts w:cstheme="minorHAnsi"/>
          <w:sz w:val="28"/>
        </w:rPr>
        <w:t>Ze względu na charakter i skalę planowanej inwestycji oraz przewidywane oddziaływania planowanej inwestycji na nieruchomości sąsiednie zakresem oddziaływania planowanej inwestycji objęty jest teren: działka o nr ewid. 10/11, obręb Luciny oraz działki o nr ewid.: 10/6, 10/8, 10/9, 10/10, 11/3, 422/14, 422/21, 9/24, 9/29, 11/1, 422/10, 9/31, 9/32, 9/33, 422/19, 422/15, 422/18, 422/13, 10/1, 9/12, 9/19, 9/20, 9/23, 9/21, 9/22, obręb Luciny.</w:t>
      </w:r>
    </w:p>
    <w:p w14:paraId="3F3DB5B3" w14:textId="77777777" w:rsidR="00C960F5" w:rsidRPr="00C960F5" w:rsidRDefault="00C960F5" w:rsidP="00C960F5">
      <w:pPr>
        <w:widowControl w:val="0"/>
        <w:autoSpaceDE w:val="0"/>
        <w:spacing w:after="120" w:line="240" w:lineRule="auto"/>
        <w:ind w:firstLine="567"/>
        <w:jc w:val="both"/>
        <w:rPr>
          <w:rFonts w:cstheme="minorHAnsi"/>
          <w:sz w:val="28"/>
        </w:rPr>
      </w:pPr>
      <w:r w:rsidRPr="00C960F5">
        <w:rPr>
          <w:rFonts w:cstheme="minorHAnsi"/>
          <w:sz w:val="28"/>
        </w:rPr>
        <w:t>Biorąc powyższe pod uwagę za strony postępowania zostali uznani Wnioskodawca będący jednocześnie właścicielem działki objętej wnioskiem oraz właściciele / współwłaściciele działek o nr ewid.: 10/6, 10/8, 10/9, 10/10, 11/3, 422/14, 422/21, 9/24, 9/29, 11/1, 422/10, 9/31, 9/32, 9/33, 422/19, 422/15, 422/18, 422/13, 10/1, 9/12, 9/19, 9/20, 9/23, 9/21, 9/22, obręb Luciny.</w:t>
      </w:r>
    </w:p>
    <w:p w14:paraId="3D706A7F" w14:textId="77777777" w:rsidR="00C960F5" w:rsidRPr="00C960F5" w:rsidRDefault="00C960F5" w:rsidP="00C960F5">
      <w:pPr>
        <w:tabs>
          <w:tab w:val="left" w:pos="851"/>
        </w:tabs>
        <w:spacing w:after="120" w:line="240" w:lineRule="auto"/>
        <w:ind w:firstLine="567"/>
        <w:jc w:val="both"/>
        <w:rPr>
          <w:rFonts w:cstheme="minorHAnsi"/>
          <w:sz w:val="28"/>
        </w:rPr>
      </w:pPr>
      <w:r w:rsidRPr="00C960F5">
        <w:rPr>
          <w:rFonts w:cstheme="minorHAnsi"/>
          <w:sz w:val="28"/>
        </w:rPr>
        <w:t>Ustalając warunki zabudowy i zagospodarowania terenu dla nowej zabudowy, w rozpatrywanej sprawie, dostosowano je do cech i parametrów architektonicznych i urbanistycznych wyznaczonych przez stan dotychczasowej zabudowy, uwzględniając wymogi ładu przestrzennego.</w:t>
      </w:r>
    </w:p>
    <w:p w14:paraId="1CB25524" w14:textId="77777777" w:rsidR="00C960F5" w:rsidRPr="00C960F5" w:rsidRDefault="00C960F5" w:rsidP="00C960F5">
      <w:pPr>
        <w:tabs>
          <w:tab w:val="left" w:pos="851"/>
        </w:tabs>
        <w:spacing w:after="120" w:line="240" w:lineRule="auto"/>
        <w:ind w:firstLine="567"/>
        <w:jc w:val="both"/>
        <w:rPr>
          <w:rFonts w:cstheme="minorHAnsi"/>
          <w:sz w:val="28"/>
          <w:szCs w:val="28"/>
        </w:rPr>
      </w:pPr>
      <w:r w:rsidRPr="00C960F5">
        <w:rPr>
          <w:rFonts w:cstheme="minorHAnsi"/>
          <w:sz w:val="28"/>
          <w:szCs w:val="28"/>
        </w:rPr>
        <w:t xml:space="preserve">Stosownie do art. 56, w związku z art. 64 u.p.z.p. nie można odmówić ustalenia warunków zabudowy, jeżeli zamierzenie inwestycyjne jest zgodne z przepisami odrębnymi. </w:t>
      </w:r>
    </w:p>
    <w:p w14:paraId="0079191A" w14:textId="77777777" w:rsidR="00C960F5" w:rsidRPr="00C960F5" w:rsidRDefault="00C960F5" w:rsidP="00C960F5">
      <w:pPr>
        <w:tabs>
          <w:tab w:val="left" w:pos="851"/>
        </w:tabs>
        <w:spacing w:after="120" w:line="240" w:lineRule="auto"/>
        <w:ind w:firstLine="567"/>
        <w:jc w:val="both"/>
        <w:rPr>
          <w:rFonts w:cstheme="minorHAnsi"/>
          <w:sz w:val="28"/>
          <w:szCs w:val="28"/>
        </w:rPr>
      </w:pPr>
      <w:r w:rsidRPr="00C960F5">
        <w:rPr>
          <w:rFonts w:cstheme="minorHAnsi"/>
          <w:sz w:val="28"/>
          <w:szCs w:val="28"/>
        </w:rPr>
        <w:t>Reasumując, Burmistrz Śremu jako organ właściwy do wydania decyzji o warunkach zabudowy jest zobowiązany wydać pozytywne rozstrzygnięcie, jeśli wnioskowane zamierzenie inwestycyjne czyni zadość wszystkim wymogom wynikającym z przepisów prawa powszechnie obowiązującego, co miało miejsce w analizowanej sprawie. Nadto wnioskowana inwestycja spełnia łącznie ustawowe przesłanki, o których mowa w u.p.z.p.</w:t>
      </w:r>
    </w:p>
    <w:p w14:paraId="40C4B7D0" w14:textId="77777777" w:rsidR="00C960F5" w:rsidRPr="00C960F5" w:rsidRDefault="00C960F5" w:rsidP="00C960F5">
      <w:pPr>
        <w:spacing w:after="120" w:line="240" w:lineRule="auto"/>
        <w:jc w:val="center"/>
        <w:rPr>
          <w:rFonts w:cstheme="minorHAnsi"/>
          <w:sz w:val="28"/>
          <w:szCs w:val="28"/>
        </w:rPr>
      </w:pPr>
      <w:r w:rsidRPr="00C960F5">
        <w:rPr>
          <w:rFonts w:cstheme="minorHAnsi"/>
          <w:sz w:val="28"/>
          <w:szCs w:val="28"/>
        </w:rPr>
        <w:t>W związku z powyższym orzeczono jak w sentencji.</w:t>
      </w:r>
    </w:p>
    <w:p w14:paraId="55CC7756" w14:textId="77777777" w:rsidR="00C960F5" w:rsidRPr="00C960F5" w:rsidRDefault="00C960F5" w:rsidP="00C960F5">
      <w:pPr>
        <w:spacing w:after="120" w:line="240" w:lineRule="auto"/>
        <w:jc w:val="center"/>
        <w:rPr>
          <w:rFonts w:cstheme="minorHAnsi"/>
          <w:sz w:val="28"/>
          <w:szCs w:val="28"/>
        </w:rPr>
      </w:pPr>
    </w:p>
    <w:p w14:paraId="200AFC34" w14:textId="77777777" w:rsidR="00C960F5" w:rsidRPr="00C960F5" w:rsidRDefault="00C960F5" w:rsidP="00C960F5">
      <w:pPr>
        <w:spacing w:after="120" w:line="240" w:lineRule="auto"/>
        <w:jc w:val="center"/>
        <w:rPr>
          <w:rFonts w:cstheme="minorHAnsi"/>
          <w:sz w:val="28"/>
          <w:szCs w:val="28"/>
        </w:rPr>
      </w:pPr>
    </w:p>
    <w:p w14:paraId="607A2830" w14:textId="77777777" w:rsidR="00C960F5" w:rsidRPr="00C960F5" w:rsidRDefault="00C960F5" w:rsidP="00C960F5">
      <w:pPr>
        <w:spacing w:after="120" w:line="240" w:lineRule="auto"/>
        <w:jc w:val="center"/>
        <w:rPr>
          <w:rFonts w:cstheme="minorHAnsi"/>
          <w:sz w:val="28"/>
          <w:szCs w:val="28"/>
        </w:rPr>
      </w:pPr>
      <w:r w:rsidRPr="00C960F5">
        <w:rPr>
          <w:rFonts w:cstheme="minorHAnsi"/>
          <w:sz w:val="28"/>
          <w:szCs w:val="28"/>
        </w:rPr>
        <w:lastRenderedPageBreak/>
        <w:t>Pouczenie</w:t>
      </w:r>
    </w:p>
    <w:p w14:paraId="49649659" w14:textId="77777777" w:rsidR="00C960F5" w:rsidRPr="00C960F5" w:rsidRDefault="00C960F5" w:rsidP="00C960F5">
      <w:pPr>
        <w:spacing w:after="120" w:line="240" w:lineRule="auto"/>
        <w:ind w:firstLine="567"/>
        <w:jc w:val="both"/>
        <w:rPr>
          <w:rFonts w:cstheme="minorHAnsi"/>
          <w:sz w:val="28"/>
          <w:szCs w:val="28"/>
        </w:rPr>
      </w:pPr>
      <w:r w:rsidRPr="00C960F5">
        <w:rPr>
          <w:rFonts w:cstheme="minorHAnsi"/>
          <w:sz w:val="28"/>
          <w:szCs w:val="28"/>
        </w:rPr>
        <w:t>Stosownie do art. 63 pkt 2 u.p.z.p. decyzja o warunkach zabudowy nie rodzi praw do terenu oraz nie narusza prawa własności i uprawnień osób trzecich.</w:t>
      </w:r>
    </w:p>
    <w:p w14:paraId="32E8B72A" w14:textId="77777777" w:rsidR="00C960F5" w:rsidRPr="00C960F5" w:rsidRDefault="00C960F5" w:rsidP="00C960F5">
      <w:pPr>
        <w:spacing w:after="120" w:line="240" w:lineRule="auto"/>
        <w:ind w:firstLine="567"/>
        <w:jc w:val="both"/>
        <w:rPr>
          <w:rFonts w:cstheme="minorHAnsi"/>
          <w:sz w:val="28"/>
          <w:szCs w:val="28"/>
        </w:rPr>
      </w:pPr>
      <w:r w:rsidRPr="00C960F5">
        <w:rPr>
          <w:rFonts w:cstheme="minorHAnsi"/>
          <w:sz w:val="28"/>
          <w:szCs w:val="28"/>
        </w:rPr>
        <w:t>Od niniejszej decyzji służy stronom prawo wniesienia odwołania do Samorządowego Kolegium Odwoławczego w Poznaniu, za moim pośrednictwem, w terminie 14 dni od dnia doręczenia.</w:t>
      </w:r>
    </w:p>
    <w:p w14:paraId="24C79024" w14:textId="77777777" w:rsidR="00C960F5" w:rsidRPr="00C960F5" w:rsidRDefault="00C960F5" w:rsidP="00C960F5">
      <w:pPr>
        <w:spacing w:after="120" w:line="240" w:lineRule="auto"/>
        <w:ind w:firstLine="567"/>
        <w:jc w:val="both"/>
        <w:rPr>
          <w:rFonts w:cstheme="minorHAnsi"/>
          <w:sz w:val="28"/>
          <w:szCs w:val="28"/>
        </w:rPr>
      </w:pPr>
      <w:r w:rsidRPr="00C960F5">
        <w:rPr>
          <w:rFonts w:cstheme="minorHAnsi"/>
          <w:sz w:val="28"/>
          <w:szCs w:val="28"/>
        </w:rPr>
        <w:t xml:space="preserve">Przed upływem terminu do wniesienia odwołania strona może, na podstawie art. 127a § 1 k.p.a., zrzec się prawa do wniesienia odwołania wobec organu administracji publicznej, który wydał decyzję. </w:t>
      </w:r>
    </w:p>
    <w:p w14:paraId="16F16C4E" w14:textId="77777777" w:rsidR="00C960F5" w:rsidRPr="00C960F5" w:rsidRDefault="00C960F5" w:rsidP="00C960F5">
      <w:pPr>
        <w:spacing w:after="120" w:line="240" w:lineRule="auto"/>
        <w:ind w:firstLine="567"/>
        <w:jc w:val="both"/>
        <w:rPr>
          <w:rFonts w:cstheme="minorHAnsi"/>
          <w:sz w:val="28"/>
          <w:szCs w:val="28"/>
        </w:rPr>
      </w:pPr>
      <w:r w:rsidRPr="00C960F5">
        <w:rPr>
          <w:rFonts w:cstheme="minorHAnsi"/>
          <w:sz w:val="28"/>
          <w:szCs w:val="28"/>
        </w:rPr>
        <w:t>Z dniem doręczenia organowi administracji publicznej oświadczenia o zrzeczeniu się prawa do wniesienia odwołania przez ostatnią ze stron postępowania, decyzja staje się ostateczna i prawomocna.</w:t>
      </w:r>
    </w:p>
    <w:p w14:paraId="46D49ACB" w14:textId="77777777" w:rsidR="00C960F5" w:rsidRPr="00C960F5" w:rsidRDefault="00C960F5" w:rsidP="00C960F5">
      <w:pPr>
        <w:spacing w:after="120" w:line="240" w:lineRule="auto"/>
        <w:ind w:firstLine="567"/>
        <w:jc w:val="both"/>
        <w:rPr>
          <w:sz w:val="28"/>
        </w:rPr>
      </w:pPr>
      <w:r w:rsidRPr="00C960F5">
        <w:rPr>
          <w:sz w:val="28"/>
        </w:rPr>
        <w:t xml:space="preserve">W przypadku niewydania przez Burmistrza Śremu decyzji o warunkach zabudowy w terminie 90 dni od dnia złożenia wniosku o wydanie takiej decyzji, podmiotowi, który wystąpił z wnioskiem o ustalenie warunków zabudowy, przysługuje prawo do wniesienia żądania wymierzenia kary pieniężnej. Żądanie </w:t>
      </w:r>
      <w:r w:rsidRPr="00C960F5">
        <w:rPr>
          <w:color w:val="000000"/>
          <w:sz w:val="28"/>
          <w:shd w:val="clear" w:color="auto" w:fill="FFFFFF"/>
        </w:rPr>
        <w:t>wnosi się za pośrednictwem Burmistrza Śremu w terminie 14 dni od dnia doręczenia decyzji o warunkach zabudowy. Żądanie wniesione po terminie pozostawia się bez rozpoznania.</w:t>
      </w:r>
    </w:p>
    <w:p w14:paraId="15B13F93" w14:textId="77777777" w:rsidR="00BD3058" w:rsidRPr="00BD3058" w:rsidRDefault="00BD3058" w:rsidP="00BD3058">
      <w:pPr>
        <w:widowControl w:val="0"/>
        <w:autoSpaceDE w:val="0"/>
        <w:autoSpaceDN w:val="0"/>
        <w:adjustRightInd w:val="0"/>
        <w:spacing w:after="120" w:line="240" w:lineRule="auto"/>
        <w:ind w:right="-1"/>
        <w:jc w:val="both"/>
        <w:rPr>
          <w:rFonts w:cstheme="minorHAnsi"/>
          <w:sz w:val="28"/>
          <w:szCs w:val="28"/>
        </w:rPr>
      </w:pPr>
    </w:p>
    <w:p w14:paraId="366039AF" w14:textId="77777777" w:rsidR="00BD3058" w:rsidRPr="00ED19D2" w:rsidRDefault="00BD3058" w:rsidP="00BD3058">
      <w:pPr>
        <w:spacing w:after="0" w:line="240" w:lineRule="auto"/>
        <w:ind w:left="3540"/>
        <w:jc w:val="center"/>
        <w:rPr>
          <w:rFonts w:ascii="Calibri" w:hAnsi="Calibri" w:cs="Calibri"/>
          <w:sz w:val="28"/>
          <w:szCs w:val="28"/>
        </w:rPr>
      </w:pPr>
      <w:r w:rsidRPr="00ED19D2">
        <w:rPr>
          <w:rFonts w:ascii="Calibri" w:hAnsi="Calibri" w:cs="Calibri"/>
          <w:sz w:val="28"/>
          <w:szCs w:val="28"/>
        </w:rPr>
        <w:t>(-) z up. BURMISTRZA</w:t>
      </w:r>
    </w:p>
    <w:p w14:paraId="2491C39F" w14:textId="77777777" w:rsidR="00BD3058" w:rsidRPr="00ED19D2" w:rsidRDefault="00BD3058" w:rsidP="00BD3058">
      <w:pPr>
        <w:spacing w:after="0" w:line="240" w:lineRule="auto"/>
        <w:ind w:left="3540"/>
        <w:jc w:val="center"/>
        <w:rPr>
          <w:rFonts w:ascii="Calibri" w:hAnsi="Calibri" w:cs="Calibri"/>
          <w:sz w:val="28"/>
          <w:szCs w:val="28"/>
        </w:rPr>
      </w:pPr>
      <w:r w:rsidRPr="00ED19D2">
        <w:rPr>
          <w:rFonts w:ascii="Calibri" w:hAnsi="Calibri" w:cs="Calibri"/>
          <w:sz w:val="28"/>
          <w:szCs w:val="28"/>
        </w:rPr>
        <w:t>Katarzyna Bednarowicz</w:t>
      </w:r>
    </w:p>
    <w:p w14:paraId="070A6476" w14:textId="77777777" w:rsidR="00BD3058" w:rsidRPr="00ED19D2" w:rsidRDefault="00BD3058" w:rsidP="00BD3058">
      <w:pPr>
        <w:spacing w:after="0" w:line="240" w:lineRule="auto"/>
        <w:ind w:left="3540"/>
        <w:jc w:val="center"/>
        <w:rPr>
          <w:rFonts w:ascii="Calibri" w:hAnsi="Calibri" w:cs="Calibri"/>
          <w:sz w:val="28"/>
          <w:szCs w:val="28"/>
        </w:rPr>
      </w:pPr>
      <w:r w:rsidRPr="00ED19D2">
        <w:rPr>
          <w:rFonts w:ascii="Calibri" w:hAnsi="Calibri" w:cs="Calibri"/>
          <w:sz w:val="28"/>
          <w:szCs w:val="28"/>
        </w:rPr>
        <w:t>naczelnik Pionu Gospodarowania</w:t>
      </w:r>
    </w:p>
    <w:p w14:paraId="34BCB119" w14:textId="77777777" w:rsidR="00BD3058" w:rsidRPr="00ED19D2" w:rsidRDefault="00BD3058" w:rsidP="00BD3058">
      <w:pPr>
        <w:spacing w:after="0" w:line="240" w:lineRule="auto"/>
        <w:ind w:left="3540"/>
        <w:jc w:val="center"/>
        <w:rPr>
          <w:rFonts w:ascii="Calibri" w:hAnsi="Calibri" w:cs="Calibri"/>
          <w:sz w:val="28"/>
          <w:szCs w:val="28"/>
        </w:rPr>
      </w:pPr>
      <w:r w:rsidRPr="00ED19D2">
        <w:rPr>
          <w:rFonts w:ascii="Calibri" w:hAnsi="Calibri" w:cs="Calibri"/>
          <w:sz w:val="28"/>
          <w:szCs w:val="28"/>
        </w:rPr>
        <w:t>Przestrzenią i Środowiskiem</w:t>
      </w:r>
    </w:p>
    <w:p w14:paraId="45E2E8B2" w14:textId="77777777" w:rsidR="00BD3058" w:rsidRPr="00ED19D2" w:rsidRDefault="00BD3058" w:rsidP="00BD3058">
      <w:pPr>
        <w:spacing w:after="0" w:line="240" w:lineRule="auto"/>
        <w:ind w:left="3540"/>
        <w:jc w:val="center"/>
        <w:rPr>
          <w:rFonts w:ascii="Calibri" w:hAnsi="Calibri" w:cs="Calibri"/>
          <w:sz w:val="28"/>
          <w:szCs w:val="28"/>
        </w:rPr>
      </w:pPr>
      <w:r w:rsidRPr="00ED19D2">
        <w:rPr>
          <w:rFonts w:ascii="Calibri" w:hAnsi="Calibri" w:cs="Calibri"/>
          <w:sz w:val="28"/>
          <w:szCs w:val="28"/>
        </w:rPr>
        <w:t>/dokument podpisany elektronicznie/</w:t>
      </w:r>
    </w:p>
    <w:p w14:paraId="4BE0AFDC" w14:textId="77777777" w:rsidR="00BD3058" w:rsidRPr="00BD3058" w:rsidRDefault="00BD3058" w:rsidP="00BD3058">
      <w:pPr>
        <w:widowControl w:val="0"/>
        <w:autoSpaceDE w:val="0"/>
        <w:autoSpaceDN w:val="0"/>
        <w:adjustRightInd w:val="0"/>
        <w:spacing w:after="120" w:line="240" w:lineRule="auto"/>
        <w:ind w:right="-1"/>
        <w:jc w:val="both"/>
        <w:rPr>
          <w:rFonts w:cstheme="minorHAnsi"/>
          <w:sz w:val="28"/>
          <w:szCs w:val="28"/>
        </w:rPr>
      </w:pPr>
    </w:p>
    <w:p w14:paraId="05C77360" w14:textId="77777777" w:rsidR="00BD3058" w:rsidRPr="00BD3058" w:rsidRDefault="00BD3058" w:rsidP="00BD3058">
      <w:pPr>
        <w:widowControl w:val="0"/>
        <w:autoSpaceDE w:val="0"/>
        <w:autoSpaceDN w:val="0"/>
        <w:adjustRightInd w:val="0"/>
        <w:spacing w:after="120" w:line="240" w:lineRule="auto"/>
        <w:ind w:right="-1"/>
        <w:jc w:val="both"/>
        <w:rPr>
          <w:rFonts w:cstheme="minorHAnsi"/>
          <w:sz w:val="28"/>
          <w:szCs w:val="28"/>
        </w:rPr>
      </w:pPr>
      <w:r w:rsidRPr="00BD3058">
        <w:rPr>
          <w:rFonts w:cstheme="minorHAnsi"/>
          <w:sz w:val="28"/>
          <w:szCs w:val="28"/>
        </w:rPr>
        <w:t>Załączniki:</w:t>
      </w:r>
    </w:p>
    <w:p w14:paraId="4FA1E54B" w14:textId="77777777" w:rsidR="00BD3058" w:rsidRPr="00BD3058" w:rsidRDefault="00BD3058">
      <w:pPr>
        <w:numPr>
          <w:ilvl w:val="0"/>
          <w:numId w:val="5"/>
        </w:numPr>
        <w:spacing w:after="120" w:line="240" w:lineRule="auto"/>
        <w:ind w:right="-1"/>
        <w:jc w:val="both"/>
        <w:rPr>
          <w:rFonts w:cstheme="minorHAnsi"/>
          <w:sz w:val="28"/>
          <w:szCs w:val="28"/>
        </w:rPr>
      </w:pPr>
      <w:r w:rsidRPr="00BD3058">
        <w:rPr>
          <w:rFonts w:cstheme="minorHAnsi"/>
          <w:sz w:val="28"/>
          <w:szCs w:val="28"/>
        </w:rPr>
        <w:t>załącznik nr 1 – część graficzna decyzji,</w:t>
      </w:r>
    </w:p>
    <w:p w14:paraId="10E649A9" w14:textId="77777777" w:rsidR="00BD3058" w:rsidRPr="00BD3058" w:rsidRDefault="00BD3058">
      <w:pPr>
        <w:numPr>
          <w:ilvl w:val="0"/>
          <w:numId w:val="5"/>
        </w:numPr>
        <w:spacing w:after="120" w:line="240" w:lineRule="auto"/>
        <w:ind w:right="-1"/>
        <w:jc w:val="both"/>
        <w:rPr>
          <w:rFonts w:cstheme="minorHAnsi"/>
          <w:sz w:val="28"/>
          <w:szCs w:val="28"/>
        </w:rPr>
      </w:pPr>
      <w:r w:rsidRPr="00BD3058">
        <w:rPr>
          <w:rFonts w:cstheme="minorHAnsi"/>
          <w:sz w:val="28"/>
          <w:szCs w:val="28"/>
        </w:rPr>
        <w:t>załącznik nr 2 – część tekstowa wyników analizy funkcji oraz cech zabudowy i zagospodarowania terenu,</w:t>
      </w:r>
    </w:p>
    <w:p w14:paraId="6DA4A2F2" w14:textId="77777777" w:rsidR="00BD3058" w:rsidRPr="00BD3058" w:rsidRDefault="00BD3058">
      <w:pPr>
        <w:numPr>
          <w:ilvl w:val="0"/>
          <w:numId w:val="5"/>
        </w:numPr>
        <w:spacing w:after="120" w:line="240" w:lineRule="auto"/>
        <w:ind w:right="-1"/>
        <w:jc w:val="both"/>
        <w:rPr>
          <w:rFonts w:cstheme="minorHAnsi"/>
          <w:sz w:val="28"/>
          <w:szCs w:val="28"/>
        </w:rPr>
      </w:pPr>
      <w:r w:rsidRPr="00BD3058">
        <w:rPr>
          <w:rFonts w:cstheme="minorHAnsi"/>
          <w:sz w:val="28"/>
          <w:szCs w:val="28"/>
        </w:rPr>
        <w:t>załącznik nr 3 – część graficzna wyników analizy funkcji oraz cech zabudowy i zagospodarowania terenu,</w:t>
      </w:r>
    </w:p>
    <w:p w14:paraId="600C13D9" w14:textId="77777777" w:rsidR="00BD3058" w:rsidRPr="00BD3058" w:rsidRDefault="00BD3058">
      <w:pPr>
        <w:numPr>
          <w:ilvl w:val="0"/>
          <w:numId w:val="5"/>
        </w:numPr>
        <w:spacing w:after="120" w:line="240" w:lineRule="auto"/>
        <w:ind w:right="-1"/>
        <w:jc w:val="both"/>
        <w:rPr>
          <w:rFonts w:cstheme="minorHAnsi"/>
          <w:sz w:val="28"/>
          <w:szCs w:val="28"/>
        </w:rPr>
      </w:pPr>
      <w:r w:rsidRPr="00BD3058">
        <w:rPr>
          <w:rFonts w:cstheme="minorHAnsi"/>
          <w:sz w:val="28"/>
          <w:szCs w:val="28"/>
        </w:rPr>
        <w:t>załącznik nr 4 – dane osobowe Stron postępowania (w aktach sprawy).</w:t>
      </w:r>
    </w:p>
    <w:p w14:paraId="4A626870" w14:textId="77777777" w:rsidR="00BD3058" w:rsidRPr="00BD3058" w:rsidRDefault="00BD3058" w:rsidP="00BD3058">
      <w:pPr>
        <w:spacing w:after="0" w:line="240" w:lineRule="auto"/>
        <w:jc w:val="both"/>
        <w:rPr>
          <w:rFonts w:cstheme="minorHAnsi"/>
          <w:sz w:val="28"/>
          <w:szCs w:val="28"/>
        </w:rPr>
      </w:pPr>
    </w:p>
    <w:p w14:paraId="3C4D6D26" w14:textId="77777777" w:rsidR="00BD3058" w:rsidRPr="00BD3058" w:rsidRDefault="00BD3058" w:rsidP="00BD3058">
      <w:pPr>
        <w:spacing w:after="0" w:line="240" w:lineRule="auto"/>
        <w:jc w:val="both"/>
        <w:rPr>
          <w:rFonts w:cstheme="minorHAnsi"/>
          <w:sz w:val="28"/>
          <w:szCs w:val="28"/>
        </w:rPr>
      </w:pPr>
      <w:r w:rsidRPr="00BD3058">
        <w:rPr>
          <w:rFonts w:cstheme="minorHAnsi"/>
          <w:sz w:val="28"/>
          <w:szCs w:val="28"/>
        </w:rPr>
        <w:lastRenderedPageBreak/>
        <w:t>Sprawę prowadzi:</w:t>
      </w:r>
    </w:p>
    <w:p w14:paraId="01612A31" w14:textId="77777777" w:rsidR="00BD3058" w:rsidRPr="00BD3058" w:rsidRDefault="00BD3058" w:rsidP="00BD3058">
      <w:pPr>
        <w:spacing w:after="0" w:line="240" w:lineRule="auto"/>
        <w:jc w:val="both"/>
        <w:rPr>
          <w:rFonts w:cstheme="minorHAnsi"/>
          <w:sz w:val="28"/>
          <w:szCs w:val="28"/>
        </w:rPr>
      </w:pPr>
      <w:r w:rsidRPr="00BD3058">
        <w:rPr>
          <w:rFonts w:cstheme="minorHAnsi"/>
          <w:sz w:val="28"/>
          <w:szCs w:val="28"/>
        </w:rPr>
        <w:t>Monika Grzegorek</w:t>
      </w:r>
      <w:r w:rsidRPr="00BD3058">
        <w:rPr>
          <w:rFonts w:cstheme="minorHAnsi"/>
          <w:sz w:val="28"/>
          <w:szCs w:val="28"/>
        </w:rPr>
        <w:tab/>
      </w:r>
    </w:p>
    <w:p w14:paraId="079C560C" w14:textId="77777777" w:rsidR="00BD3058" w:rsidRPr="00BD3058" w:rsidRDefault="00BD3058" w:rsidP="00BD3058">
      <w:pPr>
        <w:spacing w:after="0" w:line="240" w:lineRule="auto"/>
        <w:jc w:val="both"/>
        <w:rPr>
          <w:rFonts w:cstheme="minorHAnsi"/>
          <w:sz w:val="28"/>
          <w:szCs w:val="28"/>
        </w:rPr>
      </w:pPr>
      <w:r w:rsidRPr="00BD3058">
        <w:rPr>
          <w:rFonts w:cstheme="minorHAnsi"/>
          <w:sz w:val="28"/>
          <w:szCs w:val="28"/>
        </w:rPr>
        <w:t>inspektor</w:t>
      </w:r>
    </w:p>
    <w:p w14:paraId="139DBF56" w14:textId="77777777" w:rsidR="00BD3058" w:rsidRPr="00BD3058" w:rsidRDefault="00BD3058" w:rsidP="00BD3058">
      <w:pPr>
        <w:spacing w:after="0" w:line="240" w:lineRule="auto"/>
        <w:jc w:val="both"/>
        <w:rPr>
          <w:rFonts w:cstheme="minorHAnsi"/>
          <w:sz w:val="28"/>
          <w:szCs w:val="28"/>
        </w:rPr>
      </w:pPr>
      <w:r w:rsidRPr="00BD3058">
        <w:rPr>
          <w:rFonts w:cstheme="minorHAnsi"/>
          <w:sz w:val="28"/>
          <w:szCs w:val="28"/>
        </w:rPr>
        <w:t xml:space="preserve">tel. 61 28 47 123 </w:t>
      </w:r>
    </w:p>
    <w:p w14:paraId="650E25BD" w14:textId="77777777" w:rsidR="006838B1" w:rsidRDefault="006838B1" w:rsidP="00BD3058">
      <w:pPr>
        <w:spacing w:after="120" w:line="240" w:lineRule="auto"/>
        <w:jc w:val="both"/>
        <w:rPr>
          <w:rFonts w:cstheme="minorHAnsi"/>
          <w:sz w:val="28"/>
          <w:szCs w:val="28"/>
        </w:rPr>
      </w:pPr>
    </w:p>
    <w:p w14:paraId="25C21555" w14:textId="7C124C83" w:rsidR="00BD3058" w:rsidRPr="00BD3058" w:rsidRDefault="00BD3058" w:rsidP="00BD3058">
      <w:pPr>
        <w:spacing w:after="120" w:line="240" w:lineRule="auto"/>
        <w:jc w:val="both"/>
        <w:rPr>
          <w:rFonts w:cstheme="minorHAnsi"/>
          <w:sz w:val="28"/>
          <w:szCs w:val="28"/>
        </w:rPr>
      </w:pPr>
      <w:r w:rsidRPr="00BD3058">
        <w:rPr>
          <w:rFonts w:cstheme="minorHAnsi"/>
          <w:sz w:val="28"/>
          <w:szCs w:val="28"/>
        </w:rPr>
        <w:t>Otrzymują:</w:t>
      </w:r>
    </w:p>
    <w:p w14:paraId="21B919DC" w14:textId="74CC4A92" w:rsidR="00BD3058" w:rsidRPr="00971466" w:rsidRDefault="00BD3058" w:rsidP="00971466">
      <w:pPr>
        <w:numPr>
          <w:ilvl w:val="0"/>
          <w:numId w:val="18"/>
        </w:numPr>
        <w:rPr>
          <w:rFonts w:cstheme="minorHAnsi"/>
          <w:sz w:val="28"/>
          <w:szCs w:val="28"/>
        </w:rPr>
      </w:pPr>
      <w:r w:rsidRPr="00BD3058">
        <w:rPr>
          <w:rFonts w:cstheme="minorHAnsi"/>
          <w:sz w:val="28"/>
          <w:szCs w:val="28"/>
        </w:rPr>
        <w:t xml:space="preserve">Strona postępowania: </w:t>
      </w:r>
      <w:r w:rsidR="00971466">
        <w:rPr>
          <w:rFonts w:cstheme="minorHAnsi"/>
          <w:sz w:val="28"/>
          <w:szCs w:val="28"/>
        </w:rPr>
        <w:t xml:space="preserve">osoba fizyczna </w:t>
      </w:r>
      <w:r w:rsidR="00971466" w:rsidRPr="00971466">
        <w:rPr>
          <w:rFonts w:cstheme="minorHAnsi"/>
          <w:sz w:val="28"/>
          <w:szCs w:val="28"/>
        </w:rPr>
        <w:t>(dane adresowe w załączniku nr</w:t>
      </w:r>
      <w:r w:rsidR="00971466">
        <w:rPr>
          <w:rFonts w:cstheme="minorHAnsi"/>
          <w:sz w:val="28"/>
          <w:szCs w:val="28"/>
        </w:rPr>
        <w:t> </w:t>
      </w:r>
      <w:r w:rsidR="00971466" w:rsidRPr="00971466">
        <w:rPr>
          <w:rFonts w:cstheme="minorHAnsi"/>
          <w:sz w:val="28"/>
          <w:szCs w:val="28"/>
        </w:rPr>
        <w:t>4 do decyzji)</w:t>
      </w:r>
    </w:p>
    <w:p w14:paraId="5521E30D" w14:textId="77777777" w:rsidR="00BD3058" w:rsidRPr="00BD3058" w:rsidRDefault="00BD3058">
      <w:pPr>
        <w:numPr>
          <w:ilvl w:val="0"/>
          <w:numId w:val="18"/>
        </w:numPr>
        <w:tabs>
          <w:tab w:val="left" w:pos="851"/>
        </w:tabs>
        <w:spacing w:after="120" w:line="240" w:lineRule="auto"/>
        <w:contextualSpacing/>
        <w:jc w:val="both"/>
        <w:rPr>
          <w:rFonts w:cstheme="minorHAnsi"/>
          <w:sz w:val="28"/>
          <w:szCs w:val="28"/>
        </w:rPr>
      </w:pPr>
      <w:r w:rsidRPr="00BD3058">
        <w:rPr>
          <w:rFonts w:cstheme="minorHAnsi"/>
          <w:sz w:val="28"/>
          <w:szCs w:val="28"/>
        </w:rPr>
        <w:t xml:space="preserve">Pozostałe Strony postępowania zgodnie z załącznikiem nr 4 do decyzji w formie publicznego obwieszczenia </w:t>
      </w:r>
    </w:p>
    <w:p w14:paraId="10104EEB" w14:textId="77777777" w:rsidR="00BD3058" w:rsidRPr="00BD3058" w:rsidRDefault="00BD3058">
      <w:pPr>
        <w:numPr>
          <w:ilvl w:val="0"/>
          <w:numId w:val="18"/>
        </w:numPr>
        <w:tabs>
          <w:tab w:val="left" w:pos="851"/>
        </w:tabs>
        <w:spacing w:after="120" w:line="240" w:lineRule="auto"/>
        <w:contextualSpacing/>
        <w:jc w:val="both"/>
        <w:rPr>
          <w:rFonts w:cstheme="minorHAnsi"/>
          <w:sz w:val="28"/>
          <w:szCs w:val="28"/>
        </w:rPr>
      </w:pPr>
      <w:r w:rsidRPr="00BD3058">
        <w:rPr>
          <w:rFonts w:cstheme="minorHAnsi"/>
          <w:sz w:val="28"/>
          <w:szCs w:val="28"/>
        </w:rPr>
        <w:t>aa</w:t>
      </w:r>
    </w:p>
    <w:bookmarkEnd w:id="0"/>
    <w:p w14:paraId="5CB0396D" w14:textId="77777777" w:rsidR="00BD3058" w:rsidRPr="00BD3058" w:rsidRDefault="00BD3058" w:rsidP="00BD3058">
      <w:pPr>
        <w:spacing w:after="0" w:line="240" w:lineRule="auto"/>
        <w:jc w:val="both"/>
        <w:rPr>
          <w:rFonts w:cstheme="minorHAnsi"/>
          <w:sz w:val="28"/>
        </w:rPr>
      </w:pPr>
    </w:p>
    <w:p w14:paraId="1D91DCBB" w14:textId="77777777" w:rsidR="00971466" w:rsidRPr="00971466" w:rsidRDefault="00971466" w:rsidP="00971466">
      <w:pPr>
        <w:widowControl w:val="0"/>
        <w:autoSpaceDE w:val="0"/>
        <w:autoSpaceDN w:val="0"/>
        <w:adjustRightInd w:val="0"/>
        <w:spacing w:after="0" w:line="240" w:lineRule="auto"/>
        <w:ind w:right="-2"/>
        <w:rPr>
          <w:rFonts w:cstheme="minorHAnsi"/>
          <w:sz w:val="28"/>
        </w:rPr>
      </w:pPr>
      <w:r w:rsidRPr="00971466">
        <w:rPr>
          <w:rFonts w:cstheme="minorHAnsi"/>
          <w:sz w:val="28"/>
        </w:rPr>
        <w:t>Decyzja zwolniona od opłaty skarbowej zgodnie z załącznikiem do ustawy z dnia 16 listopada 2006 r. o opłacie skarbowej (Dz. U. z 2023 r. poz. 2111) część I ust. 8.</w:t>
      </w:r>
    </w:p>
    <w:p w14:paraId="38B39FE3" w14:textId="77777777" w:rsidR="00BD3058" w:rsidRPr="004D2F43" w:rsidRDefault="00BD3058" w:rsidP="00BD3058">
      <w:pPr>
        <w:widowControl w:val="0"/>
        <w:autoSpaceDE w:val="0"/>
        <w:autoSpaceDN w:val="0"/>
        <w:adjustRightInd w:val="0"/>
        <w:spacing w:after="0" w:line="240" w:lineRule="auto"/>
        <w:ind w:right="4961"/>
        <w:rPr>
          <w:rFonts w:ascii="Calibri" w:hAnsi="Calibri" w:cs="Calibri"/>
          <w:bCs/>
          <w:sz w:val="28"/>
          <w:szCs w:val="28"/>
        </w:rPr>
      </w:pPr>
    </w:p>
    <w:p w14:paraId="00698EEB" w14:textId="77777777" w:rsidR="00F022DA" w:rsidRPr="00F022DA" w:rsidRDefault="00F022DA" w:rsidP="00F022DA">
      <w:pPr>
        <w:spacing w:after="120" w:line="240" w:lineRule="auto"/>
        <w:ind w:right="-1"/>
        <w:jc w:val="both"/>
        <w:rPr>
          <w:rFonts w:cstheme="minorHAnsi"/>
          <w:sz w:val="28"/>
          <w:szCs w:val="28"/>
        </w:rPr>
      </w:pPr>
    </w:p>
    <w:p w14:paraId="25E71135" w14:textId="77777777" w:rsidR="00DF18B2" w:rsidRPr="00DF18B2" w:rsidRDefault="00DF18B2" w:rsidP="00DF18B2">
      <w:pPr>
        <w:spacing w:after="120" w:line="240" w:lineRule="auto"/>
        <w:ind w:right="-1"/>
        <w:jc w:val="both"/>
        <w:rPr>
          <w:rFonts w:cstheme="minorHAnsi"/>
          <w:sz w:val="28"/>
          <w:szCs w:val="28"/>
        </w:rPr>
      </w:pPr>
    </w:p>
    <w:p w14:paraId="5022420A" w14:textId="77777777" w:rsidR="008C0D69" w:rsidRDefault="008C0D69" w:rsidP="001E33D8">
      <w:pPr>
        <w:rPr>
          <w:sz w:val="28"/>
          <w:szCs w:val="28"/>
        </w:rPr>
        <w:sectPr w:rsidR="008C0D69" w:rsidSect="006E54F5">
          <w:headerReference w:type="default" r:id="rId12"/>
          <w:footerReference w:type="default" r:id="rId13"/>
          <w:pgSz w:w="11906" w:h="16838"/>
          <w:pgMar w:top="1418" w:right="1418" w:bottom="1701" w:left="1701" w:header="709" w:footer="709" w:gutter="0"/>
          <w:pgNumType w:start="1"/>
          <w:cols w:space="708"/>
          <w:docGrid w:linePitch="600" w:charSpace="32768"/>
        </w:sectPr>
      </w:pPr>
    </w:p>
    <w:p w14:paraId="343BBA99" w14:textId="124A8FAE" w:rsidR="00EC6D4F" w:rsidRDefault="00235142" w:rsidP="00C41720">
      <w:pPr>
        <w:jc w:val="center"/>
        <w:rPr>
          <w:sz w:val="28"/>
          <w:szCs w:val="28"/>
        </w:rPr>
      </w:pPr>
      <w:r>
        <w:rPr>
          <w:noProof/>
          <w:sz w:val="28"/>
          <w:szCs w:val="28"/>
        </w:rPr>
        <w:lastRenderedPageBreak/>
        <w:drawing>
          <wp:inline distT="0" distB="0" distL="0" distR="0" wp14:anchorId="5176B497" wp14:editId="1FE53CE5">
            <wp:extent cx="12982575" cy="9219795"/>
            <wp:effectExtent l="0" t="0" r="0" b="635"/>
            <wp:docPr id="1510565020" name="Obraz 1" descr="Obraz zawierający tekst, diagram, Równolegle, lini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565020" name="Obraz 1" descr="Obraz zawierający tekst, diagram, Równolegle, linia&#10;&#10;Opis wygenerowany automatycznie"/>
                    <pic:cNvPicPr/>
                  </pic:nvPicPr>
                  <pic:blipFill>
                    <a:blip r:embed="rId14">
                      <a:extLst>
                        <a:ext uri="{28A0092B-C50C-407E-A947-70E740481C1C}">
                          <a14:useLocalDpi xmlns:a14="http://schemas.microsoft.com/office/drawing/2010/main" val="0"/>
                        </a:ext>
                      </a:extLst>
                    </a:blip>
                    <a:stretch>
                      <a:fillRect/>
                    </a:stretch>
                  </pic:blipFill>
                  <pic:spPr>
                    <a:xfrm>
                      <a:off x="0" y="0"/>
                      <a:ext cx="12985224" cy="9221676"/>
                    </a:xfrm>
                    <a:prstGeom prst="rect">
                      <a:avLst/>
                    </a:prstGeom>
                  </pic:spPr>
                </pic:pic>
              </a:graphicData>
            </a:graphic>
          </wp:inline>
        </w:drawing>
      </w:r>
    </w:p>
    <w:p w14:paraId="58B5190B" w14:textId="77777777" w:rsidR="00BD3058" w:rsidRDefault="00BD3058" w:rsidP="00C41720">
      <w:pPr>
        <w:jc w:val="center"/>
        <w:rPr>
          <w:sz w:val="28"/>
          <w:szCs w:val="28"/>
        </w:rPr>
        <w:sectPr w:rsidR="00BD3058" w:rsidSect="006E54F5">
          <w:headerReference w:type="default" r:id="rId15"/>
          <w:footerReference w:type="default" r:id="rId16"/>
          <w:pgSz w:w="23811" w:h="16838" w:orient="landscape" w:code="8"/>
          <w:pgMar w:top="720" w:right="720" w:bottom="720" w:left="720" w:header="709" w:footer="709" w:gutter="0"/>
          <w:pgNumType w:start="1"/>
          <w:cols w:space="708"/>
          <w:docGrid w:linePitch="600" w:charSpace="32768"/>
        </w:sectPr>
      </w:pPr>
    </w:p>
    <w:p w14:paraId="7B9A7A86" w14:textId="27ED7AF3" w:rsidR="00235142" w:rsidRPr="00235142" w:rsidRDefault="00235142" w:rsidP="00235142">
      <w:pPr>
        <w:jc w:val="both"/>
        <w:rPr>
          <w:rFonts w:cstheme="minorHAnsi"/>
          <w:sz w:val="28"/>
          <w:szCs w:val="28"/>
        </w:rPr>
      </w:pPr>
      <w:r w:rsidRPr="00235142">
        <w:rPr>
          <w:rFonts w:cstheme="minorHAnsi"/>
          <w:sz w:val="28"/>
          <w:szCs w:val="28"/>
        </w:rPr>
        <w:lastRenderedPageBreak/>
        <w:t>PPSPP.6730.108.2022.GMON</w:t>
      </w:r>
    </w:p>
    <w:p w14:paraId="7BFCEFA3" w14:textId="5C9279A4" w:rsidR="00235142" w:rsidRPr="00235142" w:rsidRDefault="00235142" w:rsidP="00235142">
      <w:pPr>
        <w:jc w:val="center"/>
        <w:rPr>
          <w:rFonts w:cstheme="minorHAnsi"/>
          <w:sz w:val="28"/>
          <w:szCs w:val="28"/>
        </w:rPr>
      </w:pPr>
      <w:r w:rsidRPr="00235142">
        <w:rPr>
          <w:rFonts w:cstheme="minorHAnsi"/>
          <w:sz w:val="28"/>
          <w:szCs w:val="28"/>
        </w:rPr>
        <w:t>Wyniki analizy funkcji oraz cech zabudowy i zagospodarowania terenu w zakresie warunków, o których mowa w art. 61 ust. 1 – 5 ustawy z dnia 27 marca 2003 r. o planowaniu i zagospodarowaniu przestrzennym</w:t>
      </w:r>
    </w:p>
    <w:p w14:paraId="3182431E" w14:textId="77777777" w:rsidR="00235142" w:rsidRPr="00235142" w:rsidRDefault="00235142" w:rsidP="00235142">
      <w:pPr>
        <w:ind w:firstLine="567"/>
        <w:jc w:val="both"/>
        <w:rPr>
          <w:rFonts w:cstheme="minorHAnsi"/>
          <w:sz w:val="28"/>
          <w:szCs w:val="28"/>
        </w:rPr>
      </w:pPr>
      <w:r w:rsidRPr="00235142">
        <w:rPr>
          <w:rFonts w:cstheme="minorHAnsi"/>
          <w:sz w:val="28"/>
          <w:szCs w:val="28"/>
        </w:rPr>
        <w:t>Spełnienie warunków dopuszczających wydanie decyzji o warunkach zabudowy, których mowa w art. 61 ust. 1 ustawy z dnia 27 marca 2003 r. o planowaniu i zagospodarowaniu przestrzennym przedstawiono w poniższej tabeli.</w:t>
      </w:r>
    </w:p>
    <w:tbl>
      <w:tblPr>
        <w:tblStyle w:val="Tabela-Siatka"/>
        <w:tblW w:w="0" w:type="auto"/>
        <w:tblInd w:w="108" w:type="dxa"/>
        <w:tblLook w:val="04A0" w:firstRow="1" w:lastRow="0" w:firstColumn="1" w:lastColumn="0" w:noHBand="0" w:noVBand="1"/>
      </w:tblPr>
      <w:tblGrid>
        <w:gridCol w:w="880"/>
        <w:gridCol w:w="5961"/>
        <w:gridCol w:w="1828"/>
      </w:tblGrid>
      <w:tr w:rsidR="00235142" w:rsidRPr="00235142" w14:paraId="113EC709" w14:textId="77777777" w:rsidTr="002E023F">
        <w:tc>
          <w:tcPr>
            <w:tcW w:w="6841" w:type="dxa"/>
            <w:gridSpan w:val="2"/>
            <w:tcBorders>
              <w:right w:val="dotted" w:sz="4" w:space="0" w:color="auto"/>
            </w:tcBorders>
            <w:vAlign w:val="center"/>
          </w:tcPr>
          <w:p w14:paraId="6D5595F6" w14:textId="77777777" w:rsidR="00235142" w:rsidRPr="00235142" w:rsidRDefault="00235142" w:rsidP="00235142">
            <w:pPr>
              <w:jc w:val="both"/>
              <w:rPr>
                <w:rFonts w:asciiTheme="minorHAnsi" w:hAnsiTheme="minorHAnsi" w:cstheme="minorHAnsi"/>
                <w:sz w:val="24"/>
                <w:szCs w:val="24"/>
              </w:rPr>
            </w:pPr>
            <w:r w:rsidRPr="00235142">
              <w:rPr>
                <w:rFonts w:asciiTheme="minorHAnsi" w:hAnsiTheme="minorHAnsi" w:cstheme="minorHAnsi"/>
                <w:sz w:val="24"/>
                <w:szCs w:val="24"/>
              </w:rPr>
              <w:t>Punkt i treść warunku, o którym mowa w art. 61 ust. 1</w:t>
            </w:r>
          </w:p>
        </w:tc>
        <w:tc>
          <w:tcPr>
            <w:tcW w:w="1828" w:type="dxa"/>
            <w:tcBorders>
              <w:left w:val="dotted" w:sz="4" w:space="0" w:color="auto"/>
            </w:tcBorders>
            <w:vAlign w:val="center"/>
          </w:tcPr>
          <w:p w14:paraId="0766E3D3" w14:textId="77777777" w:rsidR="00235142" w:rsidRPr="00235142" w:rsidRDefault="00235142" w:rsidP="00235142">
            <w:pPr>
              <w:jc w:val="both"/>
              <w:rPr>
                <w:rFonts w:asciiTheme="minorHAnsi" w:hAnsiTheme="minorHAnsi" w:cstheme="minorHAnsi"/>
                <w:sz w:val="24"/>
                <w:szCs w:val="24"/>
              </w:rPr>
            </w:pPr>
            <w:r w:rsidRPr="00235142">
              <w:rPr>
                <w:rFonts w:asciiTheme="minorHAnsi" w:hAnsiTheme="minorHAnsi" w:cstheme="minorHAnsi"/>
                <w:sz w:val="24"/>
                <w:szCs w:val="24"/>
              </w:rPr>
              <w:t>Spełnienie warunku</w:t>
            </w:r>
          </w:p>
        </w:tc>
      </w:tr>
      <w:tr w:rsidR="00235142" w:rsidRPr="00235142" w14:paraId="0A8B3B50" w14:textId="77777777" w:rsidTr="002E023F">
        <w:tc>
          <w:tcPr>
            <w:tcW w:w="880" w:type="dxa"/>
            <w:tcBorders>
              <w:bottom w:val="single" w:sz="2" w:space="0" w:color="auto"/>
              <w:right w:val="dotted" w:sz="4" w:space="0" w:color="auto"/>
            </w:tcBorders>
            <w:vAlign w:val="center"/>
          </w:tcPr>
          <w:p w14:paraId="30664C48" w14:textId="77777777" w:rsidR="00235142" w:rsidRPr="00235142" w:rsidRDefault="00235142" w:rsidP="00235142">
            <w:pPr>
              <w:jc w:val="both"/>
              <w:rPr>
                <w:rFonts w:asciiTheme="minorHAnsi" w:hAnsiTheme="minorHAnsi" w:cstheme="minorHAnsi"/>
                <w:sz w:val="24"/>
                <w:szCs w:val="24"/>
              </w:rPr>
            </w:pPr>
            <w:r w:rsidRPr="00235142">
              <w:rPr>
                <w:rFonts w:asciiTheme="minorHAnsi" w:hAnsiTheme="minorHAnsi" w:cstheme="minorHAnsi"/>
                <w:sz w:val="24"/>
                <w:szCs w:val="24"/>
              </w:rPr>
              <w:t>pkt 1</w:t>
            </w:r>
          </w:p>
        </w:tc>
        <w:tc>
          <w:tcPr>
            <w:tcW w:w="5961" w:type="dxa"/>
            <w:tcBorders>
              <w:left w:val="dotted" w:sz="4" w:space="0" w:color="auto"/>
              <w:bottom w:val="single" w:sz="2" w:space="0" w:color="auto"/>
              <w:right w:val="dotted" w:sz="4" w:space="0" w:color="auto"/>
            </w:tcBorders>
          </w:tcPr>
          <w:p w14:paraId="5F893FD8" w14:textId="77777777" w:rsidR="00235142" w:rsidRPr="00235142" w:rsidRDefault="00235142" w:rsidP="00235142">
            <w:pPr>
              <w:jc w:val="both"/>
              <w:rPr>
                <w:rFonts w:asciiTheme="minorHAnsi" w:hAnsiTheme="minorHAnsi" w:cstheme="minorHAnsi"/>
                <w:sz w:val="24"/>
                <w:szCs w:val="24"/>
              </w:rPr>
            </w:pPr>
            <w:r w:rsidRPr="00235142">
              <w:rPr>
                <w:rFonts w:asciiTheme="minorHAnsi" w:hAnsiTheme="minorHAnsi" w:cstheme="minorHAnsi"/>
                <w:sz w:val="24"/>
                <w:szCs w:val="24"/>
              </w:rPr>
              <w:t>co najmniej jedna działka sąsiednia, dostępna z tej samej drogi publicznej, jest zabudowana w sposób pozwalający na określenie wymagań dotyczących nowej zabudowy w zakresie kontynuacji funkcji, parametrów, cech i wskaźników kształtowania zabudowy oraz zagospodarowania terenu, w tym gabarytów i formy architektonicznej obiektów budowlanych, linii zabudowy oraz intensywności wykorzystania terenu</w:t>
            </w:r>
          </w:p>
        </w:tc>
        <w:tc>
          <w:tcPr>
            <w:tcW w:w="1828" w:type="dxa"/>
            <w:tcBorders>
              <w:left w:val="dotted" w:sz="4" w:space="0" w:color="auto"/>
              <w:bottom w:val="single" w:sz="2" w:space="0" w:color="auto"/>
            </w:tcBorders>
            <w:vAlign w:val="center"/>
          </w:tcPr>
          <w:p w14:paraId="2F632B92" w14:textId="77777777" w:rsidR="00235142" w:rsidRPr="00235142" w:rsidRDefault="00235142" w:rsidP="00235142">
            <w:pPr>
              <w:jc w:val="both"/>
              <w:rPr>
                <w:rFonts w:asciiTheme="minorHAnsi" w:hAnsiTheme="minorHAnsi" w:cstheme="minorHAnsi"/>
                <w:sz w:val="24"/>
                <w:szCs w:val="24"/>
              </w:rPr>
            </w:pPr>
            <w:r w:rsidRPr="00235142">
              <w:rPr>
                <w:rFonts w:asciiTheme="minorHAnsi" w:hAnsiTheme="minorHAnsi" w:cstheme="minorHAnsi"/>
                <w:sz w:val="24"/>
                <w:szCs w:val="24"/>
              </w:rPr>
              <w:t>tak</w:t>
            </w:r>
          </w:p>
        </w:tc>
      </w:tr>
      <w:tr w:rsidR="00235142" w:rsidRPr="00235142" w14:paraId="018AF7D8" w14:textId="77777777" w:rsidTr="002E023F">
        <w:tc>
          <w:tcPr>
            <w:tcW w:w="880" w:type="dxa"/>
            <w:tcBorders>
              <w:top w:val="single" w:sz="2" w:space="0" w:color="auto"/>
              <w:bottom w:val="single" w:sz="2" w:space="0" w:color="auto"/>
              <w:right w:val="dotted" w:sz="4" w:space="0" w:color="auto"/>
            </w:tcBorders>
            <w:vAlign w:val="center"/>
          </w:tcPr>
          <w:p w14:paraId="1A6F132D" w14:textId="77777777" w:rsidR="00235142" w:rsidRPr="00235142" w:rsidRDefault="00235142" w:rsidP="00235142">
            <w:pPr>
              <w:jc w:val="both"/>
              <w:rPr>
                <w:rFonts w:asciiTheme="minorHAnsi" w:hAnsiTheme="minorHAnsi" w:cstheme="minorHAnsi"/>
                <w:sz w:val="24"/>
                <w:szCs w:val="24"/>
              </w:rPr>
            </w:pPr>
            <w:r w:rsidRPr="00235142">
              <w:rPr>
                <w:rFonts w:asciiTheme="minorHAnsi" w:hAnsiTheme="minorHAnsi" w:cstheme="minorHAnsi"/>
                <w:sz w:val="24"/>
                <w:szCs w:val="24"/>
              </w:rPr>
              <w:t>pkt 2</w:t>
            </w:r>
          </w:p>
        </w:tc>
        <w:tc>
          <w:tcPr>
            <w:tcW w:w="5961" w:type="dxa"/>
            <w:tcBorders>
              <w:top w:val="single" w:sz="2" w:space="0" w:color="auto"/>
              <w:left w:val="dotted" w:sz="4" w:space="0" w:color="auto"/>
              <w:bottom w:val="single" w:sz="2" w:space="0" w:color="auto"/>
              <w:right w:val="dotted" w:sz="4" w:space="0" w:color="auto"/>
            </w:tcBorders>
          </w:tcPr>
          <w:p w14:paraId="323F7825" w14:textId="77777777" w:rsidR="00235142" w:rsidRPr="00235142" w:rsidRDefault="00235142" w:rsidP="00235142">
            <w:pPr>
              <w:jc w:val="both"/>
              <w:rPr>
                <w:rFonts w:asciiTheme="minorHAnsi" w:eastAsia="Times New Roman" w:hAnsiTheme="minorHAnsi" w:cstheme="minorHAnsi"/>
                <w:sz w:val="24"/>
                <w:szCs w:val="24"/>
                <w:lang w:eastAsia="pl-PL"/>
              </w:rPr>
            </w:pPr>
            <w:bookmarkStart w:id="3" w:name="mip44711609"/>
            <w:bookmarkEnd w:id="3"/>
            <w:r w:rsidRPr="00235142">
              <w:rPr>
                <w:rFonts w:asciiTheme="minorHAnsi" w:eastAsia="Times New Roman" w:hAnsiTheme="minorHAnsi" w:cstheme="minorHAnsi"/>
                <w:sz w:val="24"/>
                <w:szCs w:val="24"/>
                <w:lang w:eastAsia="pl-PL"/>
              </w:rPr>
              <w:t>teren ma dostęp do drogi publicznej</w:t>
            </w:r>
          </w:p>
        </w:tc>
        <w:tc>
          <w:tcPr>
            <w:tcW w:w="1828" w:type="dxa"/>
            <w:tcBorders>
              <w:top w:val="single" w:sz="2" w:space="0" w:color="auto"/>
              <w:left w:val="dotted" w:sz="4" w:space="0" w:color="auto"/>
              <w:bottom w:val="single" w:sz="2" w:space="0" w:color="auto"/>
            </w:tcBorders>
            <w:vAlign w:val="center"/>
          </w:tcPr>
          <w:p w14:paraId="47F0F244" w14:textId="77777777" w:rsidR="00235142" w:rsidRPr="00235142" w:rsidRDefault="00235142" w:rsidP="00235142">
            <w:pPr>
              <w:jc w:val="both"/>
              <w:rPr>
                <w:rFonts w:asciiTheme="minorHAnsi" w:hAnsiTheme="minorHAnsi" w:cstheme="minorHAnsi"/>
                <w:sz w:val="24"/>
                <w:szCs w:val="24"/>
              </w:rPr>
            </w:pPr>
            <w:r w:rsidRPr="00235142">
              <w:rPr>
                <w:rFonts w:asciiTheme="minorHAnsi" w:hAnsiTheme="minorHAnsi" w:cstheme="minorHAnsi"/>
                <w:sz w:val="24"/>
                <w:szCs w:val="24"/>
              </w:rPr>
              <w:t>tak</w:t>
            </w:r>
          </w:p>
        </w:tc>
      </w:tr>
      <w:tr w:rsidR="00235142" w:rsidRPr="00235142" w14:paraId="4F66B1A0" w14:textId="77777777" w:rsidTr="002E023F">
        <w:tc>
          <w:tcPr>
            <w:tcW w:w="880" w:type="dxa"/>
            <w:tcBorders>
              <w:top w:val="single" w:sz="2" w:space="0" w:color="auto"/>
              <w:bottom w:val="single" w:sz="2" w:space="0" w:color="auto"/>
              <w:right w:val="dotted" w:sz="4" w:space="0" w:color="auto"/>
            </w:tcBorders>
            <w:vAlign w:val="center"/>
          </w:tcPr>
          <w:p w14:paraId="4B52C47A" w14:textId="77777777" w:rsidR="00235142" w:rsidRPr="00235142" w:rsidRDefault="00235142" w:rsidP="00235142">
            <w:pPr>
              <w:jc w:val="both"/>
              <w:rPr>
                <w:rFonts w:asciiTheme="minorHAnsi" w:hAnsiTheme="minorHAnsi" w:cstheme="minorHAnsi"/>
                <w:sz w:val="24"/>
                <w:szCs w:val="24"/>
              </w:rPr>
            </w:pPr>
            <w:r w:rsidRPr="00235142">
              <w:rPr>
                <w:rFonts w:asciiTheme="minorHAnsi" w:hAnsiTheme="minorHAnsi" w:cstheme="minorHAnsi"/>
                <w:sz w:val="24"/>
                <w:szCs w:val="24"/>
              </w:rPr>
              <w:t>pkt 3</w:t>
            </w:r>
          </w:p>
        </w:tc>
        <w:tc>
          <w:tcPr>
            <w:tcW w:w="5961" w:type="dxa"/>
            <w:tcBorders>
              <w:top w:val="single" w:sz="2" w:space="0" w:color="auto"/>
              <w:left w:val="dotted" w:sz="4" w:space="0" w:color="auto"/>
              <w:bottom w:val="single" w:sz="2" w:space="0" w:color="auto"/>
              <w:right w:val="dotted" w:sz="4" w:space="0" w:color="auto"/>
            </w:tcBorders>
          </w:tcPr>
          <w:p w14:paraId="41486033" w14:textId="77777777" w:rsidR="00235142" w:rsidRPr="00235142" w:rsidRDefault="00235142" w:rsidP="00235142">
            <w:pPr>
              <w:jc w:val="both"/>
              <w:rPr>
                <w:rFonts w:asciiTheme="minorHAnsi" w:hAnsiTheme="minorHAnsi" w:cstheme="minorHAnsi"/>
                <w:sz w:val="24"/>
                <w:szCs w:val="24"/>
              </w:rPr>
            </w:pPr>
            <w:r w:rsidRPr="00235142">
              <w:rPr>
                <w:rFonts w:asciiTheme="minorHAnsi" w:hAnsiTheme="minorHAnsi" w:cstheme="minorHAnsi"/>
                <w:sz w:val="24"/>
                <w:szCs w:val="24"/>
              </w:rPr>
              <w:t>istniejące lub projektowane uzbrojenie terenu jest wystarczające dla zamierzenia budowlanego</w:t>
            </w:r>
          </w:p>
        </w:tc>
        <w:tc>
          <w:tcPr>
            <w:tcW w:w="1828" w:type="dxa"/>
            <w:tcBorders>
              <w:top w:val="single" w:sz="2" w:space="0" w:color="auto"/>
              <w:left w:val="dotted" w:sz="4" w:space="0" w:color="auto"/>
              <w:bottom w:val="single" w:sz="2" w:space="0" w:color="auto"/>
            </w:tcBorders>
            <w:vAlign w:val="center"/>
          </w:tcPr>
          <w:p w14:paraId="109F6EB4" w14:textId="77777777" w:rsidR="00235142" w:rsidRPr="00235142" w:rsidRDefault="00235142" w:rsidP="00235142">
            <w:pPr>
              <w:jc w:val="both"/>
              <w:rPr>
                <w:rFonts w:asciiTheme="minorHAnsi" w:hAnsiTheme="minorHAnsi" w:cstheme="minorHAnsi"/>
                <w:sz w:val="24"/>
                <w:szCs w:val="24"/>
              </w:rPr>
            </w:pPr>
            <w:r w:rsidRPr="00235142">
              <w:rPr>
                <w:rFonts w:asciiTheme="minorHAnsi" w:hAnsiTheme="minorHAnsi" w:cstheme="minorHAnsi"/>
                <w:sz w:val="24"/>
                <w:szCs w:val="24"/>
              </w:rPr>
              <w:t>tak</w:t>
            </w:r>
          </w:p>
        </w:tc>
      </w:tr>
      <w:tr w:rsidR="00235142" w:rsidRPr="00235142" w14:paraId="732C53A1" w14:textId="77777777" w:rsidTr="002E023F">
        <w:tc>
          <w:tcPr>
            <w:tcW w:w="880" w:type="dxa"/>
            <w:tcBorders>
              <w:top w:val="single" w:sz="2" w:space="0" w:color="auto"/>
              <w:bottom w:val="single" w:sz="2" w:space="0" w:color="auto"/>
              <w:right w:val="dotted" w:sz="4" w:space="0" w:color="auto"/>
            </w:tcBorders>
            <w:vAlign w:val="center"/>
          </w:tcPr>
          <w:p w14:paraId="31B936D8" w14:textId="77777777" w:rsidR="00235142" w:rsidRPr="00235142" w:rsidRDefault="00235142" w:rsidP="00235142">
            <w:pPr>
              <w:jc w:val="both"/>
              <w:rPr>
                <w:rFonts w:asciiTheme="minorHAnsi" w:hAnsiTheme="minorHAnsi" w:cstheme="minorHAnsi"/>
                <w:sz w:val="24"/>
                <w:szCs w:val="24"/>
              </w:rPr>
            </w:pPr>
            <w:r w:rsidRPr="00235142">
              <w:rPr>
                <w:rFonts w:asciiTheme="minorHAnsi" w:hAnsiTheme="minorHAnsi" w:cstheme="minorHAnsi"/>
                <w:sz w:val="24"/>
                <w:szCs w:val="24"/>
              </w:rPr>
              <w:t>pkt 4</w:t>
            </w:r>
          </w:p>
        </w:tc>
        <w:tc>
          <w:tcPr>
            <w:tcW w:w="5961" w:type="dxa"/>
            <w:tcBorders>
              <w:top w:val="single" w:sz="2" w:space="0" w:color="auto"/>
              <w:left w:val="dotted" w:sz="4" w:space="0" w:color="auto"/>
              <w:bottom w:val="single" w:sz="2" w:space="0" w:color="auto"/>
              <w:right w:val="dotted" w:sz="4" w:space="0" w:color="auto"/>
            </w:tcBorders>
          </w:tcPr>
          <w:p w14:paraId="2979CFA4" w14:textId="77777777" w:rsidR="00235142" w:rsidRPr="00235142" w:rsidRDefault="00235142" w:rsidP="00235142">
            <w:pPr>
              <w:jc w:val="both"/>
              <w:rPr>
                <w:rFonts w:asciiTheme="minorHAnsi" w:hAnsiTheme="minorHAnsi" w:cstheme="minorHAnsi"/>
                <w:sz w:val="24"/>
                <w:szCs w:val="24"/>
              </w:rPr>
            </w:pPr>
            <w:r w:rsidRPr="00235142">
              <w:rPr>
                <w:rFonts w:asciiTheme="minorHAnsi" w:hAnsiTheme="minorHAnsi" w:cstheme="minorHAnsi"/>
                <w:sz w:val="24"/>
                <w:szCs w:val="24"/>
              </w:rPr>
              <w:t>teren nie wymaga</w:t>
            </w:r>
            <w:r w:rsidRPr="00235142">
              <w:rPr>
                <w:rFonts w:asciiTheme="minorHAnsi" w:hAnsiTheme="minorHAnsi" w:cstheme="minorHAnsi"/>
                <w:i/>
                <w:sz w:val="24"/>
                <w:szCs w:val="24"/>
              </w:rPr>
              <w:t xml:space="preserve"> </w:t>
            </w:r>
            <w:r w:rsidRPr="00235142">
              <w:rPr>
                <w:rFonts w:asciiTheme="minorHAnsi" w:hAnsiTheme="minorHAnsi" w:cstheme="minorHAnsi"/>
                <w:sz w:val="24"/>
                <w:szCs w:val="24"/>
              </w:rPr>
              <w:t>uzyskania zgody na zmianę przeznaczenia gruntów rolnych i leśnych na cele nierolnicze i nieleśne albo jest objęty zgodą uzyskaną przy sporządzaniu miejscowych planów, które utraciły moc na podstawie art. 67 ustawy, o której mowa w art. 88 ust. 1</w:t>
            </w:r>
          </w:p>
        </w:tc>
        <w:tc>
          <w:tcPr>
            <w:tcW w:w="1828" w:type="dxa"/>
            <w:tcBorders>
              <w:top w:val="single" w:sz="2" w:space="0" w:color="auto"/>
              <w:left w:val="dotted" w:sz="4" w:space="0" w:color="auto"/>
              <w:bottom w:val="single" w:sz="2" w:space="0" w:color="auto"/>
            </w:tcBorders>
            <w:vAlign w:val="center"/>
          </w:tcPr>
          <w:p w14:paraId="411F91E2" w14:textId="77777777" w:rsidR="00235142" w:rsidRPr="00235142" w:rsidRDefault="00235142" w:rsidP="00235142">
            <w:pPr>
              <w:jc w:val="both"/>
              <w:rPr>
                <w:rFonts w:asciiTheme="minorHAnsi" w:hAnsiTheme="minorHAnsi" w:cstheme="minorHAnsi"/>
                <w:sz w:val="24"/>
                <w:szCs w:val="24"/>
              </w:rPr>
            </w:pPr>
            <w:r w:rsidRPr="00235142">
              <w:rPr>
                <w:rFonts w:asciiTheme="minorHAnsi" w:hAnsiTheme="minorHAnsi" w:cstheme="minorHAnsi"/>
                <w:sz w:val="24"/>
                <w:szCs w:val="24"/>
              </w:rPr>
              <w:t xml:space="preserve">tak </w:t>
            </w:r>
          </w:p>
        </w:tc>
      </w:tr>
      <w:tr w:rsidR="00235142" w:rsidRPr="00235142" w14:paraId="25F3C21B" w14:textId="77777777" w:rsidTr="002E023F">
        <w:tc>
          <w:tcPr>
            <w:tcW w:w="880" w:type="dxa"/>
            <w:tcBorders>
              <w:top w:val="single" w:sz="2" w:space="0" w:color="auto"/>
              <w:bottom w:val="single" w:sz="2" w:space="0" w:color="auto"/>
              <w:right w:val="dotted" w:sz="4" w:space="0" w:color="auto"/>
            </w:tcBorders>
            <w:vAlign w:val="center"/>
          </w:tcPr>
          <w:p w14:paraId="0691411A" w14:textId="77777777" w:rsidR="00235142" w:rsidRPr="00235142" w:rsidRDefault="00235142" w:rsidP="00235142">
            <w:pPr>
              <w:jc w:val="both"/>
              <w:rPr>
                <w:rFonts w:asciiTheme="minorHAnsi" w:hAnsiTheme="minorHAnsi" w:cstheme="minorHAnsi"/>
                <w:sz w:val="24"/>
                <w:szCs w:val="24"/>
              </w:rPr>
            </w:pPr>
            <w:r w:rsidRPr="00235142">
              <w:rPr>
                <w:rFonts w:asciiTheme="minorHAnsi" w:hAnsiTheme="minorHAnsi" w:cstheme="minorHAnsi"/>
                <w:sz w:val="24"/>
                <w:szCs w:val="24"/>
              </w:rPr>
              <w:t>pkt 5</w:t>
            </w:r>
          </w:p>
        </w:tc>
        <w:tc>
          <w:tcPr>
            <w:tcW w:w="5961" w:type="dxa"/>
            <w:tcBorders>
              <w:top w:val="single" w:sz="2" w:space="0" w:color="auto"/>
              <w:left w:val="dotted" w:sz="4" w:space="0" w:color="auto"/>
              <w:bottom w:val="single" w:sz="2" w:space="0" w:color="auto"/>
              <w:right w:val="dotted" w:sz="4" w:space="0" w:color="auto"/>
            </w:tcBorders>
          </w:tcPr>
          <w:p w14:paraId="0D7B2E6E" w14:textId="77777777" w:rsidR="00235142" w:rsidRPr="00235142" w:rsidRDefault="00235142" w:rsidP="00235142">
            <w:pPr>
              <w:jc w:val="both"/>
              <w:rPr>
                <w:rFonts w:asciiTheme="minorHAnsi" w:hAnsiTheme="minorHAnsi" w:cstheme="minorHAnsi"/>
                <w:sz w:val="24"/>
                <w:szCs w:val="24"/>
              </w:rPr>
            </w:pPr>
            <w:r w:rsidRPr="00235142">
              <w:rPr>
                <w:rFonts w:asciiTheme="minorHAnsi" w:hAnsiTheme="minorHAnsi" w:cstheme="minorHAnsi"/>
                <w:sz w:val="24"/>
                <w:szCs w:val="24"/>
              </w:rPr>
              <w:t>decyzja jest zgodna z przepisami odrębnymi</w:t>
            </w:r>
          </w:p>
        </w:tc>
        <w:tc>
          <w:tcPr>
            <w:tcW w:w="1828" w:type="dxa"/>
            <w:tcBorders>
              <w:top w:val="single" w:sz="2" w:space="0" w:color="auto"/>
              <w:left w:val="dotted" w:sz="4" w:space="0" w:color="auto"/>
              <w:bottom w:val="single" w:sz="2" w:space="0" w:color="auto"/>
            </w:tcBorders>
            <w:vAlign w:val="center"/>
          </w:tcPr>
          <w:p w14:paraId="49B0FD57" w14:textId="77777777" w:rsidR="00235142" w:rsidRPr="00235142" w:rsidRDefault="00235142" w:rsidP="00235142">
            <w:pPr>
              <w:jc w:val="both"/>
              <w:rPr>
                <w:rFonts w:asciiTheme="minorHAnsi" w:hAnsiTheme="minorHAnsi" w:cstheme="minorHAnsi"/>
                <w:sz w:val="24"/>
                <w:szCs w:val="24"/>
              </w:rPr>
            </w:pPr>
            <w:r w:rsidRPr="00235142">
              <w:rPr>
                <w:rFonts w:asciiTheme="minorHAnsi" w:hAnsiTheme="minorHAnsi" w:cstheme="minorHAnsi"/>
                <w:sz w:val="24"/>
                <w:szCs w:val="24"/>
              </w:rPr>
              <w:t>tak</w:t>
            </w:r>
          </w:p>
        </w:tc>
      </w:tr>
      <w:tr w:rsidR="00235142" w:rsidRPr="00235142" w14:paraId="182BFD00" w14:textId="77777777" w:rsidTr="002E023F">
        <w:tc>
          <w:tcPr>
            <w:tcW w:w="880" w:type="dxa"/>
            <w:tcBorders>
              <w:top w:val="single" w:sz="2" w:space="0" w:color="auto"/>
              <w:right w:val="dotted" w:sz="4" w:space="0" w:color="auto"/>
            </w:tcBorders>
            <w:vAlign w:val="center"/>
          </w:tcPr>
          <w:p w14:paraId="136A54F0" w14:textId="77777777" w:rsidR="00235142" w:rsidRPr="00235142" w:rsidRDefault="00235142" w:rsidP="00235142">
            <w:pPr>
              <w:jc w:val="both"/>
              <w:rPr>
                <w:rFonts w:asciiTheme="minorHAnsi" w:hAnsiTheme="minorHAnsi" w:cstheme="minorHAnsi"/>
                <w:sz w:val="24"/>
                <w:szCs w:val="24"/>
              </w:rPr>
            </w:pPr>
            <w:r w:rsidRPr="00235142">
              <w:rPr>
                <w:rFonts w:asciiTheme="minorHAnsi" w:hAnsiTheme="minorHAnsi" w:cstheme="minorHAnsi"/>
                <w:sz w:val="24"/>
                <w:szCs w:val="24"/>
              </w:rPr>
              <w:t>pkt 6</w:t>
            </w:r>
          </w:p>
        </w:tc>
        <w:tc>
          <w:tcPr>
            <w:tcW w:w="5961" w:type="dxa"/>
            <w:tcBorders>
              <w:top w:val="single" w:sz="2" w:space="0" w:color="auto"/>
              <w:left w:val="dotted" w:sz="4" w:space="0" w:color="auto"/>
              <w:right w:val="dotted" w:sz="4" w:space="0" w:color="auto"/>
            </w:tcBorders>
          </w:tcPr>
          <w:p w14:paraId="71492778" w14:textId="77777777" w:rsidR="00235142" w:rsidRPr="00235142" w:rsidRDefault="00235142" w:rsidP="00235142">
            <w:pPr>
              <w:jc w:val="both"/>
              <w:rPr>
                <w:rFonts w:asciiTheme="minorHAnsi" w:hAnsiTheme="minorHAnsi" w:cstheme="minorHAnsi"/>
                <w:sz w:val="24"/>
                <w:szCs w:val="24"/>
              </w:rPr>
            </w:pPr>
            <w:r w:rsidRPr="00235142">
              <w:rPr>
                <w:rFonts w:asciiTheme="minorHAnsi" w:hAnsiTheme="minorHAnsi" w:cstheme="minorHAnsi"/>
                <w:sz w:val="24"/>
                <w:szCs w:val="24"/>
                <w:shd w:val="clear" w:color="auto" w:fill="FFFFFF"/>
              </w:rPr>
              <w:t>zamierzenie budowlane nie znajdzie się w obszarze: objętym zakazem wznoszenia i utrzymywania obiektów budowlanych przeznaczonych na pobyt ludzi związanym z lokalizacją sieci przesyłowej / strefy kontrolowanej wyznaczonej po obu stronach gazociągu /  strefy bezpieczeństwa wyznaczonej po obu stronach rurociągu</w:t>
            </w:r>
          </w:p>
        </w:tc>
        <w:tc>
          <w:tcPr>
            <w:tcW w:w="1828" w:type="dxa"/>
            <w:tcBorders>
              <w:top w:val="single" w:sz="2" w:space="0" w:color="auto"/>
              <w:left w:val="dotted" w:sz="4" w:space="0" w:color="auto"/>
            </w:tcBorders>
            <w:vAlign w:val="center"/>
          </w:tcPr>
          <w:p w14:paraId="1E7C0DD9" w14:textId="77777777" w:rsidR="00235142" w:rsidRPr="00235142" w:rsidRDefault="00235142" w:rsidP="00235142">
            <w:pPr>
              <w:jc w:val="both"/>
              <w:rPr>
                <w:rFonts w:asciiTheme="minorHAnsi" w:hAnsiTheme="minorHAnsi" w:cstheme="minorHAnsi"/>
                <w:sz w:val="24"/>
                <w:szCs w:val="24"/>
              </w:rPr>
            </w:pPr>
            <w:r w:rsidRPr="00235142">
              <w:rPr>
                <w:rFonts w:asciiTheme="minorHAnsi" w:hAnsiTheme="minorHAnsi" w:cstheme="minorHAnsi"/>
                <w:sz w:val="24"/>
                <w:szCs w:val="24"/>
              </w:rPr>
              <w:t xml:space="preserve">tak </w:t>
            </w:r>
          </w:p>
        </w:tc>
      </w:tr>
    </w:tbl>
    <w:p w14:paraId="6A95A132" w14:textId="77777777" w:rsidR="00235142" w:rsidRPr="00235142" w:rsidRDefault="00235142" w:rsidP="00235142">
      <w:pPr>
        <w:jc w:val="both"/>
        <w:rPr>
          <w:rFonts w:cstheme="minorHAnsi"/>
        </w:rPr>
      </w:pPr>
    </w:p>
    <w:p w14:paraId="0955DDD9" w14:textId="77777777" w:rsidR="00235142" w:rsidRPr="00235142" w:rsidRDefault="00235142" w:rsidP="00235142">
      <w:pPr>
        <w:jc w:val="both"/>
        <w:rPr>
          <w:rFonts w:cstheme="minorHAnsi"/>
        </w:rPr>
        <w:sectPr w:rsidR="00235142" w:rsidRPr="00235142" w:rsidSect="006E54F5">
          <w:footerReference w:type="default" r:id="rId17"/>
          <w:pgSz w:w="11906" w:h="16838"/>
          <w:pgMar w:top="1418" w:right="1418" w:bottom="1701" w:left="1701" w:header="709" w:footer="709" w:gutter="0"/>
          <w:cols w:space="708"/>
          <w:docGrid w:linePitch="600" w:charSpace="32768"/>
        </w:sectPr>
      </w:pPr>
    </w:p>
    <w:p w14:paraId="3E2C89C6" w14:textId="77777777" w:rsidR="00235142" w:rsidRPr="00235142" w:rsidRDefault="00235142" w:rsidP="00235142">
      <w:pPr>
        <w:ind w:firstLine="567"/>
        <w:jc w:val="both"/>
        <w:rPr>
          <w:rFonts w:cstheme="minorHAnsi"/>
          <w:sz w:val="28"/>
          <w:szCs w:val="28"/>
        </w:rPr>
      </w:pPr>
      <w:r w:rsidRPr="00235142">
        <w:rPr>
          <w:rFonts w:cstheme="minorHAnsi"/>
          <w:sz w:val="28"/>
          <w:szCs w:val="28"/>
        </w:rPr>
        <w:lastRenderedPageBreak/>
        <w:t>Sposób ustalania w decyzji o warunkach zabudowy wymagań dotyczących nowej zabudowy, o którym mowa w rozporządzeniu Ministra Infrastruktury z dnia 26 sierpnia 2003 r. w sprawie sposobu ustalania wymagań dotyczących nowej zabudowy i zagospodarowania terenu w przypadku braku miejscowego planu zagospodarowania przestrzennego (Dz. U. Nr 164, poz. 1588, z 2021 r. poz. 2399) został przedstawiony w poniższej tabeli.</w:t>
      </w:r>
    </w:p>
    <w:tbl>
      <w:tblPr>
        <w:tblStyle w:val="Tabela-Siatka"/>
        <w:tblW w:w="0" w:type="auto"/>
        <w:tblInd w:w="108" w:type="dxa"/>
        <w:tblLook w:val="04A0" w:firstRow="1" w:lastRow="0" w:firstColumn="1" w:lastColumn="0" w:noHBand="0" w:noVBand="1"/>
      </w:tblPr>
      <w:tblGrid>
        <w:gridCol w:w="3513"/>
        <w:gridCol w:w="10088"/>
      </w:tblGrid>
      <w:tr w:rsidR="00235142" w:rsidRPr="00235142" w14:paraId="0EDDE10F" w14:textId="77777777" w:rsidTr="002E023F">
        <w:trPr>
          <w:tblHeader/>
        </w:trPr>
        <w:tc>
          <w:tcPr>
            <w:tcW w:w="3544" w:type="dxa"/>
            <w:tcBorders>
              <w:right w:val="dotted" w:sz="4" w:space="0" w:color="auto"/>
            </w:tcBorders>
            <w:vAlign w:val="center"/>
          </w:tcPr>
          <w:p w14:paraId="4DAE56C2" w14:textId="77777777" w:rsidR="00235142" w:rsidRPr="00235142" w:rsidRDefault="00235142" w:rsidP="00235142">
            <w:pPr>
              <w:jc w:val="both"/>
              <w:rPr>
                <w:rFonts w:asciiTheme="minorHAnsi" w:hAnsiTheme="minorHAnsi" w:cstheme="minorHAnsi"/>
                <w:sz w:val="24"/>
                <w:szCs w:val="24"/>
              </w:rPr>
            </w:pPr>
            <w:r w:rsidRPr="00235142">
              <w:rPr>
                <w:rFonts w:asciiTheme="minorHAnsi" w:hAnsiTheme="minorHAnsi" w:cstheme="minorHAnsi"/>
                <w:sz w:val="24"/>
                <w:szCs w:val="24"/>
              </w:rPr>
              <w:t>Wymagania nowej zabudowy</w:t>
            </w:r>
          </w:p>
        </w:tc>
        <w:tc>
          <w:tcPr>
            <w:tcW w:w="10206" w:type="dxa"/>
            <w:tcBorders>
              <w:left w:val="dotted" w:sz="4" w:space="0" w:color="auto"/>
            </w:tcBorders>
            <w:vAlign w:val="center"/>
          </w:tcPr>
          <w:p w14:paraId="3443248C" w14:textId="77777777" w:rsidR="00235142" w:rsidRPr="00235142" w:rsidRDefault="00235142" w:rsidP="00235142">
            <w:pPr>
              <w:jc w:val="both"/>
              <w:rPr>
                <w:rFonts w:asciiTheme="minorHAnsi" w:hAnsiTheme="minorHAnsi" w:cstheme="minorHAnsi"/>
                <w:sz w:val="24"/>
                <w:szCs w:val="24"/>
              </w:rPr>
            </w:pPr>
            <w:r w:rsidRPr="00235142">
              <w:rPr>
                <w:rFonts w:asciiTheme="minorHAnsi" w:hAnsiTheme="minorHAnsi" w:cstheme="minorHAnsi"/>
                <w:sz w:val="24"/>
                <w:szCs w:val="24"/>
              </w:rPr>
              <w:t>Sposób ustalenia wymagań</w:t>
            </w:r>
          </w:p>
        </w:tc>
      </w:tr>
      <w:tr w:rsidR="00235142" w:rsidRPr="00235142" w14:paraId="5D6FAA7D" w14:textId="77777777" w:rsidTr="002E023F">
        <w:tc>
          <w:tcPr>
            <w:tcW w:w="3544" w:type="dxa"/>
            <w:tcBorders>
              <w:bottom w:val="single" w:sz="2" w:space="0" w:color="auto"/>
              <w:right w:val="dotted" w:sz="4" w:space="0" w:color="auto"/>
            </w:tcBorders>
            <w:vAlign w:val="center"/>
          </w:tcPr>
          <w:p w14:paraId="710FB9E3" w14:textId="77777777" w:rsidR="00235142" w:rsidRPr="00235142" w:rsidRDefault="00235142" w:rsidP="00235142">
            <w:pPr>
              <w:jc w:val="both"/>
              <w:rPr>
                <w:rFonts w:asciiTheme="minorHAnsi" w:hAnsiTheme="minorHAnsi" w:cstheme="minorHAnsi"/>
                <w:sz w:val="24"/>
                <w:szCs w:val="24"/>
              </w:rPr>
            </w:pPr>
            <w:r w:rsidRPr="00235142">
              <w:rPr>
                <w:rFonts w:asciiTheme="minorHAnsi" w:hAnsiTheme="minorHAnsi" w:cstheme="minorHAnsi"/>
                <w:sz w:val="24"/>
                <w:szCs w:val="24"/>
              </w:rPr>
              <w:t>Linia zabudowy</w:t>
            </w:r>
          </w:p>
        </w:tc>
        <w:tc>
          <w:tcPr>
            <w:tcW w:w="10206" w:type="dxa"/>
            <w:tcBorders>
              <w:left w:val="dotted" w:sz="4" w:space="0" w:color="auto"/>
              <w:bottom w:val="single" w:sz="2" w:space="0" w:color="auto"/>
            </w:tcBorders>
          </w:tcPr>
          <w:p w14:paraId="035B3793" w14:textId="77777777" w:rsidR="00235142" w:rsidRPr="00235142" w:rsidRDefault="00235142" w:rsidP="00235142">
            <w:pPr>
              <w:jc w:val="both"/>
              <w:rPr>
                <w:rFonts w:asciiTheme="minorHAnsi" w:hAnsiTheme="minorHAnsi" w:cstheme="minorHAnsi"/>
                <w:sz w:val="24"/>
                <w:szCs w:val="24"/>
              </w:rPr>
            </w:pPr>
            <w:r w:rsidRPr="00235142">
              <w:rPr>
                <w:rFonts w:asciiTheme="minorHAnsi" w:hAnsiTheme="minorHAnsi" w:cstheme="minorHAnsi"/>
                <w:sz w:val="24"/>
                <w:szCs w:val="24"/>
              </w:rPr>
              <w:t>zgodnie z § 4 ust. 1, 2 i 4: w odległości 20,0 m od zewnętrznej krawędzi jezdni drogi powiatowej – ul. Wspólnej (dla terenu oznaczonego symbolem A) oraz w odległości 6,0 m od granicy planowanej drogi wewnętrznej, oznaczonej symbolem D na załączniku nr 1 do decyzji (dla każdego z terenów oznaczonych symbolem A, B, C).</w:t>
            </w:r>
          </w:p>
        </w:tc>
      </w:tr>
      <w:tr w:rsidR="00235142" w:rsidRPr="00235142" w14:paraId="6E96F22C" w14:textId="77777777" w:rsidTr="002E023F">
        <w:tc>
          <w:tcPr>
            <w:tcW w:w="3544" w:type="dxa"/>
            <w:tcBorders>
              <w:top w:val="single" w:sz="2" w:space="0" w:color="auto"/>
              <w:bottom w:val="single" w:sz="2" w:space="0" w:color="auto"/>
              <w:right w:val="dotted" w:sz="4" w:space="0" w:color="auto"/>
            </w:tcBorders>
            <w:vAlign w:val="center"/>
          </w:tcPr>
          <w:p w14:paraId="1FEC5E12" w14:textId="77777777" w:rsidR="00235142" w:rsidRPr="00235142" w:rsidRDefault="00235142" w:rsidP="00235142">
            <w:pPr>
              <w:jc w:val="both"/>
              <w:rPr>
                <w:rFonts w:asciiTheme="minorHAnsi" w:eastAsia="Times New Roman" w:hAnsiTheme="minorHAnsi" w:cstheme="minorHAnsi"/>
                <w:sz w:val="24"/>
                <w:szCs w:val="24"/>
                <w:lang w:eastAsia="pl-PL"/>
              </w:rPr>
            </w:pPr>
            <w:r w:rsidRPr="00235142">
              <w:rPr>
                <w:rFonts w:asciiTheme="minorHAnsi" w:hAnsiTheme="minorHAnsi" w:cstheme="minorHAnsi"/>
                <w:sz w:val="24"/>
                <w:szCs w:val="24"/>
              </w:rPr>
              <w:t>Wskaźnik wielkości powierzchni nowej zabudowy w stosunku do powierzchni terenu</w:t>
            </w:r>
          </w:p>
        </w:tc>
        <w:tc>
          <w:tcPr>
            <w:tcW w:w="10206" w:type="dxa"/>
            <w:tcBorders>
              <w:top w:val="single" w:sz="2" w:space="0" w:color="auto"/>
              <w:left w:val="dotted" w:sz="4" w:space="0" w:color="auto"/>
              <w:bottom w:val="single" w:sz="2" w:space="0" w:color="auto"/>
            </w:tcBorders>
          </w:tcPr>
          <w:p w14:paraId="49E19827" w14:textId="77777777" w:rsidR="00235142" w:rsidRPr="00235142" w:rsidRDefault="00235142" w:rsidP="00235142">
            <w:pPr>
              <w:jc w:val="both"/>
              <w:rPr>
                <w:rFonts w:asciiTheme="minorHAnsi" w:hAnsiTheme="minorHAnsi" w:cstheme="minorHAnsi"/>
                <w:sz w:val="24"/>
                <w:szCs w:val="24"/>
              </w:rPr>
            </w:pPr>
            <w:r w:rsidRPr="00235142">
              <w:rPr>
                <w:rFonts w:asciiTheme="minorHAnsi" w:hAnsiTheme="minorHAnsi" w:cstheme="minorHAnsi"/>
                <w:sz w:val="24"/>
                <w:szCs w:val="24"/>
              </w:rPr>
              <w:t>zgodnie z § 5 ust. 2:</w:t>
            </w:r>
            <w:r w:rsidRPr="00235142">
              <w:rPr>
                <w:rFonts w:asciiTheme="minorHAnsi" w:hAnsiTheme="minorHAnsi" w:cstheme="minorHAnsi"/>
              </w:rPr>
              <w:t xml:space="preserve"> </w:t>
            </w:r>
            <w:r w:rsidRPr="00235142">
              <w:rPr>
                <w:rFonts w:asciiTheme="minorHAnsi" w:hAnsiTheme="minorHAnsi" w:cstheme="minorHAnsi"/>
                <w:sz w:val="24"/>
                <w:szCs w:val="24"/>
              </w:rPr>
              <w:t>w inny sposób, jeżeli wynika to z analizy. Średni wskaźnik w obszarze analizowanym wynosi 18,3 %, przy czym w obszarze analizowanym waha się pomiędzy 10,7 % a 23,7 %. Planowana inwestycja charakteryzuje się wskaźnikiem na poziomie od 7,1 % do 17,8 % powierzchni terenu. Wskaźnik minimalny jest niższy od wskaźnika średniego, a wskaźnik maksymalny jest pośrednim wśród wskaźników istniejących w obszarze analizowanym, w którym przeważają wskaźniki na poziomie od 16,5 % do 21,1 %. Z tego względu, przy uwzględnieniu uwarunkowań zaistniałych w obszarze poddanym analizie, wskaźnik powierzchni nowej zabudowy ustalono na poziomie od 16,5 % do 18,1 %  powierzchni każdego z terenów A, B, C. Jest to zakres zbliżony do wskaźnika średniego oraz występujący na terenach w obszarze analizowanym.</w:t>
            </w:r>
          </w:p>
        </w:tc>
      </w:tr>
      <w:tr w:rsidR="00235142" w:rsidRPr="00235142" w14:paraId="4518639D" w14:textId="77777777" w:rsidTr="002E023F">
        <w:tc>
          <w:tcPr>
            <w:tcW w:w="3544" w:type="dxa"/>
            <w:tcBorders>
              <w:top w:val="single" w:sz="2" w:space="0" w:color="auto"/>
              <w:bottom w:val="single" w:sz="2" w:space="0" w:color="auto"/>
              <w:right w:val="dotted" w:sz="4" w:space="0" w:color="auto"/>
            </w:tcBorders>
            <w:vAlign w:val="center"/>
          </w:tcPr>
          <w:p w14:paraId="2FD5724E" w14:textId="77777777" w:rsidR="00235142" w:rsidRPr="00235142" w:rsidRDefault="00235142" w:rsidP="00235142">
            <w:pPr>
              <w:jc w:val="both"/>
              <w:rPr>
                <w:rFonts w:asciiTheme="minorHAnsi" w:eastAsia="Times New Roman" w:hAnsiTheme="minorHAnsi" w:cstheme="minorHAnsi"/>
                <w:sz w:val="24"/>
                <w:szCs w:val="24"/>
                <w:lang w:eastAsia="pl-PL"/>
              </w:rPr>
            </w:pPr>
            <w:bookmarkStart w:id="4" w:name="mip10826116"/>
            <w:bookmarkEnd w:id="4"/>
            <w:r w:rsidRPr="00235142">
              <w:rPr>
                <w:rFonts w:asciiTheme="minorHAnsi" w:eastAsia="Times New Roman" w:hAnsiTheme="minorHAnsi" w:cstheme="minorHAnsi"/>
                <w:sz w:val="24"/>
                <w:szCs w:val="24"/>
                <w:lang w:eastAsia="pl-PL"/>
              </w:rPr>
              <w:t>Szerokość elewacji frontowej budynku</w:t>
            </w:r>
          </w:p>
        </w:tc>
        <w:tc>
          <w:tcPr>
            <w:tcW w:w="10206" w:type="dxa"/>
            <w:tcBorders>
              <w:top w:val="single" w:sz="2" w:space="0" w:color="auto"/>
              <w:left w:val="dotted" w:sz="4" w:space="0" w:color="auto"/>
              <w:bottom w:val="single" w:sz="2" w:space="0" w:color="auto"/>
            </w:tcBorders>
          </w:tcPr>
          <w:p w14:paraId="2A8ED89A" w14:textId="77777777" w:rsidR="00235142" w:rsidRPr="00235142" w:rsidRDefault="00235142" w:rsidP="00235142">
            <w:pPr>
              <w:jc w:val="both"/>
              <w:rPr>
                <w:rFonts w:asciiTheme="minorHAnsi" w:hAnsiTheme="minorHAnsi" w:cstheme="minorHAnsi"/>
                <w:sz w:val="24"/>
                <w:szCs w:val="24"/>
              </w:rPr>
            </w:pPr>
            <w:r w:rsidRPr="00235142">
              <w:rPr>
                <w:rFonts w:asciiTheme="minorHAnsi" w:hAnsiTheme="minorHAnsi" w:cstheme="minorHAnsi"/>
                <w:sz w:val="24"/>
                <w:szCs w:val="24"/>
              </w:rPr>
              <w:t xml:space="preserve">zgodnie z § 6 ust. 1: na podstawie średniej szerokości elewacji frontowych budynków występujących w obszarze analizowanym z tolerancją ±20 %, przy średniej szerokości elewacji wynoszącej 12,5 m, budynki powinny charakteryzować się szerokościami elewacji frontowej od 10,0 m do 15,0 m. Wnioskowana szerokość elewacji (od 10,0 m do 15,0 m) mieści się w ramach standardowo wyznaczonej wielkości, ponadto mieści się w przedziale szerokości występujących w obszarze analizowanym: od 3,5 m do 17,3 m. Szerokość projektowanego budynku ze względu na zróżnicowanie istniejącej zabudowy oraz na fakt, iż powinien charakteryzować się szerokością pośrednią wśród budynków występujących w sąsiedztwie, ustalono na poziomie 12,5 m ± 20 % (czyli od 10,0 m do 15,0 m) dla każdego z terenów oznaczonych symbolami A, B, C. </w:t>
            </w:r>
          </w:p>
        </w:tc>
      </w:tr>
      <w:tr w:rsidR="00235142" w:rsidRPr="00235142" w14:paraId="30322AA6" w14:textId="77777777" w:rsidTr="002E023F">
        <w:tc>
          <w:tcPr>
            <w:tcW w:w="3544" w:type="dxa"/>
            <w:tcBorders>
              <w:top w:val="single" w:sz="2" w:space="0" w:color="auto"/>
              <w:bottom w:val="single" w:sz="2" w:space="0" w:color="auto"/>
              <w:right w:val="dotted" w:sz="4" w:space="0" w:color="auto"/>
            </w:tcBorders>
            <w:vAlign w:val="center"/>
          </w:tcPr>
          <w:p w14:paraId="53B24571" w14:textId="77777777" w:rsidR="00235142" w:rsidRPr="00235142" w:rsidRDefault="00235142" w:rsidP="00235142">
            <w:pPr>
              <w:jc w:val="both"/>
              <w:rPr>
                <w:rFonts w:asciiTheme="minorHAnsi" w:hAnsiTheme="minorHAnsi" w:cstheme="minorHAnsi"/>
                <w:sz w:val="24"/>
                <w:szCs w:val="24"/>
              </w:rPr>
            </w:pPr>
            <w:r w:rsidRPr="00235142">
              <w:rPr>
                <w:rFonts w:asciiTheme="minorHAnsi" w:hAnsiTheme="minorHAnsi" w:cstheme="minorHAnsi"/>
                <w:sz w:val="24"/>
                <w:szCs w:val="24"/>
              </w:rPr>
              <w:lastRenderedPageBreak/>
              <w:t>Wysokość górnej krawędzi elewacji frontowej</w:t>
            </w:r>
          </w:p>
        </w:tc>
        <w:tc>
          <w:tcPr>
            <w:tcW w:w="10206" w:type="dxa"/>
            <w:tcBorders>
              <w:top w:val="single" w:sz="2" w:space="0" w:color="auto"/>
              <w:left w:val="dotted" w:sz="4" w:space="0" w:color="auto"/>
              <w:bottom w:val="single" w:sz="2" w:space="0" w:color="auto"/>
            </w:tcBorders>
          </w:tcPr>
          <w:p w14:paraId="791EDDDC" w14:textId="77777777" w:rsidR="00235142" w:rsidRPr="00235142" w:rsidRDefault="00235142" w:rsidP="00235142">
            <w:pPr>
              <w:jc w:val="both"/>
              <w:rPr>
                <w:rFonts w:asciiTheme="minorHAnsi" w:hAnsiTheme="minorHAnsi" w:cstheme="minorHAnsi"/>
                <w:sz w:val="24"/>
                <w:szCs w:val="24"/>
              </w:rPr>
            </w:pPr>
            <w:r w:rsidRPr="00235142">
              <w:rPr>
                <w:rFonts w:asciiTheme="minorHAnsi" w:hAnsiTheme="minorHAnsi" w:cstheme="minorHAnsi"/>
                <w:sz w:val="24"/>
                <w:szCs w:val="24"/>
              </w:rPr>
              <w:t xml:space="preserve">zgodnie z § 7 ust. 4: w inny sposób (na podstawie wysokości istniejących budynków w obszarze analizowanym), jeżeli wynika to z analizy. Wysokość górnej krawędzi elewacji frontowej budynków usytuowanych kalenicowo do frontu terenu na działce o nr ewid. 13/36, 13/38 wynosi 2,8 m, na działkach o nr ewid. 425/1; 425/2; 425/3; 425/4; 425/5; 425/6; 425/7; 425/8; 425/9; 425/10; 425/11; 425/14; 425/15; 425/16; 425/17; 425/18; 425/20; 425/21; 425/22; 425/23; 425/25; 11/1; 422/13; 422/15; 422/18; 11/5; 13/31; 13/32; 13/21, 13/33; 13/40 wynosi 3,0 m, na działce o nr ewid. 13/8 wynosi 3,2 m, na działkach o nr ewid. 212/1, 211/2; 10/5; 10/4; 10/3; 10/2; 10/1; 422/10; 422/11; 422/12; 422/16; 422/17; 422/20; 422/1; 422/7; 422/8; 422/9; 13/4; 13/3 wynosi 3,5 m, na działce o nr ewid. 211/2 wynosi 4,0 m, na działkach o nr ewid. 422/10; 13/5, 13/6 wynosi 4,5 m, a wysokość górnej krawędzi elewacji frontowej budynków w obszarze analizowanym, usytuowanych szczytowo w stosunku do frontu terenu na działkach o nr ewid. 425/12; 425/19; 208/1, 209/4; 209/3; 209/2; 209/1; 13/34 wynosi odpowiednio 6,0 m, 6,0 m, 6,0 m, 5,5 m, 5,5 m, 5,5 m 5,5 m, 7,0 m. W przedmiotowym obszarze występują również budynki gospodarcze / gospodarczo-garażowe z dachami tzw. płaskimi (o kącie nachylenia do 12°) o wysokości elewacji frontowej 2,5 m oraz budynki gospodarczo-garażowe o wysokości 3,5 m. Projektowane budynki, z wysokością elewacji frontowej od 3,5 m do 4,5 m dla budynków usytuowanych kalenicowo, oraz z wysokością  od 7,5 m do 8,0 m dla budynków usytuowanych szczytowo, charakteryzują się wysokościami zbliżonymi do występujących w obszarze analizowanym. W związku z powyższym wysokość górnej krawędzi elewacji frontowej ustalono na podstawie wysokości występujących w obszarze analizowanym, czyli od 3,5 m do 4,5 m dla budynków usytuowanych kalenicowo do frontu terenu i od 7,0 m do 8,0 m dla budynków usytuowanych szczytowo do frontu terenu. </w:t>
            </w:r>
          </w:p>
        </w:tc>
      </w:tr>
      <w:tr w:rsidR="00235142" w:rsidRPr="00235142" w14:paraId="43BD17AC" w14:textId="77777777" w:rsidTr="002E023F">
        <w:tc>
          <w:tcPr>
            <w:tcW w:w="13750" w:type="dxa"/>
            <w:gridSpan w:val="2"/>
            <w:tcBorders>
              <w:top w:val="single" w:sz="2" w:space="0" w:color="auto"/>
              <w:bottom w:val="dotted" w:sz="4" w:space="0" w:color="auto"/>
            </w:tcBorders>
            <w:vAlign w:val="center"/>
          </w:tcPr>
          <w:p w14:paraId="0F9AE12C" w14:textId="77777777" w:rsidR="00235142" w:rsidRPr="00235142" w:rsidRDefault="00235142" w:rsidP="00235142">
            <w:pPr>
              <w:jc w:val="both"/>
              <w:rPr>
                <w:rFonts w:asciiTheme="minorHAnsi" w:hAnsiTheme="minorHAnsi" w:cstheme="minorHAnsi"/>
                <w:sz w:val="24"/>
                <w:szCs w:val="24"/>
              </w:rPr>
            </w:pPr>
            <w:r w:rsidRPr="00235142">
              <w:rPr>
                <w:rFonts w:asciiTheme="minorHAnsi" w:hAnsiTheme="minorHAnsi" w:cstheme="minorHAnsi"/>
                <w:sz w:val="24"/>
                <w:szCs w:val="24"/>
              </w:rPr>
              <w:t>Geometria dachu ustalona odpowiednio do geometrii dachów występujących na obszarze analizowanym</w:t>
            </w:r>
          </w:p>
        </w:tc>
      </w:tr>
      <w:tr w:rsidR="00235142" w:rsidRPr="00235142" w14:paraId="76402F10" w14:textId="77777777" w:rsidTr="002E023F">
        <w:tc>
          <w:tcPr>
            <w:tcW w:w="3544" w:type="dxa"/>
            <w:tcBorders>
              <w:top w:val="dotted" w:sz="4" w:space="0" w:color="auto"/>
              <w:bottom w:val="dotted" w:sz="4" w:space="0" w:color="auto"/>
              <w:right w:val="dotted" w:sz="4" w:space="0" w:color="auto"/>
            </w:tcBorders>
            <w:vAlign w:val="center"/>
          </w:tcPr>
          <w:p w14:paraId="4841EE49" w14:textId="77777777" w:rsidR="00235142" w:rsidRPr="00235142" w:rsidRDefault="00235142" w:rsidP="00235142">
            <w:pPr>
              <w:jc w:val="both"/>
              <w:rPr>
                <w:rFonts w:asciiTheme="minorHAnsi" w:hAnsiTheme="minorHAnsi" w:cstheme="minorHAnsi"/>
                <w:sz w:val="24"/>
                <w:szCs w:val="24"/>
              </w:rPr>
            </w:pPr>
            <w:r w:rsidRPr="00235142">
              <w:rPr>
                <w:rFonts w:asciiTheme="minorHAnsi" w:hAnsiTheme="minorHAnsi" w:cstheme="minorHAnsi"/>
                <w:sz w:val="24"/>
                <w:szCs w:val="24"/>
              </w:rPr>
              <w:t>kąt nachylenia</w:t>
            </w:r>
          </w:p>
        </w:tc>
        <w:tc>
          <w:tcPr>
            <w:tcW w:w="10206" w:type="dxa"/>
            <w:tcBorders>
              <w:top w:val="dotted" w:sz="4" w:space="0" w:color="auto"/>
              <w:left w:val="dotted" w:sz="4" w:space="0" w:color="auto"/>
              <w:bottom w:val="dotted" w:sz="4" w:space="0" w:color="auto"/>
            </w:tcBorders>
            <w:vAlign w:val="center"/>
          </w:tcPr>
          <w:p w14:paraId="245F4754" w14:textId="77777777" w:rsidR="00235142" w:rsidRPr="00235142" w:rsidRDefault="00235142" w:rsidP="00235142">
            <w:pPr>
              <w:jc w:val="both"/>
              <w:rPr>
                <w:rFonts w:asciiTheme="minorHAnsi" w:hAnsiTheme="minorHAnsi" w:cstheme="minorHAnsi"/>
                <w:sz w:val="24"/>
                <w:szCs w:val="24"/>
              </w:rPr>
            </w:pPr>
            <w:r w:rsidRPr="00235142">
              <w:rPr>
                <w:rFonts w:asciiTheme="minorHAnsi" w:hAnsiTheme="minorHAnsi" w:cstheme="minorHAnsi"/>
                <w:sz w:val="24"/>
                <w:szCs w:val="24"/>
              </w:rPr>
              <w:t>od 30° do 40°  – w obszarze analizowanym występują dachy jedno- i dwuspadowe o kącie nachylenia od 12° do 45° oraz tzw. płaskie o kącie nachylenia do 12°</w:t>
            </w:r>
          </w:p>
        </w:tc>
      </w:tr>
      <w:tr w:rsidR="00235142" w:rsidRPr="00235142" w14:paraId="66F0DADD" w14:textId="77777777" w:rsidTr="002E023F">
        <w:tc>
          <w:tcPr>
            <w:tcW w:w="3544" w:type="dxa"/>
            <w:tcBorders>
              <w:top w:val="dotted" w:sz="4" w:space="0" w:color="auto"/>
              <w:bottom w:val="dotted" w:sz="4" w:space="0" w:color="auto"/>
              <w:right w:val="dotted" w:sz="4" w:space="0" w:color="auto"/>
            </w:tcBorders>
            <w:vAlign w:val="center"/>
          </w:tcPr>
          <w:p w14:paraId="175A78F1" w14:textId="77777777" w:rsidR="00235142" w:rsidRPr="00235142" w:rsidRDefault="00235142" w:rsidP="00235142">
            <w:pPr>
              <w:jc w:val="both"/>
              <w:rPr>
                <w:rFonts w:asciiTheme="minorHAnsi" w:hAnsiTheme="minorHAnsi" w:cstheme="minorHAnsi"/>
                <w:sz w:val="24"/>
                <w:szCs w:val="24"/>
              </w:rPr>
            </w:pPr>
            <w:r w:rsidRPr="00235142">
              <w:rPr>
                <w:rFonts w:asciiTheme="minorHAnsi" w:hAnsiTheme="minorHAnsi" w:cstheme="minorHAnsi"/>
                <w:sz w:val="24"/>
                <w:szCs w:val="24"/>
              </w:rPr>
              <w:t>wysokość budynku</w:t>
            </w:r>
          </w:p>
        </w:tc>
        <w:tc>
          <w:tcPr>
            <w:tcW w:w="10206" w:type="dxa"/>
            <w:tcBorders>
              <w:top w:val="dotted" w:sz="4" w:space="0" w:color="auto"/>
              <w:left w:val="dotted" w:sz="4" w:space="0" w:color="auto"/>
              <w:bottom w:val="dotted" w:sz="4" w:space="0" w:color="auto"/>
            </w:tcBorders>
            <w:vAlign w:val="center"/>
          </w:tcPr>
          <w:p w14:paraId="04DE8068" w14:textId="77777777" w:rsidR="00235142" w:rsidRPr="00235142" w:rsidRDefault="00235142" w:rsidP="00235142">
            <w:pPr>
              <w:jc w:val="both"/>
              <w:rPr>
                <w:rFonts w:asciiTheme="minorHAnsi" w:hAnsiTheme="minorHAnsi" w:cstheme="minorHAnsi"/>
                <w:sz w:val="24"/>
                <w:szCs w:val="24"/>
              </w:rPr>
            </w:pPr>
            <w:r w:rsidRPr="00235142">
              <w:rPr>
                <w:rFonts w:asciiTheme="minorHAnsi" w:hAnsiTheme="minorHAnsi" w:cstheme="minorHAnsi"/>
                <w:sz w:val="24"/>
                <w:szCs w:val="24"/>
              </w:rPr>
              <w:t>od 7,0 m do 8,0 m – wysokości głównej kalenicy budynków w obszarze analizowanym oscylują od 3,5 m do 8,5 m, a wysokości całkowite budynków 2,5 m</w:t>
            </w:r>
          </w:p>
        </w:tc>
      </w:tr>
      <w:tr w:rsidR="00235142" w:rsidRPr="00235142" w14:paraId="76905989" w14:textId="77777777" w:rsidTr="002E023F">
        <w:tc>
          <w:tcPr>
            <w:tcW w:w="3544" w:type="dxa"/>
            <w:tcBorders>
              <w:top w:val="dotted" w:sz="4" w:space="0" w:color="auto"/>
              <w:bottom w:val="dotted" w:sz="4" w:space="0" w:color="auto"/>
              <w:right w:val="dotted" w:sz="4" w:space="0" w:color="auto"/>
            </w:tcBorders>
            <w:vAlign w:val="center"/>
          </w:tcPr>
          <w:p w14:paraId="41093C42" w14:textId="77777777" w:rsidR="00235142" w:rsidRPr="00235142" w:rsidRDefault="00235142" w:rsidP="00235142">
            <w:pPr>
              <w:jc w:val="both"/>
              <w:rPr>
                <w:rFonts w:asciiTheme="minorHAnsi" w:hAnsiTheme="minorHAnsi" w:cstheme="minorHAnsi"/>
                <w:sz w:val="24"/>
                <w:szCs w:val="24"/>
              </w:rPr>
            </w:pPr>
            <w:r w:rsidRPr="00235142">
              <w:rPr>
                <w:rFonts w:asciiTheme="minorHAnsi" w:hAnsiTheme="minorHAnsi" w:cstheme="minorHAnsi"/>
                <w:sz w:val="24"/>
                <w:szCs w:val="24"/>
              </w:rPr>
              <w:t>układ połaci dachowych</w:t>
            </w:r>
          </w:p>
        </w:tc>
        <w:tc>
          <w:tcPr>
            <w:tcW w:w="10206" w:type="dxa"/>
            <w:tcBorders>
              <w:top w:val="dotted" w:sz="4" w:space="0" w:color="auto"/>
              <w:left w:val="dotted" w:sz="4" w:space="0" w:color="auto"/>
              <w:bottom w:val="dotted" w:sz="4" w:space="0" w:color="auto"/>
            </w:tcBorders>
            <w:vAlign w:val="center"/>
          </w:tcPr>
          <w:p w14:paraId="1A598001" w14:textId="77777777" w:rsidR="00235142" w:rsidRPr="00235142" w:rsidRDefault="00235142" w:rsidP="00235142">
            <w:pPr>
              <w:jc w:val="both"/>
              <w:rPr>
                <w:rFonts w:asciiTheme="minorHAnsi" w:hAnsiTheme="minorHAnsi" w:cstheme="minorHAnsi"/>
                <w:sz w:val="24"/>
                <w:szCs w:val="24"/>
              </w:rPr>
            </w:pPr>
            <w:r w:rsidRPr="00235142">
              <w:rPr>
                <w:rFonts w:asciiTheme="minorHAnsi" w:hAnsiTheme="minorHAnsi" w:cstheme="minorHAnsi"/>
                <w:sz w:val="24"/>
                <w:szCs w:val="24"/>
              </w:rPr>
              <w:t xml:space="preserve">dwuspadowy </w:t>
            </w:r>
          </w:p>
        </w:tc>
      </w:tr>
      <w:tr w:rsidR="00235142" w:rsidRPr="00235142" w14:paraId="003873BC" w14:textId="77777777" w:rsidTr="002E023F">
        <w:tc>
          <w:tcPr>
            <w:tcW w:w="3544" w:type="dxa"/>
            <w:tcBorders>
              <w:top w:val="dotted" w:sz="4" w:space="0" w:color="auto"/>
              <w:right w:val="dotted" w:sz="4" w:space="0" w:color="auto"/>
            </w:tcBorders>
            <w:vAlign w:val="center"/>
          </w:tcPr>
          <w:p w14:paraId="1AC7DF4C" w14:textId="77777777" w:rsidR="00235142" w:rsidRPr="00235142" w:rsidRDefault="00235142" w:rsidP="00235142">
            <w:pPr>
              <w:jc w:val="both"/>
              <w:rPr>
                <w:rFonts w:asciiTheme="minorHAnsi" w:hAnsiTheme="minorHAnsi" w:cstheme="minorHAnsi"/>
                <w:sz w:val="24"/>
                <w:szCs w:val="24"/>
              </w:rPr>
            </w:pPr>
            <w:r w:rsidRPr="00235142">
              <w:rPr>
                <w:rFonts w:asciiTheme="minorHAnsi" w:hAnsiTheme="minorHAnsi" w:cstheme="minorHAnsi"/>
                <w:sz w:val="24"/>
                <w:szCs w:val="24"/>
              </w:rPr>
              <w:lastRenderedPageBreak/>
              <w:t>kierunek głównej kalenicy dachu w stosunku do frontu działki</w:t>
            </w:r>
          </w:p>
        </w:tc>
        <w:tc>
          <w:tcPr>
            <w:tcW w:w="10206" w:type="dxa"/>
            <w:tcBorders>
              <w:top w:val="dotted" w:sz="4" w:space="0" w:color="auto"/>
              <w:left w:val="dotted" w:sz="4" w:space="0" w:color="auto"/>
            </w:tcBorders>
            <w:vAlign w:val="center"/>
          </w:tcPr>
          <w:p w14:paraId="00CE2A46" w14:textId="77777777" w:rsidR="00235142" w:rsidRPr="00235142" w:rsidRDefault="00235142" w:rsidP="00235142">
            <w:pPr>
              <w:jc w:val="both"/>
              <w:rPr>
                <w:rFonts w:asciiTheme="minorHAnsi" w:hAnsiTheme="minorHAnsi" w:cstheme="minorHAnsi"/>
                <w:sz w:val="24"/>
                <w:szCs w:val="24"/>
              </w:rPr>
            </w:pPr>
            <w:r w:rsidRPr="00235142">
              <w:rPr>
                <w:rFonts w:asciiTheme="minorHAnsi" w:hAnsiTheme="minorHAnsi" w:cstheme="minorHAnsi"/>
                <w:sz w:val="24"/>
                <w:szCs w:val="24"/>
              </w:rPr>
              <w:t xml:space="preserve">kalenicowy – w obszarze analizowanym występują dachy o kalenicowym (równoległym lub zbliżonym do równoległego) do frontu działki </w:t>
            </w:r>
            <w:bookmarkStart w:id="5" w:name="_Hlk149818554"/>
            <w:r w:rsidRPr="00235142">
              <w:rPr>
                <w:rFonts w:asciiTheme="minorHAnsi" w:hAnsiTheme="minorHAnsi" w:cstheme="minorHAnsi"/>
                <w:sz w:val="24"/>
                <w:szCs w:val="24"/>
              </w:rPr>
              <w:t xml:space="preserve">i szczytowym (prostopadłym lub zbliżonym do prostopadłego) </w:t>
            </w:r>
            <w:bookmarkEnd w:id="5"/>
            <w:r w:rsidRPr="00235142">
              <w:rPr>
                <w:rFonts w:asciiTheme="minorHAnsi" w:hAnsiTheme="minorHAnsi" w:cstheme="minorHAnsi"/>
                <w:sz w:val="24"/>
                <w:szCs w:val="24"/>
              </w:rPr>
              <w:t>kierunku kalenicy w  stosunku do frontu działki, przy czym w przypadku budynków mieszkalnych znacznie przeważają usytuowane kalenicowo do frontu działki</w:t>
            </w:r>
          </w:p>
        </w:tc>
      </w:tr>
    </w:tbl>
    <w:p w14:paraId="10BC9E89" w14:textId="77777777" w:rsidR="00235142" w:rsidRPr="0073043C" w:rsidRDefault="00235142" w:rsidP="00235142">
      <w:pPr>
        <w:rPr>
          <w:sz w:val="2"/>
          <w:szCs w:val="2"/>
        </w:rPr>
      </w:pPr>
    </w:p>
    <w:p w14:paraId="087F5CC2" w14:textId="77777777" w:rsidR="006838B1" w:rsidRDefault="006838B1" w:rsidP="00C41720">
      <w:pPr>
        <w:jc w:val="center"/>
        <w:rPr>
          <w:rFonts w:ascii="Calibri" w:hAnsi="Calibri" w:cs="Calibri"/>
          <w:sz w:val="28"/>
          <w:szCs w:val="28"/>
        </w:rPr>
        <w:sectPr w:rsidR="006838B1" w:rsidSect="006E54F5">
          <w:headerReference w:type="default" r:id="rId18"/>
          <w:footerReference w:type="default" r:id="rId19"/>
          <w:pgSz w:w="16838" w:h="11906" w:orient="landscape"/>
          <w:pgMar w:top="1701" w:right="1418" w:bottom="1418" w:left="1701" w:header="709" w:footer="709" w:gutter="0"/>
          <w:cols w:space="708"/>
          <w:docGrid w:linePitch="600" w:charSpace="32768"/>
        </w:sectPr>
      </w:pPr>
    </w:p>
    <w:p w14:paraId="504F2D08" w14:textId="68CB14B6" w:rsidR="006838B1" w:rsidRPr="00BD3058" w:rsidRDefault="008356B3" w:rsidP="00C41720">
      <w:pPr>
        <w:jc w:val="center"/>
        <w:rPr>
          <w:rFonts w:ascii="Calibri" w:hAnsi="Calibri" w:cs="Calibri"/>
          <w:sz w:val="28"/>
          <w:szCs w:val="28"/>
        </w:rPr>
      </w:pPr>
      <w:r>
        <w:rPr>
          <w:rFonts w:ascii="Calibri" w:hAnsi="Calibri" w:cs="Calibri"/>
          <w:noProof/>
          <w:sz w:val="28"/>
          <w:szCs w:val="28"/>
        </w:rPr>
        <w:lastRenderedPageBreak/>
        <w:drawing>
          <wp:inline distT="0" distB="0" distL="0" distR="0" wp14:anchorId="620843EA" wp14:editId="49D6708D">
            <wp:extent cx="13392150" cy="9527646"/>
            <wp:effectExtent l="0" t="0" r="0" b="0"/>
            <wp:docPr id="1072621907"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398768" cy="9532354"/>
                    </a:xfrm>
                    <a:prstGeom prst="rect">
                      <a:avLst/>
                    </a:prstGeom>
                    <a:noFill/>
                    <a:ln>
                      <a:noFill/>
                    </a:ln>
                  </pic:spPr>
                </pic:pic>
              </a:graphicData>
            </a:graphic>
          </wp:inline>
        </w:drawing>
      </w:r>
    </w:p>
    <w:sectPr w:rsidR="006838B1" w:rsidRPr="00BD3058" w:rsidSect="006E54F5">
      <w:headerReference w:type="default" r:id="rId21"/>
      <w:pgSz w:w="23811" w:h="16838" w:orient="landscape" w:code="8"/>
      <w:pgMar w:top="720" w:right="720" w:bottom="720" w:left="720" w:header="709" w:footer="709"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20B4FE" w14:textId="77777777" w:rsidR="006E54F5" w:rsidRDefault="006E54F5" w:rsidP="00053E5A">
      <w:pPr>
        <w:spacing w:after="0" w:line="240" w:lineRule="auto"/>
      </w:pPr>
      <w:r>
        <w:separator/>
      </w:r>
    </w:p>
  </w:endnote>
  <w:endnote w:type="continuationSeparator" w:id="0">
    <w:p w14:paraId="55768764" w14:textId="77777777" w:rsidR="006E54F5" w:rsidRDefault="006E54F5"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40D4FD" w14:textId="7A36585A" w:rsidR="004D6B2B" w:rsidRPr="002E62F5" w:rsidRDefault="004D6B2B" w:rsidP="004D6B2B">
    <w:pPr>
      <w:pStyle w:val="Stopka"/>
      <w:jc w:val="center"/>
      <w:rPr>
        <w:sz w:val="28"/>
        <w:szCs w:val="28"/>
      </w:rPr>
    </w:pPr>
    <w:r w:rsidRPr="002E62F5">
      <w:rPr>
        <w:sz w:val="28"/>
        <w:szCs w:val="28"/>
      </w:rPr>
      <w:t>2 z 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E74C41" w14:textId="49A4CD43" w:rsidR="00945706" w:rsidRPr="004D6B2B" w:rsidRDefault="004D6B2B" w:rsidP="004D6B2B">
    <w:pPr>
      <w:pStyle w:val="Stopka"/>
      <w:tabs>
        <w:tab w:val="center" w:pos="4393"/>
        <w:tab w:val="right" w:pos="8787"/>
      </w:tabs>
    </w:pPr>
    <w:r w:rsidRPr="001B7431">
      <w:rPr>
        <w:rFonts w:cstheme="minorHAnsi"/>
        <w:noProof/>
        <w:sz w:val="28"/>
        <w:szCs w:val="28"/>
      </w:rPr>
      <w:drawing>
        <wp:anchor distT="0" distB="0" distL="114300" distR="114300" simplePos="0" relativeHeight="251676672" behindDoc="1" locked="0" layoutInCell="1" allowOverlap="1" wp14:anchorId="03DD2B08" wp14:editId="134EBC61">
          <wp:simplePos x="0" y="0"/>
          <wp:positionH relativeFrom="column">
            <wp:posOffset>-1200150</wp:posOffset>
          </wp:positionH>
          <wp:positionV relativeFrom="paragraph">
            <wp:posOffset>-1012739</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86259075"/>
      <w:docPartObj>
        <w:docPartGallery w:val="Page Numbers (Bottom of Page)"/>
        <w:docPartUnique/>
      </w:docPartObj>
    </w:sdtPr>
    <w:sdtContent>
      <w:sdt>
        <w:sdtPr>
          <w:id w:val="1728636285"/>
          <w:docPartObj>
            <w:docPartGallery w:val="Page Numbers (Top of Page)"/>
            <w:docPartUnique/>
          </w:docPartObj>
        </w:sdtPr>
        <w:sdtContent>
          <w:p w14:paraId="1145CA04" w14:textId="1BDBD5F0" w:rsidR="00403FA2" w:rsidRPr="00BD3058" w:rsidRDefault="00C41720" w:rsidP="00BD3058">
            <w:pPr>
              <w:pStyle w:val="Stopka"/>
              <w:jc w:val="center"/>
              <w:rPr>
                <w:sz w:val="28"/>
                <w:szCs w:val="28"/>
              </w:rPr>
            </w:pPr>
            <w:r w:rsidRPr="00C41720">
              <w:rPr>
                <w:sz w:val="28"/>
                <w:szCs w:val="28"/>
              </w:rPr>
              <w:t xml:space="preserve">Strona </w:t>
            </w:r>
            <w:r w:rsidRPr="00C41720">
              <w:rPr>
                <w:sz w:val="28"/>
                <w:szCs w:val="28"/>
              </w:rPr>
              <w:fldChar w:fldCharType="begin"/>
            </w:r>
            <w:r w:rsidRPr="00C41720">
              <w:rPr>
                <w:sz w:val="28"/>
                <w:szCs w:val="28"/>
              </w:rPr>
              <w:instrText>PAGE</w:instrText>
            </w:r>
            <w:r w:rsidRPr="00C41720">
              <w:rPr>
                <w:sz w:val="28"/>
                <w:szCs w:val="28"/>
              </w:rPr>
              <w:fldChar w:fldCharType="separate"/>
            </w:r>
            <w:r w:rsidRPr="00C41720">
              <w:rPr>
                <w:sz w:val="28"/>
                <w:szCs w:val="28"/>
              </w:rPr>
              <w:t>2</w:t>
            </w:r>
            <w:r w:rsidRPr="00C41720">
              <w:rPr>
                <w:sz w:val="28"/>
                <w:szCs w:val="28"/>
              </w:rPr>
              <w:fldChar w:fldCharType="end"/>
            </w:r>
            <w:r w:rsidRPr="00C41720">
              <w:rPr>
                <w:sz w:val="28"/>
                <w:szCs w:val="28"/>
              </w:rPr>
              <w:t xml:space="preserve"> z </w:t>
            </w:r>
            <w:r w:rsidR="00BD3058">
              <w:rPr>
                <w:sz w:val="28"/>
                <w:szCs w:val="28"/>
              </w:rPr>
              <w:t>19</w:t>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0A8DC1" w14:textId="6492BB76" w:rsidR="008C0D69" w:rsidRPr="00D70CF5" w:rsidRDefault="008C0D69" w:rsidP="0091164C">
    <w:pPr>
      <w:pStyle w:val="Stopka"/>
      <w:jc w:val="center"/>
      <w:rPr>
        <w:rFonts w:cstheme="minorHAnsi"/>
        <w:szCs w:val="28"/>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32"/>
        <w:szCs w:val="24"/>
      </w:rPr>
      <w:id w:val="1137997453"/>
      <w:docPartObj>
        <w:docPartGallery w:val="Page Numbers (Bottom of Page)"/>
        <w:docPartUnique/>
      </w:docPartObj>
    </w:sdtPr>
    <w:sdtContent>
      <w:sdt>
        <w:sdtPr>
          <w:rPr>
            <w:sz w:val="32"/>
            <w:szCs w:val="24"/>
          </w:rPr>
          <w:id w:val="98381352"/>
          <w:docPartObj>
            <w:docPartGallery w:val="Page Numbers (Top of Page)"/>
            <w:docPartUnique/>
          </w:docPartObj>
        </w:sdtPr>
        <w:sdtContent>
          <w:p w14:paraId="2F1AA554" w14:textId="77777777" w:rsidR="00235142" w:rsidRPr="00447478" w:rsidRDefault="00235142" w:rsidP="00E901C1">
            <w:pPr>
              <w:pStyle w:val="Stopka"/>
              <w:jc w:val="center"/>
              <w:rPr>
                <w:sz w:val="32"/>
                <w:szCs w:val="24"/>
              </w:rPr>
            </w:pPr>
            <w:r w:rsidRPr="00447478">
              <w:rPr>
                <w:szCs w:val="28"/>
              </w:rPr>
              <w:t xml:space="preserve">Strona </w:t>
            </w:r>
            <w:r w:rsidRPr="00447478">
              <w:rPr>
                <w:szCs w:val="28"/>
              </w:rPr>
              <w:fldChar w:fldCharType="begin"/>
            </w:r>
            <w:r w:rsidRPr="00447478">
              <w:rPr>
                <w:szCs w:val="28"/>
              </w:rPr>
              <w:instrText>PAGE</w:instrText>
            </w:r>
            <w:r w:rsidRPr="00447478">
              <w:rPr>
                <w:szCs w:val="28"/>
              </w:rPr>
              <w:fldChar w:fldCharType="separate"/>
            </w:r>
            <w:r w:rsidRPr="00447478">
              <w:rPr>
                <w:noProof/>
                <w:szCs w:val="28"/>
              </w:rPr>
              <w:t>1</w:t>
            </w:r>
            <w:r w:rsidRPr="00447478">
              <w:rPr>
                <w:szCs w:val="28"/>
              </w:rPr>
              <w:fldChar w:fldCharType="end"/>
            </w:r>
            <w:r w:rsidRPr="00447478">
              <w:rPr>
                <w:szCs w:val="28"/>
              </w:rPr>
              <w:t xml:space="preserve"> z </w:t>
            </w:r>
            <w:r w:rsidRPr="00447478">
              <w:rPr>
                <w:szCs w:val="28"/>
              </w:rPr>
              <w:fldChar w:fldCharType="begin"/>
            </w:r>
            <w:r w:rsidRPr="00447478">
              <w:rPr>
                <w:szCs w:val="28"/>
              </w:rPr>
              <w:instrText>NUMPAGES</w:instrText>
            </w:r>
            <w:r w:rsidRPr="00447478">
              <w:rPr>
                <w:szCs w:val="28"/>
              </w:rPr>
              <w:fldChar w:fldCharType="separate"/>
            </w:r>
            <w:r w:rsidRPr="00447478">
              <w:rPr>
                <w:noProof/>
                <w:szCs w:val="28"/>
              </w:rPr>
              <w:t>3</w:t>
            </w:r>
            <w:r w:rsidRPr="00447478">
              <w:rPr>
                <w:szCs w:val="28"/>
              </w:rPr>
              <w:fldChar w:fldCharType="end"/>
            </w:r>
          </w:p>
        </w:sdtContent>
      </w:sdt>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247461" w14:textId="39AFE1F7" w:rsidR="00BD3058" w:rsidRPr="00BD3058" w:rsidRDefault="00BD3058" w:rsidP="00BD305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CEA9C6" w14:textId="77777777" w:rsidR="006E54F5" w:rsidRDefault="006E54F5" w:rsidP="00053E5A">
      <w:pPr>
        <w:spacing w:after="0" w:line="240" w:lineRule="auto"/>
      </w:pPr>
      <w:r>
        <w:separator/>
      </w:r>
    </w:p>
  </w:footnote>
  <w:footnote w:type="continuationSeparator" w:id="0">
    <w:p w14:paraId="5178D5D3" w14:textId="77777777" w:rsidR="006E54F5" w:rsidRDefault="006E54F5" w:rsidP="00053E5A">
      <w:pPr>
        <w:spacing w:after="0" w:line="240" w:lineRule="auto"/>
      </w:pPr>
      <w:r>
        <w:continuationSeparator/>
      </w:r>
    </w:p>
  </w:footnote>
  <w:footnote w:id="1">
    <w:p w14:paraId="654328E6" w14:textId="77777777" w:rsidR="00C960F5" w:rsidRPr="00EE5F25" w:rsidRDefault="00C960F5" w:rsidP="00C960F5">
      <w:pPr>
        <w:pStyle w:val="Tekstprzypisudolnego"/>
        <w:ind w:left="0"/>
        <w:rPr>
          <w:sz w:val="28"/>
          <w:szCs w:val="28"/>
        </w:rPr>
      </w:pPr>
      <w:r w:rsidRPr="00EE5F25">
        <w:rPr>
          <w:rStyle w:val="Odwoanieprzypisudolnego"/>
          <w:sz w:val="28"/>
          <w:szCs w:val="28"/>
        </w:rPr>
        <w:footnoteRef/>
      </w:r>
      <w:r w:rsidRPr="00EE5F25">
        <w:rPr>
          <w:sz w:val="28"/>
          <w:szCs w:val="28"/>
        </w:rPr>
        <w:t xml:space="preserve"> Stosownie do art. 61 ust. 5a </w:t>
      </w:r>
      <w:r>
        <w:rPr>
          <w:sz w:val="28"/>
          <w:szCs w:val="28"/>
        </w:rPr>
        <w:t>zdanie drugie u.p.z.p.</w:t>
      </w:r>
      <w:r w:rsidRPr="00EE5F25">
        <w:rPr>
          <w:sz w:val="28"/>
          <w:szCs w:val="28"/>
        </w:rPr>
        <w:t xml:space="preserve"> </w:t>
      </w:r>
      <w:r>
        <w:rPr>
          <w:sz w:val="28"/>
          <w:szCs w:val="28"/>
        </w:rPr>
        <w:t>p</w:t>
      </w:r>
      <w:r w:rsidRPr="004F199C">
        <w:rPr>
          <w:sz w:val="28"/>
          <w:szCs w:val="28"/>
        </w:rPr>
        <w:t>rzez front terenu należy rozumieć tę część granicy działki budowlanej, która przylega do drogi publicznej lub wewnętrznej, z której odbywa się główny wjazd na działkę</w:t>
      </w:r>
      <w:r w:rsidRPr="00EE5F25">
        <w:rPr>
          <w:sz w:val="28"/>
          <w:szCs w:val="28"/>
        </w:rPr>
        <w:t xml:space="preserve">. Front </w:t>
      </w:r>
      <w:r>
        <w:rPr>
          <w:sz w:val="28"/>
          <w:szCs w:val="28"/>
        </w:rPr>
        <w:t>terenu</w:t>
      </w:r>
      <w:r w:rsidRPr="00EE5F25">
        <w:rPr>
          <w:sz w:val="28"/>
          <w:szCs w:val="28"/>
        </w:rPr>
        <w:t xml:space="preserve"> został oznaczony w załączniku nr 1 do decyzji.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7BD8BA5" w:rsidR="007C6800" w:rsidRDefault="00E9384C" w:rsidP="007D722D">
    <w:pPr>
      <w:pStyle w:val="Nagwek"/>
      <w:tabs>
        <w:tab w:val="clear" w:pos="4536"/>
        <w:tab w:val="clear" w:pos="9072"/>
        <w:tab w:val="left" w:pos="2790"/>
        <w:tab w:val="center" w:pos="4393"/>
      </w:tabs>
    </w:pPr>
    <w:r>
      <w:tab/>
    </w:r>
    <w:r w:rsidR="007D722D">
      <w:tab/>
    </w:r>
  </w:p>
  <w:p w14:paraId="285AAA27" w14:textId="2FE7C5AB" w:rsidR="007C6800" w:rsidRPr="007C6800" w:rsidRDefault="007362FC" w:rsidP="00E9384C">
    <w:pPr>
      <w:pStyle w:val="Nagwek"/>
      <w:tabs>
        <w:tab w:val="clear" w:pos="4536"/>
        <w:tab w:val="clear" w:pos="9072"/>
        <w:tab w:val="center" w:pos="4393"/>
      </w:tabs>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9384C">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8BD5A1" w14:textId="508792A9" w:rsidR="00403FA2" w:rsidRPr="006838B1" w:rsidRDefault="00403FA2" w:rsidP="006838B1">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CD681D" w14:textId="4C4D4957" w:rsidR="006838B1" w:rsidRPr="0040389E" w:rsidRDefault="006838B1" w:rsidP="0040389E">
    <w:pPr>
      <w:pStyle w:val="Nagwek"/>
      <w:jc w:val="right"/>
      <w:rPr>
        <w:rFonts w:cstheme="minorHAnsi"/>
        <w:color w:val="808080" w:themeColor="background1" w:themeShade="80"/>
      </w:rPr>
    </w:pPr>
    <w:r>
      <w:rPr>
        <w:rFonts w:cstheme="minorHAnsi"/>
        <w:color w:val="808080" w:themeColor="background1" w:themeShade="80"/>
      </w:rPr>
      <w:t xml:space="preserve">Załącznik nr 1 do decyzji </w:t>
    </w:r>
    <w:r w:rsidR="00235142">
      <w:rPr>
        <w:rFonts w:cstheme="minorHAnsi"/>
        <w:color w:val="808080" w:themeColor="background1" w:themeShade="80"/>
      </w:rPr>
      <w:t xml:space="preserve">nr 34/2024 z 8 kwietnia 2024 r </w:t>
    </w:r>
    <w:r>
      <w:rPr>
        <w:rFonts w:cstheme="minorHAnsi"/>
        <w:color w:val="808080" w:themeColor="background1" w:themeShade="80"/>
      </w:rPr>
      <w:t>r.</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0C612E" w14:textId="009E1D4C" w:rsidR="006838B1" w:rsidRPr="0040389E" w:rsidRDefault="006838B1" w:rsidP="0040389E">
    <w:pPr>
      <w:pStyle w:val="Nagwek"/>
      <w:jc w:val="right"/>
      <w:rPr>
        <w:rFonts w:cstheme="minorHAnsi"/>
        <w:color w:val="808080" w:themeColor="background1" w:themeShade="80"/>
      </w:rPr>
    </w:pPr>
    <w:r>
      <w:rPr>
        <w:rFonts w:cstheme="minorHAnsi"/>
        <w:color w:val="808080" w:themeColor="background1" w:themeShade="80"/>
      </w:rPr>
      <w:t xml:space="preserve">Załącznik nr 2 do decyzji nr </w:t>
    </w:r>
    <w:r w:rsidR="00235142">
      <w:rPr>
        <w:rFonts w:cstheme="minorHAnsi"/>
        <w:color w:val="808080" w:themeColor="background1" w:themeShade="80"/>
      </w:rPr>
      <w:t>34</w:t>
    </w:r>
    <w:r>
      <w:rPr>
        <w:rFonts w:cstheme="minorHAnsi"/>
        <w:color w:val="808080" w:themeColor="background1" w:themeShade="80"/>
      </w:rPr>
      <w:t xml:space="preserve">/2024 z </w:t>
    </w:r>
    <w:r w:rsidR="00235142">
      <w:rPr>
        <w:rFonts w:cstheme="minorHAnsi"/>
        <w:color w:val="808080" w:themeColor="background1" w:themeShade="80"/>
      </w:rPr>
      <w:t>8 kwietnia</w:t>
    </w:r>
    <w:r>
      <w:rPr>
        <w:rFonts w:cstheme="minorHAnsi"/>
        <w:color w:val="808080" w:themeColor="background1" w:themeShade="80"/>
      </w:rPr>
      <w:t xml:space="preserve"> 2024 r.</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17435C" w14:textId="0FA43056" w:rsidR="00FC78DF" w:rsidRPr="00FC78DF" w:rsidRDefault="00FC78DF" w:rsidP="00FC78DF">
    <w:pPr>
      <w:pStyle w:val="Nagwek"/>
      <w:jc w:val="right"/>
      <w:rPr>
        <w:color w:val="808080" w:themeColor="background1" w:themeShade="80"/>
      </w:rPr>
    </w:pPr>
    <w:r w:rsidRPr="00FC78DF">
      <w:rPr>
        <w:color w:val="808080" w:themeColor="background1" w:themeShade="80"/>
      </w:rPr>
      <w:t xml:space="preserve">Załącznik nr </w:t>
    </w:r>
    <w:r w:rsidRPr="00DA2AFC">
      <w:rPr>
        <w:color w:val="808080" w:themeColor="background1" w:themeShade="80"/>
      </w:rPr>
      <w:t>3</w:t>
    </w:r>
    <w:r w:rsidRPr="00FC78DF">
      <w:rPr>
        <w:color w:val="808080" w:themeColor="background1" w:themeShade="80"/>
      </w:rPr>
      <w:t xml:space="preserve"> do decyzji </w:t>
    </w:r>
    <w:r w:rsidR="00235142">
      <w:rPr>
        <w:rFonts w:cstheme="minorHAnsi"/>
        <w:color w:val="808080" w:themeColor="background1" w:themeShade="80"/>
      </w:rPr>
      <w:t>nr 34/2024 z 8 kwietnia 2024 r</w:t>
    </w:r>
    <w:r w:rsidRPr="00FC78DF">
      <w:rPr>
        <w:color w:val="808080" w:themeColor="background1" w:themeShade="80"/>
      </w:rPr>
      <w:t>.</w:t>
    </w:r>
  </w:p>
  <w:p w14:paraId="23F0684E" w14:textId="58DE3D45" w:rsidR="006838B1" w:rsidRPr="006838B1" w:rsidRDefault="006838B1" w:rsidP="006838B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singleLevel"/>
    <w:tmpl w:val="00000003"/>
    <w:name w:val="WW8Num3"/>
    <w:lvl w:ilvl="0">
      <w:start w:val="1"/>
      <w:numFmt w:val="decimal"/>
      <w:lvlText w:val="%1)"/>
      <w:lvlJc w:val="left"/>
      <w:pPr>
        <w:tabs>
          <w:tab w:val="num" w:pos="0"/>
        </w:tabs>
        <w:ind w:left="720" w:hanging="360"/>
      </w:pPr>
      <w:rPr>
        <w:sz w:val="28"/>
      </w:rPr>
    </w:lvl>
  </w:abstractNum>
  <w:abstractNum w:abstractNumId="1" w15:restartNumberingAfterBreak="0">
    <w:nsid w:val="02D7322C"/>
    <w:multiLevelType w:val="hybridMultilevel"/>
    <w:tmpl w:val="FDC8A274"/>
    <w:lvl w:ilvl="0" w:tplc="0415000F">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 w15:restartNumberingAfterBreak="0">
    <w:nsid w:val="058153C1"/>
    <w:multiLevelType w:val="hybridMultilevel"/>
    <w:tmpl w:val="94A61398"/>
    <w:lvl w:ilvl="0" w:tplc="68DC4C16">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 w15:restartNumberingAfterBreak="0">
    <w:nsid w:val="06661EE6"/>
    <w:multiLevelType w:val="hybridMultilevel"/>
    <w:tmpl w:val="30021E36"/>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 w15:restartNumberingAfterBreak="0">
    <w:nsid w:val="09E120AD"/>
    <w:multiLevelType w:val="hybridMultilevel"/>
    <w:tmpl w:val="F5625C6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0A934C91"/>
    <w:multiLevelType w:val="hybridMultilevel"/>
    <w:tmpl w:val="FA74C528"/>
    <w:lvl w:ilvl="0" w:tplc="0FE2B826">
      <w:start w:val="1"/>
      <w:numFmt w:val="lowerLetter"/>
      <w:lvlText w:val="%1)"/>
      <w:lvlJc w:val="left"/>
      <w:pPr>
        <w:ind w:left="567" w:hanging="360"/>
      </w:pPr>
      <w:rPr>
        <w:rFonts w:hint="default"/>
      </w:rPr>
    </w:lvl>
    <w:lvl w:ilvl="1" w:tplc="04150019" w:tentative="1">
      <w:start w:val="1"/>
      <w:numFmt w:val="lowerLetter"/>
      <w:lvlText w:val="%2."/>
      <w:lvlJc w:val="left"/>
      <w:pPr>
        <w:ind w:left="1287" w:hanging="360"/>
      </w:pPr>
    </w:lvl>
    <w:lvl w:ilvl="2" w:tplc="0415001B" w:tentative="1">
      <w:start w:val="1"/>
      <w:numFmt w:val="lowerRoman"/>
      <w:lvlText w:val="%3."/>
      <w:lvlJc w:val="right"/>
      <w:pPr>
        <w:ind w:left="2007" w:hanging="180"/>
      </w:pPr>
    </w:lvl>
    <w:lvl w:ilvl="3" w:tplc="0415000F" w:tentative="1">
      <w:start w:val="1"/>
      <w:numFmt w:val="decimal"/>
      <w:lvlText w:val="%4."/>
      <w:lvlJc w:val="left"/>
      <w:pPr>
        <w:ind w:left="2727" w:hanging="360"/>
      </w:pPr>
    </w:lvl>
    <w:lvl w:ilvl="4" w:tplc="04150019" w:tentative="1">
      <w:start w:val="1"/>
      <w:numFmt w:val="lowerLetter"/>
      <w:lvlText w:val="%5."/>
      <w:lvlJc w:val="left"/>
      <w:pPr>
        <w:ind w:left="3447" w:hanging="360"/>
      </w:pPr>
    </w:lvl>
    <w:lvl w:ilvl="5" w:tplc="0415001B" w:tentative="1">
      <w:start w:val="1"/>
      <w:numFmt w:val="lowerRoman"/>
      <w:lvlText w:val="%6."/>
      <w:lvlJc w:val="right"/>
      <w:pPr>
        <w:ind w:left="4167" w:hanging="180"/>
      </w:pPr>
    </w:lvl>
    <w:lvl w:ilvl="6" w:tplc="0415000F" w:tentative="1">
      <w:start w:val="1"/>
      <w:numFmt w:val="decimal"/>
      <w:lvlText w:val="%7."/>
      <w:lvlJc w:val="left"/>
      <w:pPr>
        <w:ind w:left="4887" w:hanging="360"/>
      </w:pPr>
    </w:lvl>
    <w:lvl w:ilvl="7" w:tplc="04150019" w:tentative="1">
      <w:start w:val="1"/>
      <w:numFmt w:val="lowerLetter"/>
      <w:lvlText w:val="%8."/>
      <w:lvlJc w:val="left"/>
      <w:pPr>
        <w:ind w:left="5607" w:hanging="360"/>
      </w:pPr>
    </w:lvl>
    <w:lvl w:ilvl="8" w:tplc="0415001B" w:tentative="1">
      <w:start w:val="1"/>
      <w:numFmt w:val="lowerRoman"/>
      <w:lvlText w:val="%9."/>
      <w:lvlJc w:val="right"/>
      <w:pPr>
        <w:ind w:left="6327" w:hanging="180"/>
      </w:pPr>
    </w:lvl>
  </w:abstractNum>
  <w:abstractNum w:abstractNumId="6" w15:restartNumberingAfterBreak="0">
    <w:nsid w:val="0D4962FD"/>
    <w:multiLevelType w:val="hybridMultilevel"/>
    <w:tmpl w:val="F28A3C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41D470B"/>
    <w:multiLevelType w:val="hybridMultilevel"/>
    <w:tmpl w:val="83AE2798"/>
    <w:lvl w:ilvl="0" w:tplc="68DC4C16">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 w15:restartNumberingAfterBreak="0">
    <w:nsid w:val="15690ED4"/>
    <w:multiLevelType w:val="hybridMultilevel"/>
    <w:tmpl w:val="28F81E14"/>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9F7510A"/>
    <w:multiLevelType w:val="hybridMultilevel"/>
    <w:tmpl w:val="C0841E2A"/>
    <w:lvl w:ilvl="0" w:tplc="901E3EA8">
      <w:start w:val="1"/>
      <w:numFmt w:val="decimal"/>
      <w:lvlText w:val="%1)"/>
      <w:lvlJc w:val="left"/>
      <w:pPr>
        <w:ind w:left="720" w:hanging="360"/>
      </w:pPr>
      <w:rPr>
        <w:rFonts w:hint="default"/>
        <w:b w:val="0"/>
        <w:bCs/>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A6005DE"/>
    <w:multiLevelType w:val="hybridMultilevel"/>
    <w:tmpl w:val="775EBD2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EC5145A"/>
    <w:multiLevelType w:val="hybridMultilevel"/>
    <w:tmpl w:val="6110FA96"/>
    <w:lvl w:ilvl="0" w:tplc="43380A38">
      <w:start w:val="1"/>
      <w:numFmt w:val="lowerLetter"/>
      <w:lvlText w:val="%1)"/>
      <w:lvlJc w:val="left"/>
      <w:pPr>
        <w:ind w:left="720" w:hanging="360"/>
      </w:pPr>
      <w:rPr>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4336A80"/>
    <w:multiLevelType w:val="hybridMultilevel"/>
    <w:tmpl w:val="90CE976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DB52751"/>
    <w:multiLevelType w:val="hybridMultilevel"/>
    <w:tmpl w:val="FD3A3E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E287061"/>
    <w:multiLevelType w:val="hybridMultilevel"/>
    <w:tmpl w:val="0718A3E2"/>
    <w:lvl w:ilvl="0" w:tplc="0415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1A8307B"/>
    <w:multiLevelType w:val="hybridMultilevel"/>
    <w:tmpl w:val="49DA9930"/>
    <w:lvl w:ilvl="0" w:tplc="68DC4C16">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1CB71C3"/>
    <w:multiLevelType w:val="hybridMultilevel"/>
    <w:tmpl w:val="31CCEA32"/>
    <w:lvl w:ilvl="0" w:tplc="7A520B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52058E2"/>
    <w:multiLevelType w:val="hybridMultilevel"/>
    <w:tmpl w:val="1EBC6FF0"/>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926282B"/>
    <w:multiLevelType w:val="hybridMultilevel"/>
    <w:tmpl w:val="645EC488"/>
    <w:lvl w:ilvl="0" w:tplc="68DC4C16">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9" w15:restartNumberingAfterBreak="0">
    <w:nsid w:val="3BD33D84"/>
    <w:multiLevelType w:val="hybridMultilevel"/>
    <w:tmpl w:val="7048E2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E08037A"/>
    <w:multiLevelType w:val="hybridMultilevel"/>
    <w:tmpl w:val="0FF0E7F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FB4237B"/>
    <w:multiLevelType w:val="hybridMultilevel"/>
    <w:tmpl w:val="A7482926"/>
    <w:lvl w:ilvl="0" w:tplc="68DC4C16">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0D85FD3"/>
    <w:multiLevelType w:val="hybridMultilevel"/>
    <w:tmpl w:val="EC7AC3AC"/>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1F9398B"/>
    <w:multiLevelType w:val="hybridMultilevel"/>
    <w:tmpl w:val="2B0610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2550465"/>
    <w:multiLevelType w:val="hybridMultilevel"/>
    <w:tmpl w:val="937C80BE"/>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5" w15:restartNumberingAfterBreak="0">
    <w:nsid w:val="437053C7"/>
    <w:multiLevelType w:val="hybridMultilevel"/>
    <w:tmpl w:val="72D83D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3944FC3"/>
    <w:multiLevelType w:val="hybridMultilevel"/>
    <w:tmpl w:val="EC7AC3AC"/>
    <w:lvl w:ilvl="0" w:tplc="FFFFFFFF">
      <w:start w:val="1"/>
      <w:numFmt w:val="decimal"/>
      <w:lvlText w:val="%1)"/>
      <w:lvlJc w:val="left"/>
      <w:pPr>
        <w:ind w:left="720" w:hanging="360"/>
      </w:pPr>
      <w:rPr>
        <w:rFonts w:hint="default"/>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72E044C"/>
    <w:multiLevelType w:val="hybridMultilevel"/>
    <w:tmpl w:val="076E7952"/>
    <w:lvl w:ilvl="0" w:tplc="68DC4C16">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15:restartNumberingAfterBreak="0">
    <w:nsid w:val="4815227B"/>
    <w:multiLevelType w:val="hybridMultilevel"/>
    <w:tmpl w:val="F894EB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A185012"/>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B651A69"/>
    <w:multiLevelType w:val="hybridMultilevel"/>
    <w:tmpl w:val="BC827886"/>
    <w:lvl w:ilvl="0" w:tplc="04150017">
      <w:start w:val="1"/>
      <w:numFmt w:val="lowerLetter"/>
      <w:lvlText w:val="%1)"/>
      <w:lvlJc w:val="left"/>
      <w:pPr>
        <w:ind w:left="927" w:hanging="360"/>
      </w:p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1" w15:restartNumberingAfterBreak="0">
    <w:nsid w:val="4DE16DF7"/>
    <w:multiLevelType w:val="hybridMultilevel"/>
    <w:tmpl w:val="E8988CB4"/>
    <w:lvl w:ilvl="0" w:tplc="6136C572">
      <w:start w:val="1"/>
      <w:numFmt w:val="lowerLetter"/>
      <w:lvlText w:val="%1)"/>
      <w:lvlJc w:val="left"/>
      <w:pPr>
        <w:ind w:left="720" w:hanging="360"/>
      </w:pPr>
      <w:rPr>
        <w:sz w:val="28"/>
        <w:szCs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1335613"/>
    <w:multiLevelType w:val="hybridMultilevel"/>
    <w:tmpl w:val="A2B6C5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29A2DD6"/>
    <w:multiLevelType w:val="multilevel"/>
    <w:tmpl w:val="29C0069A"/>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4" w15:restartNumberingAfterBreak="0">
    <w:nsid w:val="52F42A8C"/>
    <w:multiLevelType w:val="hybridMultilevel"/>
    <w:tmpl w:val="3C5ABC6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662458F"/>
    <w:multiLevelType w:val="hybridMultilevel"/>
    <w:tmpl w:val="6C2EAD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57DF51D5"/>
    <w:multiLevelType w:val="hybridMultilevel"/>
    <w:tmpl w:val="63DA41B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B261000"/>
    <w:multiLevelType w:val="hybridMultilevel"/>
    <w:tmpl w:val="13D2DB6C"/>
    <w:lvl w:ilvl="0" w:tplc="68DC4C16">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8" w15:restartNumberingAfterBreak="0">
    <w:nsid w:val="5C60198B"/>
    <w:multiLevelType w:val="hybridMultilevel"/>
    <w:tmpl w:val="EDD24DC8"/>
    <w:lvl w:ilvl="0" w:tplc="C432544A">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9" w15:restartNumberingAfterBreak="0">
    <w:nsid w:val="5E0E1C86"/>
    <w:multiLevelType w:val="hybridMultilevel"/>
    <w:tmpl w:val="B4BAB5E8"/>
    <w:lvl w:ilvl="0" w:tplc="F69C8332">
      <w:start w:val="1"/>
      <w:numFmt w:val="decimal"/>
      <w:lvlText w:val="%1)"/>
      <w:lvlJc w:val="left"/>
      <w:pPr>
        <w:ind w:left="501" w:hanging="360"/>
      </w:pPr>
      <w:rPr>
        <w:rFonts w:hint="default"/>
        <w:b w:val="0"/>
        <w:bCs/>
        <w:sz w:val="28"/>
      </w:rPr>
    </w:lvl>
    <w:lvl w:ilvl="1" w:tplc="04150019" w:tentative="1">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abstractNum w:abstractNumId="40" w15:restartNumberingAfterBreak="0">
    <w:nsid w:val="62831689"/>
    <w:multiLevelType w:val="hybridMultilevel"/>
    <w:tmpl w:val="040ED9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5E22E8B"/>
    <w:multiLevelType w:val="hybridMultilevel"/>
    <w:tmpl w:val="B07E870A"/>
    <w:lvl w:ilvl="0" w:tplc="68DC4C16">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2" w15:restartNumberingAfterBreak="0">
    <w:nsid w:val="77716C31"/>
    <w:multiLevelType w:val="hybridMultilevel"/>
    <w:tmpl w:val="B796A2F6"/>
    <w:lvl w:ilvl="0" w:tplc="04150017">
      <w:start w:val="1"/>
      <w:numFmt w:val="lowerLetter"/>
      <w:lvlText w:val="%1)"/>
      <w:lvlJc w:val="left"/>
      <w:pPr>
        <w:ind w:left="1080" w:hanging="360"/>
      </w:pPr>
      <w:rPr>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7B5B36FF"/>
    <w:multiLevelType w:val="hybridMultilevel"/>
    <w:tmpl w:val="0AF6E9B8"/>
    <w:lvl w:ilvl="0" w:tplc="E05258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16cid:durableId="2049135878">
    <w:abstractNumId w:val="9"/>
  </w:num>
  <w:num w:numId="2" w16cid:durableId="2007778848">
    <w:abstractNumId w:val="39"/>
  </w:num>
  <w:num w:numId="3" w16cid:durableId="551621929">
    <w:abstractNumId w:val="40"/>
  </w:num>
  <w:num w:numId="4" w16cid:durableId="1206673688">
    <w:abstractNumId w:val="8"/>
  </w:num>
  <w:num w:numId="5" w16cid:durableId="1912228969">
    <w:abstractNumId w:val="43"/>
  </w:num>
  <w:num w:numId="6" w16cid:durableId="113990776">
    <w:abstractNumId w:val="22"/>
  </w:num>
  <w:num w:numId="7" w16cid:durableId="831064291">
    <w:abstractNumId w:val="12"/>
  </w:num>
  <w:num w:numId="8" w16cid:durableId="185992604">
    <w:abstractNumId w:val="11"/>
  </w:num>
  <w:num w:numId="9" w16cid:durableId="1638073007">
    <w:abstractNumId w:val="17"/>
  </w:num>
  <w:num w:numId="10" w16cid:durableId="251548690">
    <w:abstractNumId w:val="31"/>
  </w:num>
  <w:num w:numId="11" w16cid:durableId="1382440243">
    <w:abstractNumId w:val="23"/>
  </w:num>
  <w:num w:numId="12" w16cid:durableId="665287664">
    <w:abstractNumId w:val="36"/>
  </w:num>
  <w:num w:numId="13" w16cid:durableId="593779432">
    <w:abstractNumId w:val="15"/>
  </w:num>
  <w:num w:numId="14" w16cid:durableId="480656714">
    <w:abstractNumId w:val="6"/>
  </w:num>
  <w:num w:numId="15" w16cid:durableId="1834373377">
    <w:abstractNumId w:val="26"/>
  </w:num>
  <w:num w:numId="16" w16cid:durableId="644508064">
    <w:abstractNumId w:val="19"/>
  </w:num>
  <w:num w:numId="17" w16cid:durableId="1852181403">
    <w:abstractNumId w:val="0"/>
  </w:num>
  <w:num w:numId="18" w16cid:durableId="117337033">
    <w:abstractNumId w:val="25"/>
  </w:num>
  <w:num w:numId="19" w16cid:durableId="2071809101">
    <w:abstractNumId w:val="16"/>
  </w:num>
  <w:num w:numId="20" w16cid:durableId="1166822189">
    <w:abstractNumId w:val="18"/>
  </w:num>
  <w:num w:numId="21" w16cid:durableId="48952065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20809387">
    <w:abstractNumId w:val="24"/>
  </w:num>
  <w:num w:numId="23" w16cid:durableId="1044210621">
    <w:abstractNumId w:val="3"/>
  </w:num>
  <w:num w:numId="24" w16cid:durableId="2142533207">
    <w:abstractNumId w:val="20"/>
  </w:num>
  <w:num w:numId="25" w16cid:durableId="1849248346">
    <w:abstractNumId w:val="1"/>
  </w:num>
  <w:num w:numId="26" w16cid:durableId="2040466961">
    <w:abstractNumId w:val="14"/>
  </w:num>
  <w:num w:numId="27" w16cid:durableId="119927075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96194801">
    <w:abstractNumId w:val="32"/>
  </w:num>
  <w:num w:numId="29" w16cid:durableId="1985504297">
    <w:abstractNumId w:val="30"/>
  </w:num>
  <w:num w:numId="30" w16cid:durableId="492181222">
    <w:abstractNumId w:val="10"/>
  </w:num>
  <w:num w:numId="31" w16cid:durableId="2123257459">
    <w:abstractNumId w:val="27"/>
  </w:num>
  <w:num w:numId="32" w16cid:durableId="749740600">
    <w:abstractNumId w:val="41"/>
  </w:num>
  <w:num w:numId="33" w16cid:durableId="442965886">
    <w:abstractNumId w:val="37"/>
  </w:num>
  <w:num w:numId="34" w16cid:durableId="1186017413">
    <w:abstractNumId w:val="7"/>
  </w:num>
  <w:num w:numId="35" w16cid:durableId="1926065354">
    <w:abstractNumId w:val="35"/>
  </w:num>
  <w:num w:numId="36" w16cid:durableId="1946955926">
    <w:abstractNumId w:val="13"/>
  </w:num>
  <w:num w:numId="37" w16cid:durableId="92021796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43447083">
    <w:abstractNumId w:val="2"/>
  </w:num>
  <w:num w:numId="39" w16cid:durableId="223300104">
    <w:abstractNumId w:val="28"/>
  </w:num>
  <w:num w:numId="40" w16cid:durableId="1188522883">
    <w:abstractNumId w:val="21"/>
  </w:num>
  <w:num w:numId="41" w16cid:durableId="394669527">
    <w:abstractNumId w:val="29"/>
  </w:num>
  <w:num w:numId="42" w16cid:durableId="1508978403">
    <w:abstractNumId w:val="5"/>
  </w:num>
  <w:num w:numId="43" w16cid:durableId="2015723094">
    <w:abstractNumId w:val="42"/>
  </w:num>
  <w:num w:numId="44" w16cid:durableId="1044405067">
    <w:abstractNumId w:val="34"/>
  </w:num>
  <w:num w:numId="45" w16cid:durableId="655182581">
    <w:abstractNumId w:val="3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4093B"/>
    <w:rsid w:val="00042CCA"/>
    <w:rsid w:val="00053E5A"/>
    <w:rsid w:val="00056D77"/>
    <w:rsid w:val="00096CEA"/>
    <w:rsid w:val="000A38FE"/>
    <w:rsid w:val="000B3982"/>
    <w:rsid w:val="000F04E9"/>
    <w:rsid w:val="000F7981"/>
    <w:rsid w:val="00117823"/>
    <w:rsid w:val="00181A6F"/>
    <w:rsid w:val="00190708"/>
    <w:rsid w:val="001B7431"/>
    <w:rsid w:val="001B7825"/>
    <w:rsid w:val="001C396E"/>
    <w:rsid w:val="001E33D8"/>
    <w:rsid w:val="001F05D2"/>
    <w:rsid w:val="002001A6"/>
    <w:rsid w:val="002076BE"/>
    <w:rsid w:val="00235142"/>
    <w:rsid w:val="00245A15"/>
    <w:rsid w:val="00250690"/>
    <w:rsid w:val="00291A88"/>
    <w:rsid w:val="002B3949"/>
    <w:rsid w:val="002C3AE8"/>
    <w:rsid w:val="002E62F5"/>
    <w:rsid w:val="002F4746"/>
    <w:rsid w:val="002F6CD2"/>
    <w:rsid w:val="00321C17"/>
    <w:rsid w:val="00322A2A"/>
    <w:rsid w:val="00340D4C"/>
    <w:rsid w:val="00351A5D"/>
    <w:rsid w:val="00361824"/>
    <w:rsid w:val="0037130C"/>
    <w:rsid w:val="00381C5E"/>
    <w:rsid w:val="003B39DE"/>
    <w:rsid w:val="00403140"/>
    <w:rsid w:val="00403FA2"/>
    <w:rsid w:val="004056C9"/>
    <w:rsid w:val="0040639D"/>
    <w:rsid w:val="00413992"/>
    <w:rsid w:val="004235C9"/>
    <w:rsid w:val="004519AC"/>
    <w:rsid w:val="0048459B"/>
    <w:rsid w:val="004C512A"/>
    <w:rsid w:val="004D2F43"/>
    <w:rsid w:val="004D6B2B"/>
    <w:rsid w:val="004E4A5D"/>
    <w:rsid w:val="00512B24"/>
    <w:rsid w:val="005179E5"/>
    <w:rsid w:val="00525346"/>
    <w:rsid w:val="00534F27"/>
    <w:rsid w:val="005673DE"/>
    <w:rsid w:val="005811F1"/>
    <w:rsid w:val="005A799A"/>
    <w:rsid w:val="005D4B74"/>
    <w:rsid w:val="005E5887"/>
    <w:rsid w:val="005F048F"/>
    <w:rsid w:val="005F23DE"/>
    <w:rsid w:val="00613E9B"/>
    <w:rsid w:val="0063302E"/>
    <w:rsid w:val="006449D3"/>
    <w:rsid w:val="006838B1"/>
    <w:rsid w:val="00694F9E"/>
    <w:rsid w:val="006A2EB4"/>
    <w:rsid w:val="006A6F3E"/>
    <w:rsid w:val="006E23B5"/>
    <w:rsid w:val="006E54F5"/>
    <w:rsid w:val="007362FC"/>
    <w:rsid w:val="0073633D"/>
    <w:rsid w:val="00744DF3"/>
    <w:rsid w:val="0077369E"/>
    <w:rsid w:val="007A7766"/>
    <w:rsid w:val="007B1A9A"/>
    <w:rsid w:val="007B622A"/>
    <w:rsid w:val="007C4380"/>
    <w:rsid w:val="007C6800"/>
    <w:rsid w:val="007D540A"/>
    <w:rsid w:val="007D722D"/>
    <w:rsid w:val="007D7B59"/>
    <w:rsid w:val="00811348"/>
    <w:rsid w:val="0081559F"/>
    <w:rsid w:val="00816EEC"/>
    <w:rsid w:val="008356B3"/>
    <w:rsid w:val="008753F0"/>
    <w:rsid w:val="00886E45"/>
    <w:rsid w:val="00893827"/>
    <w:rsid w:val="008B0BDB"/>
    <w:rsid w:val="008C0D69"/>
    <w:rsid w:val="008F0E0D"/>
    <w:rsid w:val="008F2D00"/>
    <w:rsid w:val="00905286"/>
    <w:rsid w:val="00917C21"/>
    <w:rsid w:val="00923B5B"/>
    <w:rsid w:val="00937BD6"/>
    <w:rsid w:val="00945706"/>
    <w:rsid w:val="00960B4A"/>
    <w:rsid w:val="009614DC"/>
    <w:rsid w:val="00971466"/>
    <w:rsid w:val="00986970"/>
    <w:rsid w:val="009C2FDF"/>
    <w:rsid w:val="009F096A"/>
    <w:rsid w:val="00A00B46"/>
    <w:rsid w:val="00A076F1"/>
    <w:rsid w:val="00A50CA6"/>
    <w:rsid w:val="00A5187D"/>
    <w:rsid w:val="00A76857"/>
    <w:rsid w:val="00A77B0B"/>
    <w:rsid w:val="00A84928"/>
    <w:rsid w:val="00A866E6"/>
    <w:rsid w:val="00A930EB"/>
    <w:rsid w:val="00AA276D"/>
    <w:rsid w:val="00AB464D"/>
    <w:rsid w:val="00AB53FD"/>
    <w:rsid w:val="00AF76C1"/>
    <w:rsid w:val="00B15B2E"/>
    <w:rsid w:val="00B16EAA"/>
    <w:rsid w:val="00B40857"/>
    <w:rsid w:val="00B82124"/>
    <w:rsid w:val="00B91287"/>
    <w:rsid w:val="00B95B1E"/>
    <w:rsid w:val="00BA3A6F"/>
    <w:rsid w:val="00BB096E"/>
    <w:rsid w:val="00BC11C2"/>
    <w:rsid w:val="00BD2D28"/>
    <w:rsid w:val="00BD3058"/>
    <w:rsid w:val="00C0542A"/>
    <w:rsid w:val="00C17872"/>
    <w:rsid w:val="00C245E0"/>
    <w:rsid w:val="00C269CA"/>
    <w:rsid w:val="00C41720"/>
    <w:rsid w:val="00C960F5"/>
    <w:rsid w:val="00CA384D"/>
    <w:rsid w:val="00CD1CFF"/>
    <w:rsid w:val="00CD327F"/>
    <w:rsid w:val="00CD5134"/>
    <w:rsid w:val="00D21AAD"/>
    <w:rsid w:val="00D27297"/>
    <w:rsid w:val="00D7017D"/>
    <w:rsid w:val="00D80F41"/>
    <w:rsid w:val="00D83AEA"/>
    <w:rsid w:val="00D8404E"/>
    <w:rsid w:val="00DA25FB"/>
    <w:rsid w:val="00DA2AFC"/>
    <w:rsid w:val="00DB7013"/>
    <w:rsid w:val="00DB78C9"/>
    <w:rsid w:val="00DE72C2"/>
    <w:rsid w:val="00DF18B2"/>
    <w:rsid w:val="00DF4357"/>
    <w:rsid w:val="00E12D70"/>
    <w:rsid w:val="00E14829"/>
    <w:rsid w:val="00E34C2B"/>
    <w:rsid w:val="00E47324"/>
    <w:rsid w:val="00E47556"/>
    <w:rsid w:val="00E72589"/>
    <w:rsid w:val="00E73F34"/>
    <w:rsid w:val="00E75F3A"/>
    <w:rsid w:val="00E772C5"/>
    <w:rsid w:val="00E9384C"/>
    <w:rsid w:val="00E9585E"/>
    <w:rsid w:val="00EA2C60"/>
    <w:rsid w:val="00EC6D4F"/>
    <w:rsid w:val="00ED19D2"/>
    <w:rsid w:val="00EE1943"/>
    <w:rsid w:val="00F021E2"/>
    <w:rsid w:val="00F022DA"/>
    <w:rsid w:val="00F1021E"/>
    <w:rsid w:val="00F450B2"/>
    <w:rsid w:val="00F45161"/>
    <w:rsid w:val="00F56DCB"/>
    <w:rsid w:val="00F927BA"/>
    <w:rsid w:val="00FA1A51"/>
    <w:rsid w:val="00FC78DF"/>
    <w:rsid w:val="00FD4758"/>
    <w:rsid w:val="00FD4A8F"/>
    <w:rsid w:val="00FF6A73"/>
    <w:rsid w:val="00FF6D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character" w:styleId="Hipercze">
    <w:name w:val="Hyperlink"/>
    <w:basedOn w:val="Domylnaczcionkaakapitu"/>
    <w:uiPriority w:val="99"/>
    <w:unhideWhenUsed/>
    <w:rsid w:val="004D6B2B"/>
    <w:rPr>
      <w:color w:val="0000FF" w:themeColor="hyperlink"/>
      <w:u w:val="single"/>
    </w:rPr>
  </w:style>
  <w:style w:type="paragraph" w:styleId="Akapitzlist">
    <w:name w:val="List Paragraph"/>
    <w:basedOn w:val="Normalny"/>
    <w:uiPriority w:val="34"/>
    <w:qFormat/>
    <w:rsid w:val="00EC6D4F"/>
    <w:pPr>
      <w:ind w:left="720"/>
      <w:contextualSpacing/>
    </w:pPr>
  </w:style>
  <w:style w:type="numbering" w:customStyle="1" w:styleId="Bezlisty1">
    <w:name w:val="Bez listy1"/>
    <w:next w:val="Bezlisty"/>
    <w:uiPriority w:val="99"/>
    <w:semiHidden/>
    <w:unhideWhenUsed/>
    <w:rsid w:val="00BD3058"/>
  </w:style>
  <w:style w:type="character" w:styleId="Odwoaniedokomentarza">
    <w:name w:val="annotation reference"/>
    <w:basedOn w:val="Domylnaczcionkaakapitu"/>
    <w:uiPriority w:val="99"/>
    <w:semiHidden/>
    <w:unhideWhenUsed/>
    <w:rsid w:val="00BD3058"/>
    <w:rPr>
      <w:sz w:val="16"/>
      <w:szCs w:val="16"/>
    </w:rPr>
  </w:style>
  <w:style w:type="paragraph" w:styleId="Tekstkomentarza">
    <w:name w:val="annotation text"/>
    <w:basedOn w:val="Normalny"/>
    <w:link w:val="TekstkomentarzaZnak"/>
    <w:uiPriority w:val="99"/>
    <w:unhideWhenUsed/>
    <w:rsid w:val="00BD3058"/>
    <w:pPr>
      <w:spacing w:after="120" w:line="240" w:lineRule="auto"/>
      <w:ind w:left="567"/>
      <w:jc w:val="both"/>
    </w:pPr>
    <w:rPr>
      <w:sz w:val="20"/>
      <w:szCs w:val="20"/>
    </w:rPr>
  </w:style>
  <w:style w:type="character" w:customStyle="1" w:styleId="TekstkomentarzaZnak">
    <w:name w:val="Tekst komentarza Znak"/>
    <w:basedOn w:val="Domylnaczcionkaakapitu"/>
    <w:link w:val="Tekstkomentarza"/>
    <w:uiPriority w:val="99"/>
    <w:rsid w:val="00BD3058"/>
    <w:rPr>
      <w:sz w:val="20"/>
      <w:szCs w:val="20"/>
    </w:rPr>
  </w:style>
  <w:style w:type="paragraph" w:styleId="Tematkomentarza">
    <w:name w:val="annotation subject"/>
    <w:basedOn w:val="Tekstkomentarza"/>
    <w:next w:val="Tekstkomentarza"/>
    <w:link w:val="TematkomentarzaZnak"/>
    <w:uiPriority w:val="99"/>
    <w:semiHidden/>
    <w:unhideWhenUsed/>
    <w:rsid w:val="00BD3058"/>
    <w:rPr>
      <w:b/>
      <w:bCs/>
    </w:rPr>
  </w:style>
  <w:style w:type="character" w:customStyle="1" w:styleId="TematkomentarzaZnak">
    <w:name w:val="Temat komentarza Znak"/>
    <w:basedOn w:val="TekstkomentarzaZnak"/>
    <w:link w:val="Tematkomentarza"/>
    <w:uiPriority w:val="99"/>
    <w:semiHidden/>
    <w:rsid w:val="00BD3058"/>
    <w:rPr>
      <w:b/>
      <w:bCs/>
      <w:sz w:val="20"/>
      <w:szCs w:val="20"/>
    </w:rPr>
  </w:style>
  <w:style w:type="paragraph" w:styleId="Tekstprzypisudolnego">
    <w:name w:val="footnote text"/>
    <w:basedOn w:val="Normalny"/>
    <w:link w:val="TekstprzypisudolnegoZnak"/>
    <w:uiPriority w:val="99"/>
    <w:semiHidden/>
    <w:unhideWhenUsed/>
    <w:rsid w:val="00BD3058"/>
    <w:pPr>
      <w:spacing w:after="120" w:line="240" w:lineRule="auto"/>
      <w:ind w:left="567"/>
      <w:jc w:val="both"/>
    </w:pPr>
    <w:rPr>
      <w:sz w:val="20"/>
      <w:szCs w:val="20"/>
    </w:rPr>
  </w:style>
  <w:style w:type="character" w:customStyle="1" w:styleId="TekstprzypisudolnegoZnak">
    <w:name w:val="Tekst przypisu dolnego Znak"/>
    <w:basedOn w:val="Domylnaczcionkaakapitu"/>
    <w:link w:val="Tekstprzypisudolnego"/>
    <w:uiPriority w:val="99"/>
    <w:semiHidden/>
    <w:rsid w:val="00BD3058"/>
    <w:rPr>
      <w:sz w:val="20"/>
      <w:szCs w:val="20"/>
    </w:rPr>
  </w:style>
  <w:style w:type="character" w:styleId="Odwoanieprzypisudolnego">
    <w:name w:val="footnote reference"/>
    <w:basedOn w:val="Domylnaczcionkaakapitu"/>
    <w:uiPriority w:val="99"/>
    <w:semiHidden/>
    <w:unhideWhenUsed/>
    <w:rsid w:val="00BD3058"/>
    <w:rPr>
      <w:vertAlign w:val="superscript"/>
    </w:rPr>
  </w:style>
  <w:style w:type="paragraph" w:customStyle="1" w:styleId="Default">
    <w:name w:val="Default"/>
    <w:rsid w:val="00BD3058"/>
    <w:pPr>
      <w:autoSpaceDE w:val="0"/>
      <w:autoSpaceDN w:val="0"/>
      <w:adjustRightInd w:val="0"/>
      <w:spacing w:after="0" w:line="240" w:lineRule="auto"/>
    </w:pPr>
    <w:rPr>
      <w:rFonts w:ascii="Times New Roman" w:hAnsi="Times New Roman" w:cs="Times New Roman"/>
      <w:color w:val="000000"/>
      <w:sz w:val="24"/>
      <w:szCs w:val="24"/>
    </w:rPr>
  </w:style>
  <w:style w:type="table" w:styleId="Tabela-Siatka">
    <w:name w:val="Table Grid"/>
    <w:basedOn w:val="Standardowy"/>
    <w:uiPriority w:val="59"/>
    <w:rsid w:val="00BD3058"/>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ticletitle">
    <w:name w:val="articletitle"/>
    <w:basedOn w:val="Domylnaczcionkaakapitu"/>
    <w:rsid w:val="00BD3058"/>
  </w:style>
  <w:style w:type="numbering" w:customStyle="1" w:styleId="Bezlisty2">
    <w:name w:val="Bez listy2"/>
    <w:next w:val="Bezlisty"/>
    <w:uiPriority w:val="99"/>
    <w:semiHidden/>
    <w:unhideWhenUsed/>
    <w:rsid w:val="00C960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6664673">
      <w:bodyDiv w:val="1"/>
      <w:marLeft w:val="0"/>
      <w:marRight w:val="0"/>
      <w:marTop w:val="0"/>
      <w:marBottom w:val="0"/>
      <w:divBdr>
        <w:top w:val="none" w:sz="0" w:space="0" w:color="auto"/>
        <w:left w:val="none" w:sz="0" w:space="0" w:color="auto"/>
        <w:bottom w:val="none" w:sz="0" w:space="0" w:color="auto"/>
        <w:right w:val="none" w:sz="0" w:space="0" w:color="auto"/>
      </w:divBdr>
    </w:div>
    <w:div w:id="1122193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7316</Words>
  <Characters>43896</Characters>
  <Application>Microsoft Office Word</Application>
  <DocSecurity>0</DocSecurity>
  <Lines>365</Lines>
  <Paragraphs>102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Urząd Miejski w Śremie</dc:creator>
  <cp:lastModifiedBy>Agnieszka Błoszyk</cp:lastModifiedBy>
  <cp:revision>4</cp:revision>
  <cp:lastPrinted>2024-03-12T11:01:00Z</cp:lastPrinted>
  <dcterms:created xsi:type="dcterms:W3CDTF">2024-04-08T12:38:00Z</dcterms:created>
  <dcterms:modified xsi:type="dcterms:W3CDTF">2024-04-09T10:47:00Z</dcterms:modified>
</cp:coreProperties>
</file>