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606DA" w14:textId="77777777" w:rsidR="00076480" w:rsidRDefault="00076480" w:rsidP="00076480">
      <w:pPr>
        <w:spacing w:after="0" w:line="240" w:lineRule="auto"/>
        <w:ind w:right="6095"/>
        <w:jc w:val="center"/>
        <w:rPr>
          <w:rFonts w:eastAsia="Calibri" w:cstheme="minorHAnsi"/>
          <w:sz w:val="28"/>
          <w:szCs w:val="28"/>
        </w:rPr>
      </w:pPr>
    </w:p>
    <w:p w14:paraId="35537DAB" w14:textId="2A2188B3" w:rsidR="00076480" w:rsidRPr="005A07CF" w:rsidRDefault="00076480" w:rsidP="00076480">
      <w:pPr>
        <w:spacing w:after="0" w:line="240" w:lineRule="auto"/>
        <w:ind w:right="6095"/>
        <w:jc w:val="center"/>
        <w:rPr>
          <w:rFonts w:eastAsia="Calibri" w:cstheme="minorHAnsi"/>
          <w:sz w:val="28"/>
          <w:szCs w:val="28"/>
        </w:rPr>
      </w:pPr>
      <w:r w:rsidRPr="005A07CF">
        <w:rPr>
          <w:rFonts w:eastAsia="Calibri" w:cstheme="minorHAnsi"/>
          <w:sz w:val="28"/>
          <w:szCs w:val="28"/>
        </w:rPr>
        <w:t>Burmistrz Śremu</w:t>
      </w:r>
    </w:p>
    <w:p w14:paraId="5F08DADE" w14:textId="77777777" w:rsidR="00076480" w:rsidRPr="005A07CF" w:rsidRDefault="00076480" w:rsidP="00076480">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71C15701" w14:textId="77777777" w:rsidR="00076480" w:rsidRPr="005A07CF" w:rsidRDefault="00076480" w:rsidP="00076480">
      <w:pPr>
        <w:spacing w:after="0" w:line="240" w:lineRule="auto"/>
        <w:ind w:right="6095"/>
        <w:jc w:val="center"/>
        <w:rPr>
          <w:rFonts w:eastAsia="Calibri" w:cstheme="minorHAnsi"/>
          <w:sz w:val="28"/>
          <w:szCs w:val="28"/>
        </w:rPr>
      </w:pPr>
      <w:r w:rsidRPr="005A07CF">
        <w:rPr>
          <w:rFonts w:eastAsia="Calibri" w:cstheme="minorHAnsi"/>
          <w:sz w:val="28"/>
          <w:szCs w:val="28"/>
        </w:rPr>
        <w:t>63-100 Śrem</w:t>
      </w:r>
    </w:p>
    <w:p w14:paraId="2133B1D5" w14:textId="3EB8AC42" w:rsidR="00076480" w:rsidRPr="005A07CF" w:rsidRDefault="00076480" w:rsidP="00076480">
      <w:pPr>
        <w:spacing w:after="120" w:line="240" w:lineRule="auto"/>
        <w:jc w:val="right"/>
        <w:rPr>
          <w:rFonts w:eastAsia="Calibri" w:cstheme="minorHAnsi"/>
          <w:sz w:val="28"/>
          <w:szCs w:val="28"/>
        </w:rPr>
      </w:pPr>
      <w:r w:rsidRPr="005A07CF">
        <w:rPr>
          <w:rFonts w:eastAsia="Calibri" w:cstheme="minorHAnsi"/>
          <w:sz w:val="28"/>
          <w:szCs w:val="28"/>
        </w:rPr>
        <w:t>Śrem,</w:t>
      </w:r>
      <w:r w:rsidR="006204FA">
        <w:rPr>
          <w:rFonts w:eastAsia="Calibri" w:cstheme="minorHAnsi"/>
          <w:sz w:val="28"/>
          <w:szCs w:val="28"/>
        </w:rPr>
        <w:t xml:space="preserve"> 03 </w:t>
      </w:r>
      <w:r w:rsidR="00F13991">
        <w:rPr>
          <w:rFonts w:eastAsia="Calibri" w:cstheme="minorHAnsi"/>
          <w:sz w:val="28"/>
          <w:szCs w:val="28"/>
        </w:rPr>
        <w:t>czerwca</w:t>
      </w:r>
      <w:r w:rsidR="00E26048">
        <w:rPr>
          <w:rFonts w:eastAsia="Calibri" w:cstheme="minorHAnsi"/>
          <w:sz w:val="28"/>
          <w:szCs w:val="28"/>
        </w:rPr>
        <w:t xml:space="preserve"> 2024</w:t>
      </w:r>
      <w:r w:rsidRPr="005A07CF">
        <w:rPr>
          <w:rFonts w:eastAsia="Calibri" w:cstheme="minorHAnsi"/>
          <w:sz w:val="28"/>
          <w:szCs w:val="28"/>
        </w:rPr>
        <w:t xml:space="preserve"> r</w:t>
      </w:r>
      <w:r>
        <w:rPr>
          <w:rFonts w:eastAsia="Calibri" w:cstheme="minorHAnsi"/>
          <w:sz w:val="28"/>
          <w:szCs w:val="28"/>
        </w:rPr>
        <w:t>.</w:t>
      </w:r>
    </w:p>
    <w:p w14:paraId="573A0494" w14:textId="09AE58C3" w:rsidR="00076480" w:rsidRPr="005A07CF" w:rsidRDefault="00076480" w:rsidP="00076480">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w:t>
      </w:r>
      <w:r w:rsidRPr="005A07CF">
        <w:rPr>
          <w:rFonts w:eastAsia="Calibri" w:cstheme="minorHAnsi"/>
          <w:sz w:val="28"/>
          <w:szCs w:val="28"/>
        </w:rPr>
        <w:t>.6</w:t>
      </w:r>
      <w:r>
        <w:rPr>
          <w:rFonts w:eastAsia="Calibri" w:cstheme="minorHAnsi"/>
          <w:sz w:val="28"/>
          <w:szCs w:val="28"/>
        </w:rPr>
        <w:t>7</w:t>
      </w:r>
      <w:r w:rsidR="005438BA">
        <w:rPr>
          <w:rFonts w:eastAsia="Calibri" w:cstheme="minorHAnsi"/>
          <w:sz w:val="28"/>
          <w:szCs w:val="28"/>
        </w:rPr>
        <w:t>30</w:t>
      </w:r>
      <w:r w:rsidRPr="005A07CF">
        <w:rPr>
          <w:rFonts w:eastAsia="Calibri" w:cstheme="minorHAnsi"/>
          <w:sz w:val="28"/>
          <w:szCs w:val="28"/>
        </w:rPr>
        <w:t>.</w:t>
      </w:r>
      <w:r w:rsidR="005438BA">
        <w:rPr>
          <w:rFonts w:eastAsia="Calibri" w:cstheme="minorHAnsi"/>
          <w:sz w:val="28"/>
          <w:szCs w:val="28"/>
        </w:rPr>
        <w:t>55</w:t>
      </w:r>
      <w:r>
        <w:rPr>
          <w:rFonts w:eastAsia="Calibri" w:cstheme="minorHAnsi"/>
          <w:sz w:val="28"/>
          <w:szCs w:val="28"/>
        </w:rPr>
        <w:t>.202</w:t>
      </w:r>
      <w:r w:rsidR="005438BA">
        <w:rPr>
          <w:rFonts w:eastAsia="Calibri" w:cstheme="minorHAnsi"/>
          <w:sz w:val="28"/>
          <w:szCs w:val="28"/>
        </w:rPr>
        <w:t>4</w:t>
      </w:r>
      <w:r w:rsidRPr="005A07CF">
        <w:rPr>
          <w:rFonts w:eastAsia="Calibri" w:cstheme="minorHAnsi"/>
          <w:sz w:val="28"/>
          <w:szCs w:val="28"/>
        </w:rPr>
        <w:t>.</w:t>
      </w:r>
      <w:r w:rsidR="009672EC">
        <w:rPr>
          <w:rFonts w:eastAsia="Calibri" w:cstheme="minorHAnsi"/>
          <w:sz w:val="28"/>
          <w:szCs w:val="28"/>
        </w:rPr>
        <w:t>N</w:t>
      </w:r>
      <w:r w:rsidR="00A24ED0">
        <w:rPr>
          <w:rFonts w:eastAsia="Calibri" w:cstheme="minorHAnsi"/>
          <w:sz w:val="28"/>
          <w:szCs w:val="28"/>
        </w:rPr>
        <w:t>MAG</w:t>
      </w:r>
    </w:p>
    <w:p w14:paraId="67CE978D" w14:textId="6980E71B" w:rsidR="00076480" w:rsidRDefault="00076480" w:rsidP="00635E13">
      <w:pPr>
        <w:spacing w:after="120" w:line="240" w:lineRule="auto"/>
        <w:ind w:left="142"/>
        <w:jc w:val="center"/>
        <w:rPr>
          <w:rFonts w:eastAsia="Times New Roman" w:cstheme="minorHAnsi"/>
          <w:sz w:val="28"/>
          <w:szCs w:val="28"/>
          <w:lang w:eastAsia="pl-PL"/>
        </w:rPr>
      </w:pPr>
      <w:r w:rsidRPr="005A07CF">
        <w:rPr>
          <w:rFonts w:eastAsia="Times New Roman" w:cstheme="minorHAnsi"/>
          <w:sz w:val="28"/>
          <w:szCs w:val="28"/>
        </w:rPr>
        <w:t>Obwieszczenie</w:t>
      </w:r>
      <w:r>
        <w:rPr>
          <w:rFonts w:eastAsia="Times New Roman" w:cstheme="minorHAnsi"/>
          <w:sz w:val="28"/>
          <w:szCs w:val="28"/>
        </w:rPr>
        <w:br/>
      </w:r>
      <w:r w:rsidR="005438BA" w:rsidRPr="005438BA">
        <w:rPr>
          <w:rFonts w:eastAsia="Times New Roman" w:cstheme="minorHAnsi"/>
          <w:sz w:val="28"/>
          <w:szCs w:val="28"/>
          <w:lang w:eastAsia="pl-PL"/>
        </w:rPr>
        <w:t>o wydaniu decyzji o warunkach zabudowy</w:t>
      </w:r>
    </w:p>
    <w:p w14:paraId="6B3852B9" w14:textId="77777777" w:rsidR="0040059B" w:rsidRDefault="0040059B" w:rsidP="00076480">
      <w:pPr>
        <w:spacing w:after="120" w:line="240" w:lineRule="auto"/>
        <w:ind w:firstLine="567"/>
        <w:jc w:val="both"/>
        <w:rPr>
          <w:rFonts w:eastAsia="Times New Roman" w:cstheme="minorHAnsi"/>
          <w:sz w:val="28"/>
          <w:szCs w:val="28"/>
          <w:lang w:eastAsia="pl-PL"/>
        </w:rPr>
      </w:pPr>
      <w:bookmarkStart w:id="0" w:name="_Hlk61266530"/>
    </w:p>
    <w:bookmarkEnd w:id="0"/>
    <w:p w14:paraId="0CB8BD81" w14:textId="7D141462" w:rsidR="005438BA" w:rsidRDefault="005438BA" w:rsidP="005438BA">
      <w:pPr>
        <w:spacing w:after="120" w:line="240" w:lineRule="auto"/>
        <w:ind w:firstLine="567"/>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Pr>
          <w:rFonts w:eastAsia="Times New Roman" w:cstheme="minorHAnsi"/>
          <w:sz w:val="28"/>
          <w:szCs w:val="28"/>
          <w:lang w:eastAsia="pl-PL"/>
        </w:rPr>
        <w:t>66a</w:t>
      </w:r>
      <w:r w:rsidRPr="003A76C5">
        <w:rPr>
          <w:rFonts w:eastAsia="Times New Roman" w:cstheme="minorHAnsi"/>
          <w:sz w:val="28"/>
          <w:szCs w:val="28"/>
          <w:lang w:eastAsia="pl-PL"/>
        </w:rPr>
        <w:t xml:space="preserve"> </w:t>
      </w:r>
      <w:r>
        <w:rPr>
          <w:rFonts w:eastAsia="Times New Roman" w:cstheme="minorHAnsi"/>
          <w:sz w:val="28"/>
          <w:szCs w:val="28"/>
          <w:lang w:eastAsia="pl-PL"/>
        </w:rPr>
        <w:t>ustawy z dnia 27 marca 2003 r. o planowaniu i zagospodarowaniu przestrzennym (</w:t>
      </w:r>
      <w:r w:rsidR="00C463CC" w:rsidRPr="00C463CC">
        <w:rPr>
          <w:rFonts w:eastAsia="Times New Roman" w:cstheme="minorHAnsi"/>
          <w:sz w:val="28"/>
          <w:szCs w:val="28"/>
          <w:lang w:eastAsia="pl-PL"/>
        </w:rPr>
        <w:t>Dz. U. z 2023 r. poz. 977, 1506, 1597, 1688, 1890, 2029 i 2739</w:t>
      </w:r>
      <w:r w:rsidRPr="003A76C5">
        <w:rPr>
          <w:rFonts w:eastAsia="Times New Roman" w:cstheme="minorHAnsi"/>
          <w:sz w:val="28"/>
          <w:szCs w:val="28"/>
          <w:lang w:eastAsia="pl-PL"/>
        </w:rPr>
        <w:t xml:space="preserve">) podaję do publicznej wiadomości informację, że </w:t>
      </w:r>
      <w:r w:rsidR="00C463CC">
        <w:rPr>
          <w:rFonts w:eastAsia="Times New Roman" w:cstheme="minorHAnsi"/>
          <w:sz w:val="28"/>
          <w:szCs w:val="28"/>
          <w:lang w:eastAsia="pl-PL"/>
        </w:rPr>
        <w:t>31</w:t>
      </w:r>
      <w:r>
        <w:rPr>
          <w:rFonts w:eastAsia="Times New Roman" w:cstheme="minorHAnsi"/>
          <w:sz w:val="28"/>
          <w:szCs w:val="28"/>
          <w:lang w:eastAsia="pl-PL"/>
        </w:rPr>
        <w:t xml:space="preserve"> </w:t>
      </w:r>
      <w:r w:rsidR="00C463CC">
        <w:rPr>
          <w:rFonts w:eastAsia="Times New Roman" w:cstheme="minorHAnsi"/>
          <w:sz w:val="28"/>
          <w:szCs w:val="28"/>
          <w:lang w:eastAsia="pl-PL"/>
        </w:rPr>
        <w:t>maja</w:t>
      </w:r>
      <w:r>
        <w:rPr>
          <w:rFonts w:eastAsia="Times New Roman" w:cstheme="minorHAnsi"/>
          <w:sz w:val="28"/>
          <w:szCs w:val="28"/>
          <w:lang w:eastAsia="pl-PL"/>
        </w:rPr>
        <w:t xml:space="preserve"> 202</w:t>
      </w:r>
      <w:r w:rsidR="00C463CC">
        <w:rPr>
          <w:rFonts w:eastAsia="Times New Roman" w:cstheme="minorHAnsi"/>
          <w:sz w:val="28"/>
          <w:szCs w:val="28"/>
          <w:lang w:eastAsia="pl-PL"/>
        </w:rPr>
        <w:t>4 </w:t>
      </w:r>
      <w:r w:rsidRPr="003A76C5">
        <w:rPr>
          <w:rFonts w:eastAsia="Times New Roman" w:cstheme="minorHAnsi"/>
          <w:sz w:val="28"/>
          <w:szCs w:val="28"/>
          <w:lang w:eastAsia="pl-PL"/>
        </w:rPr>
        <w:t xml:space="preserve">r. </w:t>
      </w:r>
      <w:r>
        <w:rPr>
          <w:rFonts w:eastAsia="Times New Roman" w:cstheme="minorHAnsi"/>
          <w:sz w:val="28"/>
          <w:szCs w:val="28"/>
          <w:lang w:eastAsia="pl-PL"/>
        </w:rPr>
        <w:t>wydałem</w:t>
      </w:r>
      <w:r w:rsidRPr="003A76C5">
        <w:rPr>
          <w:rFonts w:eastAsia="Times New Roman" w:cstheme="minorHAnsi"/>
          <w:sz w:val="28"/>
          <w:szCs w:val="28"/>
          <w:lang w:eastAsia="pl-PL"/>
        </w:rPr>
        <w:t xml:space="preserve"> </w:t>
      </w:r>
      <w:r w:rsidR="00A06CB4">
        <w:rPr>
          <w:rFonts w:eastAsia="Times New Roman" w:cstheme="minorHAnsi"/>
          <w:sz w:val="28"/>
          <w:szCs w:val="28"/>
          <w:lang w:eastAsia="pl-PL"/>
        </w:rPr>
        <w:t xml:space="preserve">na rzecz </w:t>
      </w:r>
      <w:r w:rsidR="00A06CB4" w:rsidRPr="00A06CB4">
        <w:rPr>
          <w:rFonts w:eastAsia="Times New Roman" w:cstheme="minorHAnsi"/>
          <w:sz w:val="28"/>
          <w:szCs w:val="28"/>
          <w:lang w:eastAsia="pl-PL"/>
        </w:rPr>
        <w:t>Przedsiębiorstw</w:t>
      </w:r>
      <w:r w:rsidR="00A06CB4">
        <w:rPr>
          <w:rFonts w:eastAsia="Times New Roman" w:cstheme="minorHAnsi"/>
          <w:sz w:val="28"/>
          <w:szCs w:val="28"/>
          <w:lang w:eastAsia="pl-PL"/>
        </w:rPr>
        <w:t>a</w:t>
      </w:r>
      <w:r w:rsidR="00A06CB4" w:rsidRPr="00A06CB4">
        <w:rPr>
          <w:rFonts w:eastAsia="Times New Roman" w:cstheme="minorHAnsi"/>
          <w:sz w:val="28"/>
          <w:szCs w:val="28"/>
          <w:lang w:eastAsia="pl-PL"/>
        </w:rPr>
        <w:t xml:space="preserve"> Gospodarki Komunalnej Sp. z</w:t>
      </w:r>
      <w:r w:rsidR="00A06CB4">
        <w:rPr>
          <w:rFonts w:eastAsia="Times New Roman" w:cstheme="minorHAnsi"/>
          <w:sz w:val="28"/>
          <w:szCs w:val="28"/>
          <w:lang w:eastAsia="pl-PL"/>
        </w:rPr>
        <w:t> </w:t>
      </w:r>
      <w:r w:rsidR="00A06CB4" w:rsidRPr="00A06CB4">
        <w:rPr>
          <w:rFonts w:eastAsia="Times New Roman" w:cstheme="minorHAnsi"/>
          <w:sz w:val="28"/>
          <w:szCs w:val="28"/>
          <w:lang w:eastAsia="pl-PL"/>
        </w:rPr>
        <w:t>o.o.</w:t>
      </w:r>
      <w:r w:rsidR="00A06CB4">
        <w:rPr>
          <w:rFonts w:eastAsia="Times New Roman" w:cstheme="minorHAnsi"/>
          <w:sz w:val="28"/>
          <w:szCs w:val="28"/>
          <w:lang w:eastAsia="pl-PL"/>
        </w:rPr>
        <w:t xml:space="preserve"> z siedzibą w Śremie </w:t>
      </w:r>
      <w:r w:rsidRPr="003A76C5">
        <w:rPr>
          <w:rFonts w:eastAsia="Times New Roman" w:cstheme="minorHAnsi"/>
          <w:sz w:val="28"/>
          <w:szCs w:val="28"/>
          <w:lang w:eastAsia="pl-PL"/>
        </w:rPr>
        <w:t xml:space="preserve">decyzję </w:t>
      </w:r>
      <w:r>
        <w:rPr>
          <w:rFonts w:eastAsia="Times New Roman" w:cstheme="minorHAnsi"/>
          <w:sz w:val="28"/>
          <w:szCs w:val="28"/>
          <w:lang w:eastAsia="pl-PL"/>
        </w:rPr>
        <w:t xml:space="preserve">nr </w:t>
      </w:r>
      <w:r w:rsidR="00C463CC">
        <w:rPr>
          <w:rFonts w:eastAsia="Times New Roman" w:cstheme="minorHAnsi"/>
          <w:sz w:val="28"/>
          <w:szCs w:val="28"/>
          <w:lang w:eastAsia="pl-PL"/>
        </w:rPr>
        <w:t>52</w:t>
      </w:r>
      <w:r>
        <w:rPr>
          <w:rFonts w:eastAsia="Times New Roman" w:cstheme="minorHAnsi"/>
          <w:sz w:val="28"/>
          <w:szCs w:val="28"/>
          <w:lang w:eastAsia="pl-PL"/>
        </w:rPr>
        <w:t>/202</w:t>
      </w:r>
      <w:r w:rsidR="00C463CC">
        <w:rPr>
          <w:rFonts w:eastAsia="Times New Roman" w:cstheme="minorHAnsi"/>
          <w:sz w:val="28"/>
          <w:szCs w:val="28"/>
          <w:lang w:eastAsia="pl-PL"/>
        </w:rPr>
        <w:t>4</w:t>
      </w:r>
      <w:r w:rsidRPr="003A76C5">
        <w:rPr>
          <w:rFonts w:eastAsia="Times New Roman" w:cstheme="minorHAnsi"/>
          <w:sz w:val="28"/>
          <w:szCs w:val="28"/>
          <w:lang w:eastAsia="pl-PL"/>
        </w:rPr>
        <w:t xml:space="preserve"> </w:t>
      </w:r>
      <w:r>
        <w:rPr>
          <w:rFonts w:eastAsia="Times New Roman" w:cstheme="minorHAnsi"/>
          <w:sz w:val="28"/>
          <w:szCs w:val="28"/>
          <w:lang w:eastAsia="pl-PL"/>
        </w:rPr>
        <w:t>o warunkach zabudowy</w:t>
      </w:r>
      <w:r w:rsidR="00331E49">
        <w:rPr>
          <w:rFonts w:eastAsia="Times New Roman" w:cstheme="minorHAnsi"/>
          <w:sz w:val="28"/>
          <w:szCs w:val="28"/>
          <w:lang w:eastAsia="pl-PL"/>
        </w:rPr>
        <w:t xml:space="preserve"> </w:t>
      </w:r>
      <w:r w:rsidRPr="00883567">
        <w:rPr>
          <w:rFonts w:eastAsia="Times New Roman" w:cstheme="minorHAnsi"/>
          <w:sz w:val="28"/>
          <w:szCs w:val="28"/>
          <w:lang w:eastAsia="pl-PL"/>
        </w:rPr>
        <w:t xml:space="preserve">dla </w:t>
      </w:r>
      <w:r>
        <w:rPr>
          <w:rFonts w:eastAsia="Times New Roman" w:cstheme="minorHAnsi"/>
          <w:sz w:val="28"/>
          <w:szCs w:val="28"/>
          <w:lang w:eastAsia="pl-PL"/>
        </w:rPr>
        <w:t xml:space="preserve">inwestycji: </w:t>
      </w:r>
      <w:r w:rsidR="00C463CC" w:rsidRPr="00C463CC">
        <w:rPr>
          <w:rFonts w:eastAsia="Times New Roman" w:cstheme="minorHAnsi"/>
          <w:sz w:val="28"/>
          <w:szCs w:val="28"/>
          <w:lang w:eastAsia="pl-PL"/>
        </w:rPr>
        <w:t>rozbudowa stacji tankowania LNG/CNG na terenie części działki o nr ewid. 22/8, obręb Dąbrowa</w:t>
      </w:r>
      <w:r>
        <w:rPr>
          <w:rFonts w:eastAsia="Times New Roman" w:cstheme="minorHAnsi"/>
          <w:sz w:val="28"/>
          <w:szCs w:val="28"/>
          <w:lang w:eastAsia="pl-PL"/>
        </w:rPr>
        <w:t xml:space="preserve">, która poprzedzona była </w:t>
      </w:r>
      <w:r w:rsidR="00331E49">
        <w:rPr>
          <w:rFonts w:eastAsia="Times New Roman" w:cstheme="minorHAnsi"/>
          <w:sz w:val="28"/>
          <w:szCs w:val="28"/>
          <w:lang w:eastAsia="pl-PL"/>
        </w:rPr>
        <w:t xml:space="preserve">wydaniem </w:t>
      </w:r>
      <w:r>
        <w:rPr>
          <w:rFonts w:eastAsia="Times New Roman" w:cstheme="minorHAnsi"/>
          <w:sz w:val="28"/>
          <w:szCs w:val="28"/>
          <w:lang w:eastAsia="pl-PL"/>
        </w:rPr>
        <w:t>decyzj</w:t>
      </w:r>
      <w:r w:rsidR="00331E49">
        <w:rPr>
          <w:rFonts w:eastAsia="Times New Roman" w:cstheme="minorHAnsi"/>
          <w:sz w:val="28"/>
          <w:szCs w:val="28"/>
          <w:lang w:eastAsia="pl-PL"/>
        </w:rPr>
        <w:t>i</w:t>
      </w:r>
      <w:r>
        <w:rPr>
          <w:rFonts w:eastAsia="Times New Roman" w:cstheme="minorHAnsi"/>
          <w:sz w:val="28"/>
          <w:szCs w:val="28"/>
          <w:lang w:eastAsia="pl-PL"/>
        </w:rPr>
        <w:t xml:space="preserve"> o środowiskowych uwarunkowaniach.</w:t>
      </w:r>
    </w:p>
    <w:p w14:paraId="728D2272" w14:textId="30D37646" w:rsidR="005438BA" w:rsidRPr="00883567" w:rsidRDefault="005438BA" w:rsidP="005438BA">
      <w:pPr>
        <w:spacing w:after="120" w:line="240" w:lineRule="auto"/>
        <w:ind w:firstLine="567"/>
        <w:jc w:val="both"/>
        <w:rPr>
          <w:rFonts w:eastAsia="Times New Roman" w:cstheme="minorHAnsi"/>
          <w:sz w:val="28"/>
          <w:szCs w:val="28"/>
          <w:lang w:eastAsia="pl-PL"/>
        </w:rPr>
      </w:pPr>
      <w:r>
        <w:rPr>
          <w:rFonts w:eastAsia="Times New Roman" w:cstheme="minorHAnsi"/>
          <w:sz w:val="28"/>
          <w:szCs w:val="28"/>
          <w:lang w:eastAsia="pl-PL"/>
        </w:rPr>
        <w:t>Z decyzją można zapoznać się w Biuletynie Informacji Publicznej Urzędu Miejskiego w Śremie (</w:t>
      </w:r>
      <w:hyperlink r:id="rId8" w:history="1">
        <w:r w:rsidRPr="00430455">
          <w:rPr>
            <w:rStyle w:val="Hipercze"/>
            <w:rFonts w:eastAsia="Times New Roman" w:cstheme="minorHAnsi"/>
            <w:sz w:val="28"/>
            <w:szCs w:val="28"/>
            <w:lang w:eastAsia="pl-PL"/>
          </w:rPr>
          <w:t>https://bip.srem.pl/public/?id=227878</w:t>
        </w:r>
      </w:hyperlink>
      <w:r>
        <w:rPr>
          <w:rFonts w:eastAsia="Times New Roman" w:cstheme="minorHAnsi"/>
          <w:sz w:val="28"/>
          <w:szCs w:val="28"/>
          <w:lang w:eastAsia="pl-PL"/>
        </w:rPr>
        <w:t>), a z decyzją oraz dokumentacją sprawy w Urzędzie Miejskim w Śremie, ul. </w:t>
      </w:r>
      <w:r>
        <w:rPr>
          <w:rFonts w:cstheme="minorHAnsi"/>
          <w:sz w:val="28"/>
          <w:szCs w:val="28"/>
        </w:rPr>
        <w:t>Plac 20 Października 1</w:t>
      </w:r>
      <w:r>
        <w:rPr>
          <w:rFonts w:eastAsia="Times New Roman" w:cstheme="minorHAnsi"/>
          <w:sz w:val="28"/>
          <w:szCs w:val="28"/>
          <w:lang w:eastAsia="pl-PL"/>
        </w:rPr>
        <w:t>, biuro nr 34, w godzinach od 7:00 do 15:00</w:t>
      </w:r>
    </w:p>
    <w:p w14:paraId="2AC6A467" w14:textId="07D575B0" w:rsidR="00076480" w:rsidRDefault="00076480" w:rsidP="005438BA">
      <w:pPr>
        <w:spacing w:after="120" w:line="240" w:lineRule="auto"/>
        <w:ind w:left="2552" w:firstLine="2551"/>
        <w:jc w:val="center"/>
        <w:rPr>
          <w:rFonts w:cstheme="minorHAnsi"/>
          <w:sz w:val="28"/>
          <w:szCs w:val="28"/>
        </w:rPr>
      </w:pPr>
    </w:p>
    <w:p w14:paraId="219DC92E" w14:textId="3CD5B24D" w:rsidR="00076480" w:rsidRDefault="0068296F" w:rsidP="00076480">
      <w:pPr>
        <w:spacing w:after="120" w:line="240" w:lineRule="auto"/>
        <w:ind w:left="2552" w:firstLine="2551"/>
        <w:jc w:val="center"/>
        <w:rPr>
          <w:rFonts w:cstheme="minorHAnsi"/>
          <w:sz w:val="28"/>
          <w:szCs w:val="28"/>
        </w:rPr>
      </w:pPr>
      <w:r>
        <w:rPr>
          <w:rFonts w:cstheme="minorHAnsi"/>
          <w:sz w:val="28"/>
          <w:szCs w:val="28"/>
        </w:rPr>
        <w:t>Grzegorz Wiśniewski</w:t>
      </w:r>
    </w:p>
    <w:p w14:paraId="3D3BA14F" w14:textId="77777777" w:rsidR="00076480" w:rsidRDefault="00076480" w:rsidP="00076480">
      <w:pPr>
        <w:spacing w:after="120" w:line="240" w:lineRule="auto"/>
        <w:ind w:left="2552" w:firstLine="2551"/>
        <w:jc w:val="center"/>
        <w:rPr>
          <w:rFonts w:cstheme="minorHAnsi"/>
          <w:sz w:val="28"/>
          <w:szCs w:val="28"/>
        </w:rPr>
      </w:pPr>
      <w:r>
        <w:rPr>
          <w:rFonts w:cstheme="minorHAnsi"/>
          <w:sz w:val="28"/>
          <w:szCs w:val="28"/>
        </w:rPr>
        <w:t>Burmistrz Śremu</w:t>
      </w:r>
    </w:p>
    <w:p w14:paraId="33A824FF" w14:textId="77777777" w:rsidR="00076480" w:rsidRDefault="00076480" w:rsidP="00076480">
      <w:pPr>
        <w:spacing w:after="120" w:line="240" w:lineRule="auto"/>
        <w:ind w:left="2552" w:firstLine="2551"/>
        <w:jc w:val="center"/>
        <w:rPr>
          <w:rFonts w:cstheme="minorHAnsi"/>
          <w:sz w:val="28"/>
          <w:szCs w:val="28"/>
        </w:rPr>
      </w:pPr>
    </w:p>
    <w:p w14:paraId="4670426C" w14:textId="77777777" w:rsidR="00944369" w:rsidRPr="00EA51A6" w:rsidRDefault="00944369" w:rsidP="00076480">
      <w:pPr>
        <w:spacing w:after="120" w:line="240" w:lineRule="auto"/>
        <w:ind w:left="2552" w:firstLine="2551"/>
        <w:jc w:val="center"/>
        <w:rPr>
          <w:rFonts w:cstheme="minorHAnsi"/>
          <w:sz w:val="28"/>
          <w:szCs w:val="28"/>
        </w:rPr>
      </w:pPr>
    </w:p>
    <w:p w14:paraId="54A0278C" w14:textId="3FE4AD46" w:rsidR="00076480" w:rsidRPr="005A07CF" w:rsidRDefault="00076480" w:rsidP="00076480">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121D8E">
        <w:rPr>
          <w:rFonts w:eastAsia="Times New Roman" w:cstheme="minorHAnsi"/>
          <w:sz w:val="28"/>
          <w:szCs w:val="28"/>
          <w:lang w:eastAsia="pl-PL"/>
        </w:rPr>
        <w:t>4</w:t>
      </w:r>
      <w:r w:rsidR="00944369">
        <w:rPr>
          <w:rFonts w:eastAsia="Times New Roman" w:cstheme="minorHAnsi"/>
          <w:sz w:val="28"/>
          <w:szCs w:val="28"/>
          <w:lang w:eastAsia="pl-PL"/>
        </w:rPr>
        <w:t xml:space="preserve"> </w:t>
      </w:r>
      <w:r w:rsidR="00F13991">
        <w:rPr>
          <w:rFonts w:eastAsia="Times New Roman" w:cstheme="minorHAnsi"/>
          <w:sz w:val="28"/>
          <w:szCs w:val="28"/>
          <w:lang w:eastAsia="pl-PL"/>
        </w:rPr>
        <w:t>czerwca</w:t>
      </w:r>
      <w:r w:rsidR="00944369">
        <w:rPr>
          <w:rFonts w:eastAsia="Times New Roman" w:cstheme="minorHAnsi"/>
          <w:sz w:val="28"/>
          <w:szCs w:val="28"/>
          <w:lang w:eastAsia="pl-PL"/>
        </w:rPr>
        <w:t xml:space="preserve"> 2024 r.</w:t>
      </w:r>
    </w:p>
    <w:p w14:paraId="1F1A08B1" w14:textId="77777777" w:rsidR="00076480" w:rsidRDefault="00076480" w:rsidP="00076480">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6EEF01DE" w14:textId="77777777" w:rsidR="005F4309" w:rsidRDefault="005F4309" w:rsidP="00076480">
      <w:pPr>
        <w:spacing w:after="120" w:line="240" w:lineRule="auto"/>
        <w:jc w:val="both"/>
        <w:rPr>
          <w:rFonts w:eastAsia="Calibri" w:cstheme="minorHAnsi"/>
          <w:sz w:val="28"/>
          <w:szCs w:val="28"/>
        </w:rPr>
      </w:pPr>
    </w:p>
    <w:p w14:paraId="2C1F7932" w14:textId="77777777" w:rsidR="00B76730" w:rsidRDefault="00B76730" w:rsidP="00B76730">
      <w:pPr>
        <w:pStyle w:val="Standard"/>
        <w:spacing w:after="0" w:line="240" w:lineRule="auto"/>
        <w:jc w:val="both"/>
        <w:rPr>
          <w:rFonts w:cs="Calibri"/>
          <w:bCs/>
          <w:iCs/>
          <w:sz w:val="20"/>
          <w:szCs w:val="20"/>
        </w:rPr>
      </w:pPr>
    </w:p>
    <w:p w14:paraId="2F9DADA9" w14:textId="26C1B025" w:rsidR="005438BA" w:rsidRDefault="005438BA">
      <w:pPr>
        <w:rPr>
          <w:rFonts w:ascii="Calibri" w:eastAsia="SimSun" w:hAnsi="Calibri" w:cs="Tahoma"/>
          <w:kern w:val="3"/>
          <w:sz w:val="20"/>
          <w:szCs w:val="20"/>
        </w:rPr>
      </w:pPr>
      <w:r>
        <w:rPr>
          <w:sz w:val="20"/>
          <w:szCs w:val="20"/>
        </w:rPr>
        <w:br w:type="page"/>
      </w:r>
    </w:p>
    <w:p w14:paraId="44E662F1" w14:textId="77777777" w:rsidR="005438BA" w:rsidRPr="005A07CF" w:rsidRDefault="005438BA" w:rsidP="005438BA">
      <w:pPr>
        <w:spacing w:after="0" w:line="240" w:lineRule="auto"/>
        <w:ind w:right="6095"/>
        <w:jc w:val="center"/>
        <w:rPr>
          <w:rFonts w:eastAsia="Calibri" w:cstheme="minorHAnsi"/>
          <w:sz w:val="28"/>
          <w:szCs w:val="28"/>
        </w:rPr>
      </w:pPr>
      <w:r w:rsidRPr="005A07CF">
        <w:rPr>
          <w:rFonts w:eastAsia="Calibri" w:cstheme="minorHAnsi"/>
          <w:sz w:val="28"/>
          <w:szCs w:val="28"/>
        </w:rPr>
        <w:lastRenderedPageBreak/>
        <w:t>Burmistrz Śremu</w:t>
      </w:r>
    </w:p>
    <w:p w14:paraId="622F1C31" w14:textId="77777777" w:rsidR="005438BA" w:rsidRDefault="005438BA" w:rsidP="005438BA">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5B8CD579" w14:textId="4EC12180" w:rsidR="005438BA" w:rsidRDefault="005438BA" w:rsidP="005438BA">
      <w:pPr>
        <w:spacing w:after="0" w:line="240" w:lineRule="auto"/>
        <w:ind w:right="5810"/>
        <w:jc w:val="center"/>
        <w:rPr>
          <w:rFonts w:cstheme="minorHAnsi"/>
          <w:sz w:val="28"/>
          <w:szCs w:val="28"/>
        </w:rPr>
      </w:pPr>
      <w:r w:rsidRPr="005A07CF">
        <w:rPr>
          <w:rFonts w:eastAsia="Calibri" w:cstheme="minorHAnsi"/>
          <w:sz w:val="28"/>
          <w:szCs w:val="28"/>
        </w:rPr>
        <w:t>63-100 Śrem</w:t>
      </w:r>
    </w:p>
    <w:p w14:paraId="1CE8D3CA" w14:textId="7F397D67" w:rsidR="005438BA" w:rsidRPr="005438BA" w:rsidRDefault="005438BA" w:rsidP="005438BA">
      <w:pPr>
        <w:spacing w:after="120" w:line="240" w:lineRule="auto"/>
        <w:ind w:left="567"/>
        <w:jc w:val="right"/>
        <w:rPr>
          <w:rFonts w:cstheme="minorHAnsi"/>
          <w:sz w:val="28"/>
          <w:szCs w:val="28"/>
        </w:rPr>
      </w:pPr>
      <w:r w:rsidRPr="005438BA">
        <w:rPr>
          <w:rFonts w:cstheme="minorHAnsi"/>
          <w:sz w:val="28"/>
          <w:szCs w:val="28"/>
        </w:rPr>
        <w:t>Śrem, 31 maja 2024 roku</w:t>
      </w:r>
    </w:p>
    <w:p w14:paraId="2B11B4C4" w14:textId="77777777" w:rsidR="005438BA" w:rsidRPr="005438BA" w:rsidRDefault="005438BA" w:rsidP="005438BA">
      <w:pPr>
        <w:spacing w:after="120" w:line="240" w:lineRule="auto"/>
        <w:jc w:val="both"/>
        <w:rPr>
          <w:rFonts w:cstheme="minorHAnsi"/>
          <w:sz w:val="28"/>
          <w:szCs w:val="28"/>
        </w:rPr>
      </w:pPr>
      <w:r w:rsidRPr="005438BA">
        <w:rPr>
          <w:rFonts w:cstheme="minorHAnsi"/>
          <w:sz w:val="28"/>
          <w:szCs w:val="28"/>
        </w:rPr>
        <w:t>PPSPP.6730.55.2024.NMAG</w:t>
      </w:r>
    </w:p>
    <w:p w14:paraId="61508883"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Decyzja nr 52/2024</w:t>
      </w:r>
      <w:r w:rsidRPr="005438BA">
        <w:rPr>
          <w:rFonts w:cstheme="minorHAnsi"/>
          <w:sz w:val="28"/>
          <w:szCs w:val="28"/>
        </w:rPr>
        <w:br/>
        <w:t xml:space="preserve"> o warunkach zabudowy</w:t>
      </w:r>
    </w:p>
    <w:p w14:paraId="6991E41A" w14:textId="77777777" w:rsidR="005438BA" w:rsidRPr="005438BA" w:rsidRDefault="005438BA" w:rsidP="005438BA">
      <w:pPr>
        <w:spacing w:after="120" w:line="240" w:lineRule="auto"/>
        <w:jc w:val="center"/>
        <w:rPr>
          <w:rFonts w:cstheme="minorHAnsi"/>
          <w:sz w:val="28"/>
          <w:szCs w:val="28"/>
        </w:rPr>
      </w:pPr>
    </w:p>
    <w:p w14:paraId="1CE8A379" w14:textId="77777777" w:rsidR="005438BA" w:rsidRPr="005438BA" w:rsidRDefault="005438BA" w:rsidP="005438BA">
      <w:pPr>
        <w:spacing w:after="120" w:line="240" w:lineRule="auto"/>
        <w:ind w:firstLine="567"/>
        <w:jc w:val="both"/>
        <w:rPr>
          <w:rFonts w:cstheme="minorHAnsi"/>
          <w:sz w:val="28"/>
          <w:szCs w:val="28"/>
        </w:rPr>
      </w:pPr>
      <w:r w:rsidRPr="005438BA">
        <w:rPr>
          <w:rFonts w:cs="Times New Roman"/>
          <w:sz w:val="28"/>
          <w:szCs w:val="28"/>
        </w:rPr>
        <w:t>Na podstawie art. 4 ust. 2 pkt 2 w związku z art. 59 ust. 1 i art. 60 ust. 1 ustawy z dnia 27 marca 2003 r. o planowaniu i zagospodarowaniu przestrzennym (</w:t>
      </w:r>
      <w:bookmarkStart w:id="1" w:name="_Hlk161903958"/>
      <w:r w:rsidRPr="005438BA">
        <w:rPr>
          <w:rFonts w:cs="Times New Roman"/>
          <w:sz w:val="28"/>
          <w:szCs w:val="28"/>
        </w:rPr>
        <w:t>Dz. U. z 2023 r. poz. 977, 1506, 1597, 1688, 1890, 2029 i 2739</w:t>
      </w:r>
      <w:bookmarkEnd w:id="1"/>
      <w:r w:rsidRPr="005438BA">
        <w:rPr>
          <w:rFonts w:cs="Times New Roman"/>
          <w:sz w:val="28"/>
          <w:szCs w:val="28"/>
        </w:rPr>
        <w:t xml:space="preserve">), </w:t>
      </w:r>
      <w:r w:rsidRPr="005438BA">
        <w:rPr>
          <w:rFonts w:cstheme="minorHAnsi"/>
          <w:sz w:val="28"/>
          <w:szCs w:val="28"/>
        </w:rPr>
        <w:t>zwanej dalej u.p.z.p.,</w:t>
      </w:r>
      <w:r w:rsidRPr="005438BA">
        <w:rPr>
          <w:rFonts w:cs="Times New Roman"/>
          <w:sz w:val="28"/>
          <w:szCs w:val="28"/>
        </w:rPr>
        <w:t xml:space="preserve"> oraz art. 104 ustawy z dnia 14 czerwca 1960 r. – Kodeks postępowania administracyjnego (Dz. U. z 2024 r. poz. 572), zwanej dalej k.p.a., po rozpatrzeniu wniosku </w:t>
      </w:r>
      <w:r w:rsidRPr="005438BA">
        <w:rPr>
          <w:rFonts w:cstheme="minorHAnsi"/>
          <w:sz w:val="28"/>
          <w:szCs w:val="28"/>
        </w:rPr>
        <w:t>złożonego 03.04.2024 r., uzupełnionego 10.04.2024 r., przez:</w:t>
      </w:r>
    </w:p>
    <w:p w14:paraId="23D40D42"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Przedsiębiorstwo Gospodarki Komunalnej Sp. z o.o.</w:t>
      </w:r>
    </w:p>
    <w:p w14:paraId="190D6E94"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 xml:space="preserve"> ul. Parkowa 6, 63-100 Śrem</w:t>
      </w:r>
    </w:p>
    <w:p w14:paraId="3357CFD3" w14:textId="77777777" w:rsidR="005438BA" w:rsidRPr="005438BA" w:rsidRDefault="005438BA" w:rsidP="005438BA">
      <w:pPr>
        <w:widowControl w:val="0"/>
        <w:tabs>
          <w:tab w:val="left" w:pos="0"/>
        </w:tabs>
        <w:autoSpaceDE w:val="0"/>
        <w:autoSpaceDN w:val="0"/>
        <w:adjustRightInd w:val="0"/>
        <w:spacing w:after="120" w:line="240" w:lineRule="auto"/>
        <w:jc w:val="both"/>
        <w:rPr>
          <w:rFonts w:cstheme="minorHAnsi"/>
          <w:bCs/>
          <w:sz w:val="28"/>
        </w:rPr>
      </w:pPr>
      <w:r w:rsidRPr="005438BA">
        <w:rPr>
          <w:rFonts w:cstheme="minorHAnsi"/>
          <w:sz w:val="28"/>
          <w:szCs w:val="28"/>
        </w:rPr>
        <w:t>w sprawie ustalenia warunków zabudowy dla przedsięwzięcia:</w:t>
      </w:r>
      <w:r w:rsidRPr="005438BA">
        <w:rPr>
          <w:rFonts w:cstheme="minorHAnsi"/>
          <w:sz w:val="28"/>
        </w:rPr>
        <w:t xml:space="preserve"> rozbudowa stacji tankowania LNG/CNG na terenie części działki o nr ewid. 22/8, obręb Dąbrowa,</w:t>
      </w:r>
    </w:p>
    <w:p w14:paraId="4ACCA400"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ustalam</w:t>
      </w:r>
      <w:r w:rsidRPr="005438BA">
        <w:rPr>
          <w:rFonts w:cstheme="minorHAnsi"/>
          <w:sz w:val="28"/>
          <w:szCs w:val="28"/>
        </w:rPr>
        <w:br/>
        <w:t xml:space="preserve"> na rzecz Wnioskodawcy</w:t>
      </w:r>
      <w:r w:rsidRPr="005438BA">
        <w:rPr>
          <w:rFonts w:cstheme="minorHAnsi"/>
          <w:sz w:val="28"/>
          <w:szCs w:val="28"/>
        </w:rPr>
        <w:br/>
        <w:t xml:space="preserve"> następujące warunki zabudowy i zagospodarowania terenu:</w:t>
      </w:r>
    </w:p>
    <w:p w14:paraId="27BC5F61" w14:textId="77777777" w:rsidR="005438BA" w:rsidRPr="005438BA" w:rsidRDefault="005438BA" w:rsidP="005438BA">
      <w:pPr>
        <w:numPr>
          <w:ilvl w:val="0"/>
          <w:numId w:val="15"/>
        </w:numPr>
        <w:tabs>
          <w:tab w:val="left" w:pos="426"/>
        </w:tabs>
        <w:spacing w:after="120" w:line="240" w:lineRule="auto"/>
        <w:ind w:left="414" w:hanging="357"/>
        <w:contextualSpacing/>
        <w:jc w:val="both"/>
        <w:rPr>
          <w:rFonts w:cstheme="minorHAnsi"/>
          <w:sz w:val="28"/>
          <w:szCs w:val="28"/>
        </w:rPr>
      </w:pPr>
      <w:r w:rsidRPr="005438BA">
        <w:rPr>
          <w:rFonts w:cstheme="minorHAnsi"/>
          <w:sz w:val="28"/>
          <w:szCs w:val="28"/>
        </w:rPr>
        <w:t>Opis inwestycji:</w:t>
      </w:r>
    </w:p>
    <w:p w14:paraId="00A3DBBE" w14:textId="6B0EE58F" w:rsidR="005438BA" w:rsidRPr="005438BA" w:rsidRDefault="005438BA" w:rsidP="005438BA">
      <w:pPr>
        <w:numPr>
          <w:ilvl w:val="0"/>
          <w:numId w:val="4"/>
        </w:numPr>
        <w:tabs>
          <w:tab w:val="left" w:pos="567"/>
        </w:tabs>
        <w:spacing w:after="120" w:line="240" w:lineRule="auto"/>
        <w:ind w:left="567"/>
        <w:contextualSpacing/>
        <w:jc w:val="both"/>
        <w:rPr>
          <w:rFonts w:cstheme="minorHAnsi"/>
          <w:sz w:val="28"/>
          <w:szCs w:val="28"/>
        </w:rPr>
      </w:pPr>
      <w:r w:rsidRPr="005438BA">
        <w:rPr>
          <w:rFonts w:cstheme="minorHAnsi"/>
          <w:sz w:val="28"/>
          <w:szCs w:val="28"/>
        </w:rPr>
        <w:t>rodzaj: stacja tankowania LNG/CNG (zbiornik LNG, wiata technologiczna z</w:t>
      </w:r>
      <w:r>
        <w:rPr>
          <w:rFonts w:cstheme="minorHAnsi"/>
          <w:sz w:val="28"/>
          <w:szCs w:val="28"/>
        </w:rPr>
        <w:t> </w:t>
      </w:r>
      <w:r w:rsidRPr="005438BA">
        <w:rPr>
          <w:rFonts w:cstheme="minorHAnsi"/>
          <w:sz w:val="28"/>
          <w:szCs w:val="28"/>
        </w:rPr>
        <w:t>dystrybutorem LNG, parownica wysokociśnieniowa, kontener AKPiA);</w:t>
      </w:r>
    </w:p>
    <w:p w14:paraId="2931B0C9" w14:textId="77777777" w:rsidR="005438BA" w:rsidRPr="005438BA" w:rsidRDefault="005438BA" w:rsidP="005438BA">
      <w:pPr>
        <w:numPr>
          <w:ilvl w:val="0"/>
          <w:numId w:val="4"/>
        </w:numPr>
        <w:tabs>
          <w:tab w:val="left" w:pos="567"/>
        </w:tabs>
        <w:spacing w:after="120" w:line="240" w:lineRule="auto"/>
        <w:ind w:left="567"/>
        <w:contextualSpacing/>
        <w:jc w:val="both"/>
        <w:rPr>
          <w:rFonts w:cstheme="minorHAnsi"/>
          <w:sz w:val="28"/>
          <w:szCs w:val="28"/>
        </w:rPr>
      </w:pPr>
      <w:r w:rsidRPr="005438BA">
        <w:rPr>
          <w:rFonts w:cstheme="minorHAnsi"/>
          <w:sz w:val="28"/>
          <w:szCs w:val="28"/>
        </w:rPr>
        <w:t>lokalizacja: część działki o nr ewid. 22/8</w:t>
      </w:r>
      <w:r w:rsidRPr="005438BA">
        <w:rPr>
          <w:rFonts w:cstheme="minorHAnsi"/>
          <w:sz w:val="28"/>
        </w:rPr>
        <w:t>, obręb Dąbrowa</w:t>
      </w:r>
      <w:r w:rsidRPr="005438BA">
        <w:rPr>
          <w:rFonts w:cstheme="minorHAnsi"/>
          <w:sz w:val="28"/>
          <w:szCs w:val="28"/>
        </w:rPr>
        <w:t>, zgodnie z liniami rozgraniczającymi wyznaczonymi na mapie, stanowiącej załącznik nr 1 do decyzji;</w:t>
      </w:r>
    </w:p>
    <w:p w14:paraId="7257E1AA" w14:textId="77777777" w:rsidR="005438BA" w:rsidRPr="005438BA" w:rsidRDefault="005438BA" w:rsidP="005438BA">
      <w:pPr>
        <w:numPr>
          <w:ilvl w:val="0"/>
          <w:numId w:val="4"/>
        </w:numPr>
        <w:tabs>
          <w:tab w:val="left" w:pos="567"/>
        </w:tabs>
        <w:spacing w:after="120" w:line="240" w:lineRule="auto"/>
        <w:ind w:left="567"/>
        <w:contextualSpacing/>
        <w:jc w:val="both"/>
        <w:rPr>
          <w:rFonts w:cstheme="minorHAnsi"/>
          <w:sz w:val="28"/>
          <w:szCs w:val="28"/>
        </w:rPr>
      </w:pPr>
      <w:r w:rsidRPr="005438BA">
        <w:rPr>
          <w:rFonts w:cstheme="minorHAnsi"/>
          <w:sz w:val="28"/>
          <w:szCs w:val="28"/>
        </w:rPr>
        <w:t>funkcja zabudowy i zagospodarowania terenu: usługowa.</w:t>
      </w:r>
    </w:p>
    <w:p w14:paraId="30792983" w14:textId="77777777" w:rsidR="005438BA" w:rsidRPr="005438BA" w:rsidRDefault="005438BA" w:rsidP="005438BA">
      <w:pPr>
        <w:numPr>
          <w:ilvl w:val="0"/>
          <w:numId w:val="15"/>
        </w:numPr>
        <w:tabs>
          <w:tab w:val="left" w:pos="426"/>
        </w:tabs>
        <w:spacing w:after="120" w:line="240" w:lineRule="auto"/>
        <w:ind w:left="414" w:hanging="357"/>
        <w:contextualSpacing/>
        <w:jc w:val="both"/>
        <w:rPr>
          <w:rFonts w:cstheme="minorHAnsi"/>
          <w:sz w:val="28"/>
          <w:szCs w:val="28"/>
        </w:rPr>
      </w:pPr>
      <w:r w:rsidRPr="005438BA">
        <w:rPr>
          <w:rFonts w:cstheme="minorHAnsi"/>
          <w:sz w:val="28"/>
          <w:szCs w:val="28"/>
        </w:rPr>
        <w:t>Warunki i szczegółowe zasady zagospodarowania terenu oraz jego zabudowy wynikające z przepisów odrębnych w zakresie:</w:t>
      </w:r>
    </w:p>
    <w:p w14:paraId="333A544B" w14:textId="77777777" w:rsidR="005438BA" w:rsidRPr="005438BA" w:rsidRDefault="005438BA" w:rsidP="005438BA">
      <w:pPr>
        <w:numPr>
          <w:ilvl w:val="0"/>
          <w:numId w:val="5"/>
        </w:numPr>
        <w:tabs>
          <w:tab w:val="left" w:pos="567"/>
        </w:tabs>
        <w:spacing w:after="120" w:line="240" w:lineRule="auto"/>
        <w:ind w:left="567"/>
        <w:contextualSpacing/>
        <w:jc w:val="both"/>
        <w:rPr>
          <w:rFonts w:cstheme="minorHAnsi"/>
          <w:sz w:val="28"/>
          <w:szCs w:val="28"/>
        </w:rPr>
      </w:pPr>
      <w:r w:rsidRPr="005438BA">
        <w:rPr>
          <w:rFonts w:cstheme="minorHAnsi"/>
          <w:sz w:val="28"/>
          <w:szCs w:val="28"/>
        </w:rPr>
        <w:t>warunków i wymagań ochrony i kształtowania ładu przestrzennego:</w:t>
      </w:r>
    </w:p>
    <w:p w14:paraId="5FC08295"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t>linia zabudowy: wyznaczona jako nieprzekraczalna i oznaczająca linię wyznaczającą najmniejszą odległość, w której może być zlokalizowana inwestycja, wyznaczona w odległości 6,0 m od granicy z drogą gminną – działką o nr ewid. 27, obręb Dąbrowa,</w:t>
      </w:r>
    </w:p>
    <w:p w14:paraId="775E76F3"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t>wskaźnik powierzchni zabudowy: nie większy niż 4,0 % powierzchni terenu,</w:t>
      </w:r>
    </w:p>
    <w:p w14:paraId="7E064CE6"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lastRenderedPageBreak/>
        <w:t>powierzchnia biologicznie czynna: nie mniejsza niż 15 % powierzchni terenu,</w:t>
      </w:r>
    </w:p>
    <w:p w14:paraId="52C100E0"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t>szerokość elewacji frontowej</w:t>
      </w:r>
      <w:r w:rsidRPr="005438BA">
        <w:rPr>
          <w:rFonts w:cstheme="minorHAnsi"/>
          <w:sz w:val="28"/>
          <w:szCs w:val="28"/>
          <w:vertAlign w:val="superscript"/>
        </w:rPr>
        <w:footnoteReference w:id="1"/>
      </w:r>
      <w:r w:rsidRPr="005438BA">
        <w:rPr>
          <w:rFonts w:cstheme="minorHAnsi"/>
          <w:sz w:val="28"/>
          <w:szCs w:val="28"/>
        </w:rPr>
        <w:t xml:space="preserve"> każdego obiektu budowlanego: od 1,4 m do 10,0 m,</w:t>
      </w:r>
    </w:p>
    <w:p w14:paraId="514B6BD0"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t>wysokość każdego obiektu budowlanego: od 2,0 m do 7,0 m,</w:t>
      </w:r>
    </w:p>
    <w:p w14:paraId="5573ED9E"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t>geometria dachu każdego obiektu budowlanego:</w:t>
      </w:r>
      <w:bookmarkStart w:id="2" w:name="_Hlk151465828"/>
      <w:bookmarkStart w:id="3" w:name="_Hlk165547064"/>
      <w:r w:rsidRPr="005438BA">
        <w:rPr>
          <w:rFonts w:cstheme="minorHAnsi"/>
          <w:sz w:val="28"/>
          <w:szCs w:val="28"/>
        </w:rPr>
        <w:t xml:space="preserve"> </w:t>
      </w:r>
    </w:p>
    <w:p w14:paraId="5B6FA52E" w14:textId="77777777" w:rsidR="005438BA" w:rsidRPr="005438BA" w:rsidRDefault="005438BA" w:rsidP="005438BA">
      <w:pPr>
        <w:numPr>
          <w:ilvl w:val="0"/>
          <w:numId w:val="20"/>
        </w:numPr>
        <w:spacing w:after="120" w:line="240" w:lineRule="auto"/>
        <w:ind w:left="993"/>
        <w:contextualSpacing/>
        <w:jc w:val="both"/>
        <w:rPr>
          <w:rFonts w:cstheme="minorHAnsi"/>
          <w:sz w:val="28"/>
          <w:szCs w:val="28"/>
        </w:rPr>
      </w:pPr>
      <w:r w:rsidRPr="005438BA">
        <w:rPr>
          <w:rFonts w:cstheme="minorHAnsi"/>
          <w:sz w:val="28"/>
          <w:szCs w:val="28"/>
        </w:rPr>
        <w:t>kąt nachylenia głównych połaci dachu: nie większy niż 12°</w:t>
      </w:r>
      <w:bookmarkEnd w:id="2"/>
      <w:bookmarkEnd w:id="3"/>
      <w:r w:rsidRPr="005438BA">
        <w:rPr>
          <w:rFonts w:cstheme="minorHAnsi"/>
          <w:sz w:val="28"/>
          <w:szCs w:val="28"/>
        </w:rPr>
        <w:t>,</w:t>
      </w:r>
    </w:p>
    <w:p w14:paraId="6520CD4B" w14:textId="77777777" w:rsidR="005438BA" w:rsidRPr="005438BA" w:rsidRDefault="005438BA" w:rsidP="005438BA">
      <w:pPr>
        <w:numPr>
          <w:ilvl w:val="0"/>
          <w:numId w:val="20"/>
        </w:numPr>
        <w:spacing w:after="120" w:line="240" w:lineRule="auto"/>
        <w:ind w:left="993"/>
        <w:contextualSpacing/>
        <w:jc w:val="both"/>
        <w:rPr>
          <w:rFonts w:cstheme="minorHAnsi"/>
          <w:sz w:val="28"/>
          <w:szCs w:val="28"/>
        </w:rPr>
      </w:pPr>
      <w:r w:rsidRPr="005438BA">
        <w:rPr>
          <w:rFonts w:cstheme="minorHAnsi"/>
          <w:sz w:val="28"/>
          <w:szCs w:val="28"/>
        </w:rPr>
        <w:t>układ głównych połaci dachowych: jednospadowy lub dwuspadowy,</w:t>
      </w:r>
    </w:p>
    <w:p w14:paraId="3670B28E" w14:textId="77777777" w:rsidR="005438BA" w:rsidRPr="005438BA" w:rsidRDefault="005438BA" w:rsidP="005438BA">
      <w:pPr>
        <w:numPr>
          <w:ilvl w:val="0"/>
          <w:numId w:val="6"/>
        </w:numPr>
        <w:spacing w:after="120" w:line="240" w:lineRule="auto"/>
        <w:contextualSpacing/>
        <w:jc w:val="both"/>
        <w:rPr>
          <w:rFonts w:cstheme="minorHAnsi"/>
          <w:sz w:val="28"/>
          <w:szCs w:val="28"/>
        </w:rPr>
      </w:pPr>
      <w:r w:rsidRPr="005438BA">
        <w:rPr>
          <w:rFonts w:cstheme="minorHAnsi"/>
          <w:sz w:val="28"/>
          <w:szCs w:val="28"/>
        </w:rPr>
        <w:t>pojemność zbiornika LNG: nie większa niż 90 m</w:t>
      </w:r>
      <w:r w:rsidRPr="005438BA">
        <w:rPr>
          <w:rFonts w:cstheme="minorHAnsi"/>
          <w:sz w:val="28"/>
          <w:szCs w:val="28"/>
          <w:vertAlign w:val="superscript"/>
        </w:rPr>
        <w:t>3</w:t>
      </w:r>
      <w:r w:rsidRPr="005438BA">
        <w:rPr>
          <w:rFonts w:cstheme="minorHAnsi"/>
          <w:sz w:val="28"/>
          <w:szCs w:val="28"/>
        </w:rPr>
        <w:t>;</w:t>
      </w:r>
    </w:p>
    <w:p w14:paraId="1C7EB22D" w14:textId="77777777" w:rsidR="005438BA" w:rsidRPr="005438BA" w:rsidRDefault="005438BA" w:rsidP="005438BA">
      <w:pPr>
        <w:numPr>
          <w:ilvl w:val="0"/>
          <w:numId w:val="5"/>
        </w:numPr>
        <w:spacing w:after="120" w:line="240" w:lineRule="auto"/>
        <w:ind w:left="567"/>
        <w:contextualSpacing/>
        <w:jc w:val="both"/>
        <w:rPr>
          <w:rFonts w:cstheme="minorHAnsi"/>
          <w:sz w:val="28"/>
          <w:szCs w:val="28"/>
        </w:rPr>
      </w:pPr>
      <w:r w:rsidRPr="005438BA">
        <w:rPr>
          <w:rFonts w:cstheme="minorHAnsi"/>
          <w:sz w:val="28"/>
          <w:szCs w:val="28"/>
        </w:rPr>
        <w:t>ochrony środowiska i zdrowia ludzi oraz dziedzictwa kulturowego i zabytków oraz dóbr kultury współczesnej: uwzględnienie warunków określonych w decyzji Burmistrza Śremu z 18.03.2024 r. znak PPSOŚ.6220.22.2023.BM o środowiskowych uwarunkowaniach dla przedsięwzięcia polegającego na rozbudowie stacji tankowania gazem LNG</w:t>
      </w:r>
      <w:r w:rsidRPr="005438BA">
        <w:rPr>
          <w:rFonts w:cstheme="minorHAnsi"/>
          <w:sz w:val="28"/>
          <w:szCs w:val="28"/>
          <w:vertAlign w:val="superscript"/>
        </w:rPr>
        <w:footnoteReference w:id="2"/>
      </w:r>
      <w:r w:rsidRPr="005438BA">
        <w:rPr>
          <w:rFonts w:cstheme="minorHAnsi"/>
          <w:sz w:val="28"/>
          <w:szCs w:val="28"/>
        </w:rPr>
        <w:t>/CNG</w:t>
      </w:r>
      <w:r w:rsidRPr="005438BA">
        <w:rPr>
          <w:rFonts w:cstheme="minorHAnsi"/>
          <w:sz w:val="28"/>
          <w:szCs w:val="28"/>
          <w:vertAlign w:val="superscript"/>
        </w:rPr>
        <w:footnoteReference w:id="3"/>
      </w:r>
      <w:r w:rsidRPr="005438BA">
        <w:rPr>
          <w:rFonts w:cstheme="minorHAnsi"/>
          <w:sz w:val="28"/>
          <w:szCs w:val="28"/>
        </w:rPr>
        <w:t>, projektowanej na działce o nr ewid. 22/8, obręb Dąbrowa;</w:t>
      </w:r>
    </w:p>
    <w:p w14:paraId="438631DA" w14:textId="77777777" w:rsidR="005438BA" w:rsidRPr="005438BA" w:rsidRDefault="005438BA" w:rsidP="005438BA">
      <w:pPr>
        <w:numPr>
          <w:ilvl w:val="0"/>
          <w:numId w:val="5"/>
        </w:numPr>
        <w:spacing w:after="120" w:line="240" w:lineRule="auto"/>
        <w:ind w:left="567"/>
        <w:contextualSpacing/>
        <w:jc w:val="both"/>
        <w:rPr>
          <w:rFonts w:cstheme="minorHAnsi"/>
          <w:sz w:val="28"/>
          <w:szCs w:val="28"/>
        </w:rPr>
      </w:pPr>
      <w:r w:rsidRPr="005438BA">
        <w:rPr>
          <w:rFonts w:cstheme="minorHAnsi"/>
          <w:sz w:val="28"/>
          <w:szCs w:val="28"/>
        </w:rPr>
        <w:t>obsługi w zakresie infrastruktury technicznej i komunikacji:</w:t>
      </w:r>
    </w:p>
    <w:p w14:paraId="0E33594E" w14:textId="77777777" w:rsidR="005438BA" w:rsidRPr="005438BA" w:rsidRDefault="005438BA" w:rsidP="005438BA">
      <w:pPr>
        <w:numPr>
          <w:ilvl w:val="0"/>
          <w:numId w:val="7"/>
        </w:numPr>
        <w:tabs>
          <w:tab w:val="left" w:pos="709"/>
        </w:tabs>
        <w:spacing w:after="120" w:line="240" w:lineRule="auto"/>
        <w:contextualSpacing/>
        <w:jc w:val="both"/>
        <w:rPr>
          <w:rFonts w:cstheme="minorHAnsi"/>
          <w:sz w:val="28"/>
          <w:szCs w:val="28"/>
        </w:rPr>
      </w:pPr>
      <w:r w:rsidRPr="005438BA">
        <w:rPr>
          <w:rFonts w:cstheme="minorHAnsi"/>
          <w:sz w:val="28"/>
          <w:szCs w:val="28"/>
        </w:rPr>
        <w:t>sposób zaopatrzenia w energię elektryczną: sieć elektroenergetyczna,</w:t>
      </w:r>
    </w:p>
    <w:p w14:paraId="62F5C865" w14:textId="77777777" w:rsidR="005438BA" w:rsidRPr="005438BA" w:rsidRDefault="005438BA" w:rsidP="005438BA">
      <w:pPr>
        <w:numPr>
          <w:ilvl w:val="0"/>
          <w:numId w:val="7"/>
        </w:numPr>
        <w:tabs>
          <w:tab w:val="left" w:pos="709"/>
        </w:tabs>
        <w:spacing w:after="120" w:line="240" w:lineRule="auto"/>
        <w:contextualSpacing/>
        <w:jc w:val="both"/>
        <w:rPr>
          <w:rFonts w:cstheme="minorHAnsi"/>
          <w:sz w:val="28"/>
          <w:szCs w:val="28"/>
        </w:rPr>
      </w:pPr>
      <w:r w:rsidRPr="005438BA">
        <w:rPr>
          <w:rFonts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0A15BA57" w14:textId="77777777" w:rsidR="005438BA" w:rsidRPr="005438BA" w:rsidRDefault="005438BA" w:rsidP="005438BA">
      <w:pPr>
        <w:numPr>
          <w:ilvl w:val="0"/>
          <w:numId w:val="7"/>
        </w:numPr>
        <w:tabs>
          <w:tab w:val="left" w:pos="709"/>
        </w:tabs>
        <w:spacing w:after="120" w:line="240" w:lineRule="auto"/>
        <w:contextualSpacing/>
        <w:jc w:val="both"/>
        <w:rPr>
          <w:rFonts w:cstheme="minorHAnsi"/>
          <w:sz w:val="28"/>
          <w:szCs w:val="28"/>
        </w:rPr>
      </w:pPr>
      <w:r w:rsidRPr="005438BA">
        <w:rPr>
          <w:rFonts w:cstheme="minorHAnsi"/>
          <w:sz w:val="28"/>
          <w:szCs w:val="28"/>
        </w:rPr>
        <w:t>gospodarowanie odpadami: zgodnie z przepisami odrębnymi,</w:t>
      </w:r>
    </w:p>
    <w:p w14:paraId="7E9A4171" w14:textId="77777777" w:rsidR="005438BA" w:rsidRPr="005438BA" w:rsidRDefault="005438BA" w:rsidP="005438BA">
      <w:pPr>
        <w:numPr>
          <w:ilvl w:val="0"/>
          <w:numId w:val="7"/>
        </w:numPr>
        <w:tabs>
          <w:tab w:val="left" w:pos="709"/>
        </w:tabs>
        <w:spacing w:after="120" w:line="240" w:lineRule="auto"/>
        <w:contextualSpacing/>
        <w:jc w:val="both"/>
        <w:rPr>
          <w:rFonts w:cstheme="minorHAnsi"/>
          <w:sz w:val="24"/>
          <w:szCs w:val="24"/>
        </w:rPr>
      </w:pPr>
      <w:r w:rsidRPr="005438BA">
        <w:rPr>
          <w:rFonts w:cstheme="minorHAnsi"/>
          <w:sz w:val="28"/>
          <w:szCs w:val="28"/>
        </w:rPr>
        <w:t>dostęp do drogi publicznej: bez</w:t>
      </w:r>
      <w:r w:rsidRPr="005438BA">
        <w:rPr>
          <w:rFonts w:cstheme="minorHAnsi"/>
          <w:sz w:val="28"/>
        </w:rPr>
        <w:t>pośredni do drogi gminnej – działki o nr ewid. 27,</w:t>
      </w:r>
      <w:r w:rsidRPr="005438BA">
        <w:rPr>
          <w:rFonts w:eastAsia="Times New Roman" w:cstheme="minorHAnsi"/>
          <w:sz w:val="28"/>
          <w:szCs w:val="28"/>
          <w:lang w:eastAsia="pl-PL"/>
        </w:rPr>
        <w:t xml:space="preserve"> obręb Dąbrowa, </w:t>
      </w:r>
      <w:r w:rsidRPr="005438BA">
        <w:rPr>
          <w:rFonts w:cstheme="minorHAnsi"/>
          <w:sz w:val="28"/>
        </w:rPr>
        <w:t>poprzez istniejący zjazd;</w:t>
      </w:r>
    </w:p>
    <w:p w14:paraId="7ECD81D6" w14:textId="77777777" w:rsidR="005438BA" w:rsidRPr="005438BA" w:rsidRDefault="005438BA" w:rsidP="005438BA">
      <w:pPr>
        <w:numPr>
          <w:ilvl w:val="0"/>
          <w:numId w:val="5"/>
        </w:numPr>
        <w:spacing w:after="120" w:line="240" w:lineRule="auto"/>
        <w:ind w:left="635" w:hanging="425"/>
        <w:contextualSpacing/>
        <w:jc w:val="both"/>
        <w:rPr>
          <w:rFonts w:cstheme="minorHAnsi"/>
          <w:sz w:val="28"/>
          <w:szCs w:val="28"/>
        </w:rPr>
      </w:pPr>
      <w:r w:rsidRPr="005438BA">
        <w:rPr>
          <w:rFonts w:cstheme="minorHAnsi"/>
          <w:sz w:val="28"/>
          <w:szCs w:val="28"/>
        </w:rPr>
        <w:t>wymagań dotyczących ochrony interesów osób trzecich:</w:t>
      </w:r>
    </w:p>
    <w:p w14:paraId="2CFADD43" w14:textId="77777777" w:rsidR="005438BA" w:rsidRPr="005438BA" w:rsidRDefault="005438BA" w:rsidP="005438BA">
      <w:pPr>
        <w:numPr>
          <w:ilvl w:val="0"/>
          <w:numId w:val="8"/>
        </w:numPr>
        <w:spacing w:after="120" w:line="240" w:lineRule="auto"/>
        <w:contextualSpacing/>
        <w:jc w:val="both"/>
        <w:rPr>
          <w:rFonts w:cstheme="minorHAnsi"/>
          <w:sz w:val="28"/>
          <w:szCs w:val="28"/>
        </w:rPr>
      </w:pPr>
      <w:r w:rsidRPr="005438BA">
        <w:rPr>
          <w:rFonts w:cstheme="minorHAnsi"/>
          <w:sz w:val="28"/>
          <w:szCs w:val="28"/>
        </w:rPr>
        <w:t xml:space="preserve">warunki ochrony przed pozbawieniem: </w:t>
      </w:r>
    </w:p>
    <w:p w14:paraId="2F072A2F" w14:textId="77777777" w:rsidR="005438BA" w:rsidRPr="005438BA" w:rsidRDefault="005438BA" w:rsidP="005438BA">
      <w:pPr>
        <w:numPr>
          <w:ilvl w:val="0"/>
          <w:numId w:val="9"/>
        </w:numPr>
        <w:spacing w:after="120" w:line="240" w:lineRule="auto"/>
        <w:ind w:left="993" w:hanging="426"/>
        <w:contextualSpacing/>
        <w:jc w:val="both"/>
        <w:rPr>
          <w:rFonts w:cstheme="minorHAnsi"/>
          <w:sz w:val="28"/>
          <w:szCs w:val="28"/>
        </w:rPr>
      </w:pPr>
      <w:r w:rsidRPr="005438BA">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40EA148E" w14:textId="77777777" w:rsidR="005438BA" w:rsidRPr="005438BA" w:rsidRDefault="005438BA" w:rsidP="005438BA">
      <w:pPr>
        <w:numPr>
          <w:ilvl w:val="0"/>
          <w:numId w:val="9"/>
        </w:numPr>
        <w:spacing w:after="120" w:line="240" w:lineRule="auto"/>
        <w:ind w:left="993" w:hanging="426"/>
        <w:contextualSpacing/>
        <w:jc w:val="both"/>
        <w:rPr>
          <w:rFonts w:cstheme="minorHAnsi"/>
          <w:sz w:val="28"/>
          <w:szCs w:val="28"/>
        </w:rPr>
      </w:pPr>
      <w:r w:rsidRPr="005438BA">
        <w:rPr>
          <w:rFonts w:cstheme="minorHAnsi"/>
          <w:sz w:val="28"/>
          <w:szCs w:val="28"/>
        </w:rPr>
        <w:t xml:space="preserve">dostępu światła dziennego do pomieszczeń przeznaczonych na pobyt ludzi – inwestycja i sposób zagospodarowania działki powinny spełniać wymogi zawarte w przepisach techniczno – budowlanych, </w:t>
      </w:r>
      <w:r w:rsidRPr="005438BA">
        <w:rPr>
          <w:rFonts w:cstheme="minorHAnsi"/>
          <w:sz w:val="28"/>
          <w:szCs w:val="28"/>
        </w:rPr>
        <w:lastRenderedPageBreak/>
        <w:t>a jednocześnie na etapie opracowania projektu budowlanego należy uwzględnić wymagania w zakresie ochrony uzasadnionych interesów osób trzecich,</w:t>
      </w:r>
    </w:p>
    <w:p w14:paraId="6F23705D" w14:textId="77777777" w:rsidR="005438BA" w:rsidRPr="005438BA" w:rsidRDefault="005438BA" w:rsidP="005438BA">
      <w:pPr>
        <w:numPr>
          <w:ilvl w:val="0"/>
          <w:numId w:val="8"/>
        </w:numPr>
        <w:spacing w:after="120" w:line="240" w:lineRule="auto"/>
        <w:contextualSpacing/>
        <w:jc w:val="both"/>
        <w:rPr>
          <w:rFonts w:cstheme="minorHAnsi"/>
          <w:sz w:val="28"/>
          <w:szCs w:val="28"/>
        </w:rPr>
      </w:pPr>
      <w:r w:rsidRPr="005438BA">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3D9A8563" w14:textId="77777777" w:rsidR="005438BA" w:rsidRPr="005438BA" w:rsidRDefault="005438BA" w:rsidP="005438BA">
      <w:pPr>
        <w:numPr>
          <w:ilvl w:val="0"/>
          <w:numId w:val="15"/>
        </w:numPr>
        <w:tabs>
          <w:tab w:val="left" w:pos="426"/>
        </w:tabs>
        <w:spacing w:after="120" w:line="240" w:lineRule="auto"/>
        <w:ind w:left="414" w:hanging="357"/>
        <w:contextualSpacing/>
        <w:jc w:val="both"/>
        <w:rPr>
          <w:rFonts w:cstheme="minorHAnsi"/>
          <w:sz w:val="28"/>
          <w:szCs w:val="28"/>
        </w:rPr>
      </w:pPr>
      <w:r w:rsidRPr="005438BA">
        <w:rPr>
          <w:rFonts w:cstheme="minorHAnsi"/>
          <w:sz w:val="28"/>
          <w:szCs w:val="28"/>
        </w:rPr>
        <w:t>Linie rozgraniczające teren inwestycji wyznaczone na mapie zasadniczej w skali 1:1000.</w:t>
      </w:r>
    </w:p>
    <w:p w14:paraId="6BFC0C7E"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Uzasadnienie</w:t>
      </w:r>
    </w:p>
    <w:p w14:paraId="3F781C55"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Stosownie do art. 59 ust. 2 ustawy z dnia 7 lipca 2023 r. o zmianie u.p.z.p.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7DE3CBB5" w14:textId="77777777" w:rsidR="005438BA" w:rsidRPr="005438BA" w:rsidRDefault="005438BA" w:rsidP="005438BA">
      <w:pPr>
        <w:numPr>
          <w:ilvl w:val="0"/>
          <w:numId w:val="19"/>
        </w:numPr>
        <w:spacing w:after="120" w:line="240" w:lineRule="auto"/>
        <w:ind w:firstLine="360"/>
        <w:contextualSpacing/>
        <w:jc w:val="both"/>
        <w:rPr>
          <w:rFonts w:cstheme="minorHAnsi"/>
          <w:sz w:val="28"/>
          <w:szCs w:val="28"/>
        </w:rPr>
      </w:pPr>
      <w:r w:rsidRPr="005438BA">
        <w:rPr>
          <w:rFonts w:cstheme="minorHAnsi"/>
          <w:sz w:val="28"/>
          <w:szCs w:val="28"/>
        </w:rPr>
        <w:t>stosuje się przepisy art. 54 oraz art. 61 ust. 1 pkt 1, ust. 2, 3 i 5a ustawy zmienianej w art. 1 w brzmieniu dotychczasowym;</w:t>
      </w:r>
    </w:p>
    <w:p w14:paraId="270ACF00" w14:textId="77777777" w:rsidR="005438BA" w:rsidRPr="005438BA" w:rsidRDefault="005438BA" w:rsidP="005438BA">
      <w:pPr>
        <w:numPr>
          <w:ilvl w:val="0"/>
          <w:numId w:val="19"/>
        </w:numPr>
        <w:spacing w:after="120" w:line="240" w:lineRule="auto"/>
        <w:ind w:firstLine="360"/>
        <w:contextualSpacing/>
        <w:jc w:val="both"/>
        <w:rPr>
          <w:rFonts w:cstheme="minorHAnsi"/>
          <w:sz w:val="28"/>
          <w:szCs w:val="28"/>
        </w:rPr>
      </w:pPr>
      <w:r w:rsidRPr="005438BA">
        <w:rPr>
          <w:rFonts w:cstheme="minorHAnsi"/>
          <w:sz w:val="28"/>
          <w:szCs w:val="28"/>
        </w:rPr>
        <w:t>nie stosuje się przepisów art. 61 ust. 1 pkt 1a i ust. 1a ustawy zmienianej w art. 1.</w:t>
      </w:r>
    </w:p>
    <w:p w14:paraId="64B3EA5F"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65332144" w14:textId="77777777" w:rsidR="005438BA" w:rsidRPr="005438BA" w:rsidRDefault="005438BA" w:rsidP="005438BA">
      <w:pPr>
        <w:spacing w:after="120" w:line="240" w:lineRule="auto"/>
        <w:ind w:firstLine="567"/>
        <w:jc w:val="both"/>
        <w:rPr>
          <w:sz w:val="28"/>
          <w:szCs w:val="28"/>
        </w:rPr>
      </w:pPr>
      <w:r w:rsidRPr="005438BA">
        <w:rPr>
          <w:sz w:val="28"/>
          <w:szCs w:val="28"/>
        </w:rPr>
        <w:t>W myśl art. 59 ust. 1 u.p.z.p.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0DDA4D7E" w14:textId="77777777" w:rsidR="005438BA" w:rsidRPr="005438BA" w:rsidRDefault="005438BA" w:rsidP="005438BA">
      <w:pPr>
        <w:widowControl w:val="0"/>
        <w:autoSpaceDE w:val="0"/>
        <w:autoSpaceDN w:val="0"/>
        <w:adjustRightInd w:val="0"/>
        <w:spacing w:after="120" w:line="240" w:lineRule="auto"/>
        <w:ind w:right="-1" w:firstLine="567"/>
        <w:jc w:val="both"/>
        <w:rPr>
          <w:sz w:val="28"/>
          <w:szCs w:val="28"/>
        </w:rPr>
      </w:pPr>
      <w:r w:rsidRPr="005438BA">
        <w:rPr>
          <w:sz w:val="28"/>
          <w:szCs w:val="28"/>
        </w:rPr>
        <w:t xml:space="preserve">Zgodnie z art. 60 ust. 1 u.p.z.p. decyzję o warunkach zabudowy wydaje (…) wójt, burmistrz albo prezydent miasta po uzgodnieniu z organami, o których mowa w art. 53 ust. 4, i uzyskaniu uzgodnień lub decyzji wymaganych przepisami odrębnymi. </w:t>
      </w:r>
    </w:p>
    <w:p w14:paraId="0ADB8317" w14:textId="77777777" w:rsidR="005438BA" w:rsidRPr="005438BA" w:rsidRDefault="005438BA" w:rsidP="005438BA">
      <w:pPr>
        <w:widowControl w:val="0"/>
        <w:autoSpaceDE w:val="0"/>
        <w:autoSpaceDN w:val="0"/>
        <w:adjustRightInd w:val="0"/>
        <w:spacing w:after="120" w:line="240" w:lineRule="auto"/>
        <w:ind w:right="-1" w:firstLine="567"/>
        <w:jc w:val="both"/>
        <w:rPr>
          <w:sz w:val="28"/>
          <w:szCs w:val="28"/>
        </w:rPr>
      </w:pPr>
      <w:r w:rsidRPr="005438BA">
        <w:rPr>
          <w:sz w:val="28"/>
          <w:szCs w:val="28"/>
        </w:rPr>
        <w:t>Stosownie do art. 104 § 1 i § 2 k.p.a. organ administracji publicznej załatwia sprawę przez wydanie decyzji, chyba że przepisy kodeksu stanowią inaczej. Decyzje rozstrzygają sprawę co do jej istoty w całości lub w części albo w inny sposób kończą sprawę w danej instancji.</w:t>
      </w:r>
    </w:p>
    <w:p w14:paraId="2240B232" w14:textId="77777777" w:rsidR="005438BA" w:rsidRPr="005438BA" w:rsidRDefault="005438BA" w:rsidP="005438BA">
      <w:pPr>
        <w:tabs>
          <w:tab w:val="left" w:pos="993"/>
        </w:tabs>
        <w:spacing w:after="120" w:line="240" w:lineRule="auto"/>
        <w:ind w:firstLine="567"/>
        <w:jc w:val="both"/>
        <w:rPr>
          <w:rFonts w:cstheme="minorHAnsi"/>
          <w:sz w:val="28"/>
          <w:szCs w:val="28"/>
        </w:rPr>
      </w:pPr>
      <w:r w:rsidRPr="005438BA">
        <w:rPr>
          <w:rFonts w:cstheme="minorHAnsi"/>
          <w:sz w:val="28"/>
          <w:szCs w:val="28"/>
        </w:rPr>
        <w:lastRenderedPageBreak/>
        <w:t xml:space="preserve">Do uzupełnionego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5438BA">
        <w:rPr>
          <w:rFonts w:cstheme="minorHAnsi"/>
          <w:sz w:val="28"/>
        </w:rPr>
        <w:t>obszar, na który planowana inwestycja będzie oddziaływać</w:t>
      </w:r>
      <w:r w:rsidRPr="005438BA">
        <w:rPr>
          <w:rFonts w:cstheme="minorHAnsi"/>
          <w:sz w:val="28"/>
          <w:szCs w:val="28"/>
        </w:rPr>
        <w:t xml:space="preserve">. Wniosek po uzupełnieniu był zatem kompletny. </w:t>
      </w:r>
    </w:p>
    <w:p w14:paraId="2700DB6B" w14:textId="4F2D66F0" w:rsidR="005438BA" w:rsidRPr="005438BA" w:rsidRDefault="005438BA" w:rsidP="005438BA">
      <w:pPr>
        <w:tabs>
          <w:tab w:val="left" w:pos="993"/>
        </w:tabs>
        <w:spacing w:after="120" w:line="240" w:lineRule="auto"/>
        <w:ind w:firstLine="567"/>
        <w:jc w:val="both"/>
        <w:rPr>
          <w:rFonts w:cstheme="minorHAnsi"/>
          <w:sz w:val="28"/>
          <w:szCs w:val="28"/>
        </w:rPr>
      </w:pPr>
      <w:r w:rsidRPr="005438BA">
        <w:rPr>
          <w:rFonts w:cstheme="minorHAnsi"/>
          <w:sz w:val="28"/>
          <w:szCs w:val="28"/>
        </w:rPr>
        <w:t>Planowana inwestycja polega na rozbudowie stacji tankownia LNG/CNG (o</w:t>
      </w:r>
      <w:r>
        <w:rPr>
          <w:rFonts w:cstheme="minorHAnsi"/>
          <w:sz w:val="28"/>
          <w:szCs w:val="28"/>
        </w:rPr>
        <w:t> </w:t>
      </w:r>
      <w:r w:rsidRPr="005438BA">
        <w:rPr>
          <w:rFonts w:cstheme="minorHAnsi"/>
          <w:sz w:val="28"/>
          <w:szCs w:val="28"/>
        </w:rPr>
        <w:t>zbiornik LNG, wiatę technologiczną z dystrybutorem LNG, parownicę wysokociśnieniową, kontener AKPiA wraz z infrastrukturą techniczną) zlokalizowanej na terenie części działki o nr ewid. 22/8, obręb Dąbrowa. Działka położona jest w Mateuszewie, wchodzi w skład nieruchomości związanej z</w:t>
      </w:r>
      <w:r>
        <w:rPr>
          <w:rFonts w:cstheme="minorHAnsi"/>
          <w:sz w:val="28"/>
          <w:szCs w:val="28"/>
        </w:rPr>
        <w:t> </w:t>
      </w:r>
      <w:r w:rsidRPr="005438BA">
        <w:rPr>
          <w:rFonts w:cstheme="minorHAnsi"/>
          <w:sz w:val="28"/>
          <w:szCs w:val="28"/>
        </w:rPr>
        <w:t xml:space="preserve">zakładem zagospodarowania odpadów. </w:t>
      </w:r>
    </w:p>
    <w:p w14:paraId="66EE54A3" w14:textId="77777777" w:rsidR="005438BA" w:rsidRPr="005438BA" w:rsidRDefault="005438BA" w:rsidP="005438BA">
      <w:pPr>
        <w:tabs>
          <w:tab w:val="left" w:pos="993"/>
        </w:tabs>
        <w:spacing w:after="120" w:line="240" w:lineRule="auto"/>
        <w:ind w:firstLine="567"/>
        <w:jc w:val="both"/>
        <w:rPr>
          <w:rFonts w:cstheme="minorHAnsi"/>
          <w:sz w:val="28"/>
          <w:szCs w:val="28"/>
        </w:rPr>
      </w:pPr>
      <w:r w:rsidRPr="005438BA">
        <w:rPr>
          <w:rFonts w:cstheme="minorHAnsi"/>
          <w:sz w:val="28"/>
          <w:szCs w:val="28"/>
        </w:rPr>
        <w:t>Charakterystyka planowanej inwestycji na podstawie wniosku:</w:t>
      </w:r>
    </w:p>
    <w:p w14:paraId="6031D6F7" w14:textId="77777777" w:rsidR="005438BA" w:rsidRPr="005438BA" w:rsidRDefault="005438BA" w:rsidP="005438BA">
      <w:pPr>
        <w:numPr>
          <w:ilvl w:val="0"/>
          <w:numId w:val="14"/>
        </w:numPr>
        <w:tabs>
          <w:tab w:val="left" w:pos="993"/>
        </w:tabs>
        <w:spacing w:after="120" w:line="240" w:lineRule="auto"/>
        <w:contextualSpacing/>
        <w:jc w:val="both"/>
        <w:rPr>
          <w:rFonts w:cstheme="minorHAnsi"/>
          <w:sz w:val="28"/>
          <w:szCs w:val="28"/>
        </w:rPr>
      </w:pPr>
      <w:r w:rsidRPr="005438BA">
        <w:rPr>
          <w:rFonts w:cstheme="minorHAnsi"/>
          <w:sz w:val="28"/>
          <w:szCs w:val="28"/>
        </w:rPr>
        <w:t>powierzchnia zabudowy parownicy, kontenera i wiaty odpowiednio: 2,5 m</w:t>
      </w:r>
      <w:r w:rsidRPr="005438BA">
        <w:rPr>
          <w:rFonts w:cstheme="minorHAnsi"/>
          <w:sz w:val="28"/>
          <w:szCs w:val="28"/>
          <w:vertAlign w:val="superscript"/>
        </w:rPr>
        <w:t>2</w:t>
      </w:r>
      <w:r w:rsidRPr="005438BA">
        <w:rPr>
          <w:rFonts w:cstheme="minorHAnsi"/>
          <w:sz w:val="28"/>
          <w:szCs w:val="28"/>
        </w:rPr>
        <w:t>, 25 m</w:t>
      </w:r>
      <w:r w:rsidRPr="005438BA">
        <w:rPr>
          <w:rFonts w:cstheme="minorHAnsi"/>
          <w:sz w:val="28"/>
          <w:szCs w:val="28"/>
          <w:vertAlign w:val="superscript"/>
        </w:rPr>
        <w:t>2</w:t>
      </w:r>
      <w:r w:rsidRPr="005438BA">
        <w:rPr>
          <w:rFonts w:cstheme="minorHAnsi"/>
          <w:sz w:val="28"/>
          <w:szCs w:val="28"/>
        </w:rPr>
        <w:t xml:space="preserve"> i 100 m</w:t>
      </w:r>
      <w:r w:rsidRPr="005438BA">
        <w:rPr>
          <w:rFonts w:cstheme="minorHAnsi"/>
          <w:sz w:val="28"/>
          <w:szCs w:val="28"/>
          <w:vertAlign w:val="superscript"/>
        </w:rPr>
        <w:t>2</w:t>
      </w:r>
      <w:r w:rsidRPr="005438BA">
        <w:rPr>
          <w:rFonts w:cstheme="minorHAnsi"/>
          <w:sz w:val="28"/>
          <w:szCs w:val="28"/>
        </w:rPr>
        <w:t>,</w:t>
      </w:r>
    </w:p>
    <w:p w14:paraId="7310B531" w14:textId="77777777" w:rsidR="005438BA" w:rsidRPr="005438BA" w:rsidRDefault="005438BA" w:rsidP="005438BA">
      <w:pPr>
        <w:numPr>
          <w:ilvl w:val="0"/>
          <w:numId w:val="14"/>
        </w:numPr>
        <w:tabs>
          <w:tab w:val="left" w:pos="993"/>
        </w:tabs>
        <w:spacing w:after="120" w:line="240" w:lineRule="auto"/>
        <w:contextualSpacing/>
        <w:jc w:val="both"/>
        <w:rPr>
          <w:rFonts w:cstheme="minorHAnsi"/>
          <w:sz w:val="28"/>
          <w:szCs w:val="28"/>
        </w:rPr>
      </w:pPr>
      <w:r w:rsidRPr="005438BA">
        <w:rPr>
          <w:rFonts w:cstheme="minorHAnsi"/>
          <w:sz w:val="28"/>
          <w:szCs w:val="28"/>
        </w:rPr>
        <w:t>wysokość parownicy, kontenera i wiaty odpowiednio: do 6,2 m, 2,5 m i 10,0 m,</w:t>
      </w:r>
    </w:p>
    <w:p w14:paraId="6304157B" w14:textId="0740D900" w:rsidR="005438BA" w:rsidRPr="005438BA" w:rsidRDefault="005438BA" w:rsidP="005438BA">
      <w:pPr>
        <w:numPr>
          <w:ilvl w:val="0"/>
          <w:numId w:val="14"/>
        </w:numPr>
        <w:tabs>
          <w:tab w:val="left" w:pos="993"/>
        </w:tabs>
        <w:spacing w:after="120" w:line="240" w:lineRule="auto"/>
        <w:contextualSpacing/>
        <w:jc w:val="both"/>
        <w:rPr>
          <w:rFonts w:cstheme="minorHAnsi"/>
          <w:sz w:val="28"/>
          <w:szCs w:val="28"/>
        </w:rPr>
      </w:pPr>
      <w:r w:rsidRPr="005438BA">
        <w:rPr>
          <w:rFonts w:cstheme="minorHAnsi"/>
          <w:sz w:val="28"/>
          <w:szCs w:val="28"/>
        </w:rPr>
        <w:t>szerokość elewacji frontowej parownicy i kontenera odpowiednio: do 1,4</w:t>
      </w:r>
      <w:r>
        <w:rPr>
          <w:rFonts w:cstheme="minorHAnsi"/>
          <w:sz w:val="28"/>
          <w:szCs w:val="28"/>
        </w:rPr>
        <w:t> </w:t>
      </w:r>
      <w:r w:rsidRPr="005438BA">
        <w:rPr>
          <w:rFonts w:cstheme="minorHAnsi"/>
          <w:sz w:val="28"/>
          <w:szCs w:val="28"/>
        </w:rPr>
        <w:t>m i 2,5 m,</w:t>
      </w:r>
    </w:p>
    <w:p w14:paraId="2EB8F31D" w14:textId="77777777" w:rsidR="005438BA" w:rsidRPr="005438BA" w:rsidRDefault="005438BA" w:rsidP="005438BA">
      <w:pPr>
        <w:numPr>
          <w:ilvl w:val="0"/>
          <w:numId w:val="14"/>
        </w:numPr>
        <w:tabs>
          <w:tab w:val="left" w:pos="993"/>
        </w:tabs>
        <w:spacing w:after="120" w:line="240" w:lineRule="auto"/>
        <w:contextualSpacing/>
        <w:jc w:val="both"/>
        <w:rPr>
          <w:rFonts w:cstheme="minorHAnsi"/>
          <w:sz w:val="28"/>
          <w:szCs w:val="28"/>
        </w:rPr>
      </w:pPr>
      <w:r w:rsidRPr="005438BA">
        <w:rPr>
          <w:rFonts w:cstheme="minorHAnsi"/>
          <w:sz w:val="28"/>
          <w:szCs w:val="28"/>
        </w:rPr>
        <w:t>kąt nachylenia każdego dachu: nie większy niż 12°.</w:t>
      </w:r>
    </w:p>
    <w:p w14:paraId="08537ACD" w14:textId="77777777" w:rsidR="005438BA" w:rsidRPr="005438BA" w:rsidRDefault="005438BA" w:rsidP="005438BA">
      <w:pPr>
        <w:tabs>
          <w:tab w:val="left" w:pos="993"/>
        </w:tabs>
        <w:spacing w:after="120" w:line="240" w:lineRule="auto"/>
        <w:ind w:firstLine="567"/>
        <w:jc w:val="both"/>
        <w:rPr>
          <w:rFonts w:cstheme="minorHAnsi"/>
          <w:sz w:val="28"/>
          <w:szCs w:val="28"/>
        </w:rPr>
      </w:pPr>
      <w:r w:rsidRPr="005438BA">
        <w:rPr>
          <w:rFonts w:cstheme="minorHAnsi"/>
          <w:sz w:val="28"/>
          <w:szCs w:val="28"/>
        </w:rPr>
        <w:t>Przedmiotowa część działki o powierzchni 2416 m</w:t>
      </w:r>
      <w:r w:rsidRPr="005438BA">
        <w:rPr>
          <w:rFonts w:cstheme="minorHAnsi"/>
          <w:sz w:val="28"/>
          <w:szCs w:val="28"/>
          <w:vertAlign w:val="superscript"/>
        </w:rPr>
        <w:t>2</w:t>
      </w:r>
      <w:r w:rsidRPr="005438BA">
        <w:rPr>
          <w:rFonts w:cstheme="minorHAnsi"/>
          <w:sz w:val="28"/>
          <w:szCs w:val="28"/>
        </w:rPr>
        <w:t xml:space="preserve">, zgodnie z prowadzoną przez Starostę Śremskiego ewidencją gruntów i budynków, stanowi </w:t>
      </w:r>
      <w:r w:rsidRPr="005438BA">
        <w:rPr>
          <w:rFonts w:eastAsia="Times New Roman" w:cstheme="minorHAnsi"/>
          <w:sz w:val="28"/>
          <w:lang w:eastAsia="pl-PL"/>
        </w:rPr>
        <w:t>tereny przemysłowe</w:t>
      </w:r>
      <w:r w:rsidRPr="005438BA">
        <w:rPr>
          <w:rFonts w:cstheme="minorHAnsi"/>
          <w:sz w:val="28"/>
          <w:szCs w:val="28"/>
        </w:rPr>
        <w:t xml:space="preserve">. Front terenu objętego wnioskiem o szerokości ca 60,8 m to część przylegająca do drogi gminnej – działki o nr ewid. 27, obręb Dąbrowa. </w:t>
      </w:r>
    </w:p>
    <w:p w14:paraId="059AC718" w14:textId="48037DCC" w:rsidR="005438BA" w:rsidRPr="005438BA" w:rsidRDefault="005438BA" w:rsidP="005438BA">
      <w:pPr>
        <w:tabs>
          <w:tab w:val="left" w:pos="993"/>
        </w:tabs>
        <w:spacing w:after="120" w:line="240" w:lineRule="auto"/>
        <w:jc w:val="both"/>
        <w:rPr>
          <w:rFonts w:cstheme="minorHAnsi"/>
          <w:sz w:val="28"/>
          <w:szCs w:val="28"/>
        </w:rPr>
      </w:pPr>
      <w:r w:rsidRPr="005438BA">
        <w:rPr>
          <w:rFonts w:cstheme="minorHAnsi"/>
          <w:sz w:val="28"/>
          <w:szCs w:val="28"/>
        </w:rPr>
        <w:t xml:space="preserve">Teren objęty wnioskiem </w:t>
      </w:r>
      <w:r w:rsidRPr="005438BA">
        <w:rPr>
          <w:rFonts w:cstheme="minorHAnsi"/>
          <w:sz w:val="28"/>
        </w:rPr>
        <w:t>bezpośrednio graniczy z drogą gminną od południowego zachodu i zachodu, Punktem Selektywnego Zbierania Odpadów Komunalnych od północy i nieczynnym składowiskiem odpadów od południowego wschodu i</w:t>
      </w:r>
      <w:r>
        <w:rPr>
          <w:rFonts w:cstheme="minorHAnsi"/>
          <w:sz w:val="28"/>
        </w:rPr>
        <w:t> </w:t>
      </w:r>
      <w:r w:rsidRPr="005438BA">
        <w:rPr>
          <w:rFonts w:cstheme="minorHAnsi"/>
          <w:sz w:val="28"/>
        </w:rPr>
        <w:t>wschodu.</w:t>
      </w:r>
    </w:p>
    <w:p w14:paraId="1DD4952D" w14:textId="77777777" w:rsidR="005438BA" w:rsidRDefault="005438BA" w:rsidP="005438BA">
      <w:pPr>
        <w:tabs>
          <w:tab w:val="left" w:pos="993"/>
        </w:tabs>
        <w:spacing w:after="120" w:line="240" w:lineRule="auto"/>
        <w:ind w:firstLine="567"/>
        <w:jc w:val="both"/>
        <w:rPr>
          <w:rFonts w:cstheme="minorHAnsi"/>
          <w:sz w:val="28"/>
          <w:szCs w:val="28"/>
        </w:rPr>
      </w:pPr>
      <w:r w:rsidRPr="005438BA">
        <w:rPr>
          <w:rFonts w:cstheme="minorHAnsi"/>
          <w:sz w:val="28"/>
          <w:szCs w:val="28"/>
        </w:rPr>
        <w:t>Dla terenu projektowanej inwestycji nie został uchwalony miejscowy plan zagospodarowania przestrzennego oraz plan ogólny gminy ani nie została podjęta uchwała w sprawie przystąpienia do sporządzenia miejscowego planu zagospodarowania przestrzennego.</w:t>
      </w:r>
    </w:p>
    <w:p w14:paraId="347E21D6" w14:textId="77777777" w:rsidR="005438BA" w:rsidRDefault="005438BA" w:rsidP="005438BA">
      <w:pPr>
        <w:tabs>
          <w:tab w:val="left" w:pos="993"/>
        </w:tabs>
        <w:spacing w:after="120" w:line="240" w:lineRule="auto"/>
        <w:ind w:firstLine="567"/>
        <w:jc w:val="both"/>
        <w:rPr>
          <w:rFonts w:cstheme="minorHAnsi"/>
          <w:sz w:val="28"/>
          <w:szCs w:val="28"/>
        </w:rPr>
      </w:pPr>
    </w:p>
    <w:p w14:paraId="17DE4346" w14:textId="77777777" w:rsidR="005438BA" w:rsidRPr="005438BA" w:rsidRDefault="005438BA" w:rsidP="005438BA">
      <w:pPr>
        <w:tabs>
          <w:tab w:val="left" w:pos="993"/>
        </w:tabs>
        <w:spacing w:after="120" w:line="240" w:lineRule="auto"/>
        <w:ind w:firstLine="567"/>
        <w:jc w:val="both"/>
        <w:rPr>
          <w:rFonts w:cstheme="minorHAnsi"/>
          <w:sz w:val="28"/>
          <w:szCs w:val="28"/>
        </w:rPr>
      </w:pPr>
    </w:p>
    <w:p w14:paraId="7F6B8E53"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lastRenderedPageBreak/>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5C400215"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 xml:space="preserve">Zgodnie z art. 60 ust. 4 u.p.z.p. sporządzenie projektu decyzji o warunków zabudowy powierzono osobie spełniającej warunki określone w art. 5 pkt 4. Projekt decyzji znajduje się w aktach sprawy. </w:t>
      </w:r>
      <w:bookmarkStart w:id="4" w:name="_Hlk151540389"/>
    </w:p>
    <w:p w14:paraId="1E9CCA41" w14:textId="77777777" w:rsidR="005438BA" w:rsidRPr="005438BA" w:rsidRDefault="005438BA" w:rsidP="005438BA">
      <w:pPr>
        <w:widowControl w:val="0"/>
        <w:autoSpaceDE w:val="0"/>
        <w:spacing w:after="120" w:line="240" w:lineRule="auto"/>
        <w:ind w:firstLine="567"/>
        <w:jc w:val="both"/>
        <w:rPr>
          <w:rFonts w:cstheme="minorHAnsi"/>
          <w:sz w:val="28"/>
          <w:szCs w:val="28"/>
        </w:rPr>
      </w:pPr>
      <w:r w:rsidRPr="005438BA">
        <w:rPr>
          <w:rFonts w:cstheme="minorHAnsi"/>
          <w:sz w:val="28"/>
          <w:szCs w:val="28"/>
        </w:rPr>
        <w:t>W projekcie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0007E54D" w14:textId="77777777"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występowaniem złóż kopalin oraz obecnych i przyszłych potrzeb eksploatacji tych złóż;</w:t>
      </w:r>
    </w:p>
    <w:p w14:paraId="49F46B9A" w14:textId="77777777"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ochroną wód, gleby i ziemi przed zanieczyszczeniem w związku z prowadzeniem gospodarki rolnej;</w:t>
      </w:r>
    </w:p>
    <w:p w14:paraId="40D0C85D" w14:textId="77777777"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potrzebami w zakresie zapobiegania ruchom masowym ziemi i ich skutkom;</w:t>
      </w:r>
    </w:p>
    <w:p w14:paraId="24A381F6" w14:textId="77777777"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innymi potrzebami w zakresie ochrony powietrza, wód, gleby, ziemi, ochrony przed hałasem, wibracjami i polami elektromagnetycznymi;</w:t>
      </w:r>
    </w:p>
    <w:p w14:paraId="2FBD7C9B" w14:textId="7213CAF2"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ograniczeniami wynikającymi z ustanowienia w trybie ustawy z dnia 16 kwietnia 2004 r. o ochronie przyrody (Dz. U. z 2023 r. poz. 1336, 1688, 1890 i</w:t>
      </w:r>
      <w:r>
        <w:rPr>
          <w:rFonts w:cstheme="minorHAnsi"/>
          <w:sz w:val="28"/>
          <w:szCs w:val="28"/>
        </w:rPr>
        <w:t> </w:t>
      </w:r>
      <w:r w:rsidRPr="005438BA">
        <w:rPr>
          <w:rFonts w:cstheme="minorHAnsi"/>
          <w:sz w:val="28"/>
          <w:szCs w:val="28"/>
        </w:rPr>
        <w:t>2375) form ochrony przyrody oraz ustaleń obowiązujących planów ochrony;</w:t>
      </w:r>
    </w:p>
    <w:p w14:paraId="13620FAB" w14:textId="77777777"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7572D8C3" w14:textId="77777777" w:rsidR="005438BA" w:rsidRPr="005438BA" w:rsidRDefault="005438BA" w:rsidP="005438BA">
      <w:pPr>
        <w:numPr>
          <w:ilvl w:val="0"/>
          <w:numId w:val="10"/>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51F29FBC" w14:textId="061ECFA5" w:rsidR="005438BA" w:rsidRPr="005438BA" w:rsidRDefault="005438BA" w:rsidP="005438BA">
      <w:pPr>
        <w:widowControl w:val="0"/>
        <w:tabs>
          <w:tab w:val="left" w:pos="993"/>
        </w:tabs>
        <w:autoSpaceDE w:val="0"/>
        <w:spacing w:after="120" w:line="240" w:lineRule="auto"/>
        <w:jc w:val="both"/>
        <w:rPr>
          <w:rFonts w:cstheme="minorHAnsi"/>
          <w:sz w:val="28"/>
          <w:szCs w:val="28"/>
        </w:rPr>
      </w:pPr>
      <w:r w:rsidRPr="005438BA">
        <w:rPr>
          <w:rFonts w:cstheme="minorHAnsi"/>
          <w:sz w:val="28"/>
          <w:szCs w:val="28"/>
        </w:rPr>
        <w:t>oraz ochroną obiektów budowlanych na terenach górniczych, w zakresie granic i</w:t>
      </w:r>
      <w:r>
        <w:rPr>
          <w:rFonts w:cstheme="minorHAnsi"/>
          <w:sz w:val="28"/>
          <w:szCs w:val="28"/>
        </w:rPr>
        <w:t> </w:t>
      </w:r>
      <w:r w:rsidRPr="005438BA">
        <w:rPr>
          <w:rFonts w:cstheme="minorHAnsi"/>
          <w:sz w:val="28"/>
          <w:szCs w:val="28"/>
        </w:rPr>
        <w:t>sposobów zagospodarowania terenów lub obiektów podlegających ochronie, ustalonych na podstawie odrębnych przepisów, w tym terenów górniczych, a</w:t>
      </w:r>
      <w:r>
        <w:rPr>
          <w:rFonts w:cstheme="minorHAnsi"/>
          <w:sz w:val="28"/>
          <w:szCs w:val="28"/>
        </w:rPr>
        <w:t> </w:t>
      </w:r>
      <w:r w:rsidRPr="005438BA">
        <w:rPr>
          <w:rFonts w:cstheme="minorHAnsi"/>
          <w:sz w:val="28"/>
          <w:szCs w:val="28"/>
        </w:rPr>
        <w:t>także narażonych na niebezpieczeństwo powodzi oraz zagrożonych osuwaniem się mas ziemnych,</w:t>
      </w:r>
    </w:p>
    <w:p w14:paraId="63E6C28A" w14:textId="77777777" w:rsidR="005438BA" w:rsidRPr="005438BA" w:rsidRDefault="005438BA" w:rsidP="005438BA">
      <w:pPr>
        <w:widowControl w:val="0"/>
        <w:tabs>
          <w:tab w:val="left" w:pos="993"/>
        </w:tabs>
        <w:autoSpaceDE w:val="0"/>
        <w:spacing w:after="120" w:line="240" w:lineRule="auto"/>
        <w:jc w:val="both"/>
        <w:rPr>
          <w:rFonts w:cstheme="minorHAnsi"/>
          <w:sz w:val="28"/>
          <w:szCs w:val="28"/>
        </w:rPr>
      </w:pPr>
      <w:r w:rsidRPr="005438BA">
        <w:rPr>
          <w:rFonts w:cstheme="minorHAnsi"/>
          <w:sz w:val="28"/>
          <w:szCs w:val="28"/>
        </w:rPr>
        <w:t>ponieważ nie wynikały z nich żadne nakazy, zakazy i ograniczenia w zagospodarowaniu przedmiotowego terenu.</w:t>
      </w:r>
    </w:p>
    <w:p w14:paraId="26C220C5" w14:textId="05232C52"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lastRenderedPageBreak/>
        <w:t>Wydanie decyzji o warunkach zabudowy jest możliwe jedynie w przypadku łącznego spełnienia warunków, o których mowa w art. 61 ust. 1 u.p.z.p., a</w:t>
      </w:r>
      <w:r>
        <w:rPr>
          <w:rFonts w:cstheme="minorHAnsi"/>
          <w:sz w:val="28"/>
          <w:szCs w:val="28"/>
        </w:rPr>
        <w:t> </w:t>
      </w:r>
      <w:r w:rsidRPr="005438BA">
        <w:rPr>
          <w:rFonts w:cstheme="minorHAnsi"/>
          <w:sz w:val="28"/>
          <w:szCs w:val="28"/>
        </w:rPr>
        <w:t>mianowicie:</w:t>
      </w:r>
    </w:p>
    <w:p w14:paraId="006FE9FB" w14:textId="77777777" w:rsidR="005438BA" w:rsidRPr="005438BA" w:rsidRDefault="005438BA" w:rsidP="005438BA">
      <w:pPr>
        <w:numPr>
          <w:ilvl w:val="0"/>
          <w:numId w:val="16"/>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co najmniej jedna działka sąsiednia, dostępna z tej samej drogi publicznej, jest zabudowana w sposób pozwalający na określenie wymagań dotyczących nowej zabudowy w zakresie kontynuacji parametrów, cech i wskaźników kształtowania zabudowy oraz zagospodarowania terenu, w tym gabarytów i formy architektonicznej obiektów budowlanych, linii zabudowy oraz intensywności wykorzystania terenu;</w:t>
      </w:r>
    </w:p>
    <w:p w14:paraId="606FEF70" w14:textId="77777777" w:rsidR="005438BA" w:rsidRPr="005438BA" w:rsidRDefault="005438BA" w:rsidP="005438BA">
      <w:pPr>
        <w:numPr>
          <w:ilvl w:val="0"/>
          <w:numId w:val="16"/>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teren ma dostęp do drogi publicznej rozumiany jako bezpośredni dostęp do tej drogi albo dostęp do niej przez drogę wewnętrzną lub przez ustanowienie odpowiedniej służebności drogowej;</w:t>
      </w:r>
    </w:p>
    <w:p w14:paraId="414190CD" w14:textId="77777777" w:rsidR="005438BA" w:rsidRPr="005438BA" w:rsidRDefault="005438BA" w:rsidP="005438BA">
      <w:pPr>
        <w:numPr>
          <w:ilvl w:val="0"/>
          <w:numId w:val="16"/>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0B5CEA1C" w14:textId="77777777" w:rsidR="005438BA" w:rsidRPr="005438BA" w:rsidRDefault="005438BA" w:rsidP="005438BA">
      <w:pPr>
        <w:numPr>
          <w:ilvl w:val="0"/>
          <w:numId w:val="16"/>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068DDB4A" w14:textId="77777777" w:rsidR="005438BA" w:rsidRPr="005438BA" w:rsidRDefault="005438BA" w:rsidP="005438BA">
      <w:pPr>
        <w:numPr>
          <w:ilvl w:val="0"/>
          <w:numId w:val="16"/>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decyzja jest zgodna z przepisami odrębnymi;</w:t>
      </w:r>
    </w:p>
    <w:p w14:paraId="13C43220" w14:textId="77777777" w:rsidR="005438BA" w:rsidRPr="005438BA" w:rsidRDefault="005438BA" w:rsidP="005438BA">
      <w:pPr>
        <w:numPr>
          <w:ilvl w:val="0"/>
          <w:numId w:val="16"/>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shd w:val="clear" w:color="auto" w:fill="FFFFFF"/>
        </w:rPr>
        <w:t>zamierzenie budowlane nie znajdzie się w obszarze</w:t>
      </w:r>
      <w:r w:rsidRPr="005438BA">
        <w:rPr>
          <w:rFonts w:cstheme="minorHAnsi"/>
          <w:sz w:val="28"/>
          <w:szCs w:val="28"/>
          <w:lang w:eastAsia="pl-PL"/>
        </w:rPr>
        <w:t xml:space="preserve">: </w:t>
      </w:r>
    </w:p>
    <w:p w14:paraId="68C3ADF8" w14:textId="77777777" w:rsidR="005438BA" w:rsidRPr="005438BA" w:rsidRDefault="005438BA" w:rsidP="005438BA">
      <w:pPr>
        <w:numPr>
          <w:ilvl w:val="0"/>
          <w:numId w:val="12"/>
        </w:numPr>
        <w:tabs>
          <w:tab w:val="left" w:pos="1134"/>
        </w:tabs>
        <w:spacing w:after="120" w:line="240" w:lineRule="auto"/>
        <w:ind w:left="1134"/>
        <w:contextualSpacing/>
        <w:jc w:val="both"/>
        <w:rPr>
          <w:rFonts w:cstheme="minorHAnsi"/>
          <w:sz w:val="28"/>
          <w:szCs w:val="28"/>
        </w:rPr>
      </w:pPr>
      <w:r w:rsidRPr="005438BA">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2024 r. poz. 555), ustanowiony został zakaz, o którym mowa w art. 22 ust. 2 pkt 1 tej ustawy,</w:t>
      </w:r>
    </w:p>
    <w:p w14:paraId="35F5F3B6" w14:textId="77777777" w:rsidR="005438BA" w:rsidRPr="005438BA" w:rsidRDefault="005438BA" w:rsidP="005438BA">
      <w:pPr>
        <w:numPr>
          <w:ilvl w:val="0"/>
          <w:numId w:val="12"/>
        </w:numPr>
        <w:tabs>
          <w:tab w:val="left" w:pos="1134"/>
        </w:tabs>
        <w:spacing w:after="120" w:line="240" w:lineRule="auto"/>
        <w:ind w:left="1134"/>
        <w:contextualSpacing/>
        <w:jc w:val="both"/>
        <w:rPr>
          <w:rFonts w:cstheme="minorHAnsi"/>
          <w:sz w:val="28"/>
          <w:szCs w:val="28"/>
        </w:rPr>
      </w:pPr>
      <w:r w:rsidRPr="005438BA">
        <w:rPr>
          <w:rFonts w:cstheme="minorHAnsi"/>
          <w:sz w:val="28"/>
          <w:szCs w:val="28"/>
          <w:lang w:eastAsia="pl-PL"/>
        </w:rPr>
        <w:t>strefy kontrolowanej wyznaczonej po obu stronach gazociągu, o którym mowa w art. 53 ust. 5e pkt 2 u.p.z.p.,</w:t>
      </w:r>
    </w:p>
    <w:p w14:paraId="3793672F" w14:textId="77777777" w:rsidR="005438BA" w:rsidRPr="005438BA" w:rsidRDefault="005438BA" w:rsidP="005438BA">
      <w:pPr>
        <w:numPr>
          <w:ilvl w:val="0"/>
          <w:numId w:val="12"/>
        </w:numPr>
        <w:tabs>
          <w:tab w:val="left" w:pos="1134"/>
        </w:tabs>
        <w:spacing w:after="120" w:line="240" w:lineRule="auto"/>
        <w:ind w:left="1134"/>
        <w:contextualSpacing/>
        <w:jc w:val="both"/>
        <w:rPr>
          <w:rFonts w:cstheme="minorHAnsi"/>
          <w:sz w:val="28"/>
          <w:szCs w:val="28"/>
        </w:rPr>
      </w:pPr>
      <w:r w:rsidRPr="005438BA">
        <w:rPr>
          <w:rFonts w:cstheme="minorHAnsi"/>
          <w:sz w:val="28"/>
          <w:szCs w:val="28"/>
          <w:lang w:eastAsia="pl-PL"/>
        </w:rPr>
        <w:t>strefy bezpieczeństwa wyznaczonej po obu stronach rurociągu.</w:t>
      </w:r>
    </w:p>
    <w:p w14:paraId="2CEA364A" w14:textId="77777777" w:rsidR="005438BA" w:rsidRPr="005438BA" w:rsidRDefault="005438BA" w:rsidP="005438BA">
      <w:pPr>
        <w:tabs>
          <w:tab w:val="left" w:pos="993"/>
        </w:tabs>
        <w:spacing w:after="120" w:line="240" w:lineRule="auto"/>
        <w:ind w:firstLine="567"/>
        <w:jc w:val="both"/>
        <w:rPr>
          <w:sz w:val="28"/>
        </w:rPr>
      </w:pPr>
      <w:r w:rsidRPr="005438BA">
        <w:rPr>
          <w:rFonts w:cs="Times New Roman"/>
          <w:sz w:val="28"/>
          <w:szCs w:val="28"/>
        </w:rPr>
        <w:t>Stosownie do art. 61 ust. 5a u.p.z.p. Burmistrz Śremu wyz</w:t>
      </w:r>
      <w:r w:rsidRPr="005438BA">
        <w:rPr>
          <w:sz w:val="28"/>
        </w:rPr>
        <w:t>naczył wokół działki budowlanej, której dotyczy wniosek o ustalenie warunków zabudowy, obszar analizowany i przeprowadził na nim analizę funkcji oraz cech zabudowy i zagospodarowania terenu w zakresie warunków, o których mowa w art. 61 ust. 1 – 5 u.p.z.p.</w:t>
      </w:r>
    </w:p>
    <w:p w14:paraId="303181E9" w14:textId="77777777" w:rsidR="005438BA" w:rsidRDefault="005438BA" w:rsidP="005438BA">
      <w:pPr>
        <w:tabs>
          <w:tab w:val="left" w:pos="993"/>
        </w:tabs>
        <w:spacing w:after="120" w:line="240" w:lineRule="auto"/>
        <w:ind w:firstLine="567"/>
        <w:jc w:val="both"/>
        <w:rPr>
          <w:rFonts w:cstheme="minorHAnsi"/>
          <w:sz w:val="28"/>
        </w:rPr>
      </w:pPr>
      <w:r w:rsidRPr="005438BA">
        <w:rPr>
          <w:rFonts w:cstheme="minorHAnsi"/>
          <w:sz w:val="28"/>
        </w:rPr>
        <w:t xml:space="preserve">Front terenu objętego wnioskiem przylega do drogi gminnej – działki o nr ewid. 27 i wynosi ca 60,8 m. Trzykrotna szerokość frontu terenu objętego wnioskiem wynosi 182,4 m, czyli nie mniej niż 50 m. </w:t>
      </w:r>
    </w:p>
    <w:p w14:paraId="765196FE" w14:textId="77777777" w:rsidR="005438BA" w:rsidRPr="005438BA" w:rsidRDefault="005438BA" w:rsidP="005438BA">
      <w:pPr>
        <w:tabs>
          <w:tab w:val="left" w:pos="993"/>
        </w:tabs>
        <w:spacing w:after="120" w:line="240" w:lineRule="auto"/>
        <w:ind w:firstLine="567"/>
        <w:jc w:val="both"/>
        <w:rPr>
          <w:sz w:val="28"/>
        </w:rPr>
      </w:pPr>
      <w:r w:rsidRPr="005438BA">
        <w:rPr>
          <w:rFonts w:cstheme="minorHAnsi"/>
          <w:sz w:val="28"/>
        </w:rPr>
        <w:lastRenderedPageBreak/>
        <w:t>Granice obszaru analizowanego wyznaczone zostały w następujący sposób: w odległości wynoszącej 182,4 m, wokół terenu objętego wnioskiem, spełniając tym samym wymóg, o którym mowa w art. 61 ust. 5a u.p.z.p. Sposób wyznaczenia granic obszaru analizowanego został przedstawiony w formie graficznej, stanowiącej załącznik nr 1 do analizy i załącznik nr 3 do decyzji.</w:t>
      </w:r>
    </w:p>
    <w:p w14:paraId="331A75D3" w14:textId="77777777" w:rsidR="005438BA" w:rsidRPr="005438BA" w:rsidRDefault="005438BA" w:rsidP="005438BA">
      <w:pPr>
        <w:tabs>
          <w:tab w:val="left" w:pos="993"/>
        </w:tabs>
        <w:spacing w:after="120" w:line="240" w:lineRule="auto"/>
        <w:ind w:firstLine="567"/>
        <w:jc w:val="both"/>
        <w:rPr>
          <w:sz w:val="28"/>
        </w:rPr>
      </w:pPr>
      <w:r w:rsidRPr="005438BA">
        <w:rPr>
          <w:rFonts w:cstheme="minorHAnsi"/>
          <w:sz w:val="28"/>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1926FAB1" w14:textId="77777777" w:rsidR="005438BA" w:rsidRPr="005438BA" w:rsidRDefault="005438BA" w:rsidP="005438BA">
      <w:pPr>
        <w:tabs>
          <w:tab w:val="left" w:pos="993"/>
        </w:tabs>
        <w:spacing w:after="120" w:line="240" w:lineRule="auto"/>
        <w:ind w:firstLine="567"/>
        <w:jc w:val="both"/>
        <w:rPr>
          <w:rFonts w:cstheme="minorHAnsi"/>
          <w:color w:val="FF0000"/>
          <w:sz w:val="28"/>
          <w:szCs w:val="28"/>
        </w:rPr>
      </w:pPr>
      <w:r w:rsidRPr="005438BA">
        <w:rPr>
          <w:rFonts w:cstheme="minorHAnsi"/>
          <w:sz w:val="28"/>
          <w:szCs w:val="28"/>
        </w:rPr>
        <w:t xml:space="preserve">W tak wyznaczonym obszarze analizowanym znajdują się działki zabudowane, które pozwoliły na ustalenie wymagań dla nowej zabudowy, zgodnie z zasadą określoną w art. 61 ust. 1 pkt 1 u.p.z.p. </w:t>
      </w:r>
    </w:p>
    <w:p w14:paraId="076C2661" w14:textId="77777777" w:rsidR="005438BA" w:rsidRPr="005438BA" w:rsidRDefault="005438BA" w:rsidP="005438BA">
      <w:pPr>
        <w:tabs>
          <w:tab w:val="left" w:pos="993"/>
        </w:tabs>
        <w:spacing w:after="120" w:line="240" w:lineRule="auto"/>
        <w:ind w:firstLine="567"/>
        <w:jc w:val="both"/>
        <w:rPr>
          <w:rFonts w:cstheme="minorHAnsi"/>
          <w:sz w:val="28"/>
          <w:szCs w:val="28"/>
        </w:rPr>
      </w:pPr>
      <w:r w:rsidRPr="005438BA">
        <w:rPr>
          <w:rFonts w:cstheme="minorHAnsi"/>
          <w:sz w:val="28"/>
          <w:szCs w:val="28"/>
        </w:rPr>
        <w:t>Analiza warunków, o których mowa w art. 61 ust. 1 u.p.z.p. dokonana w trakcie prowadzonego postępowania potwierdziła, że zostały</w:t>
      </w:r>
      <w:r w:rsidRPr="005438BA">
        <w:rPr>
          <w:rFonts w:cstheme="minorHAnsi"/>
          <w:b/>
          <w:bCs/>
          <w:sz w:val="28"/>
          <w:szCs w:val="28"/>
        </w:rPr>
        <w:t xml:space="preserve"> </w:t>
      </w:r>
      <w:r w:rsidRPr="005438BA">
        <w:rPr>
          <w:rFonts w:cstheme="minorHAnsi"/>
          <w:sz w:val="28"/>
          <w:szCs w:val="28"/>
        </w:rPr>
        <w:t>one spełnione, bowiem:</w:t>
      </w:r>
    </w:p>
    <w:p w14:paraId="00552679" w14:textId="77777777" w:rsidR="005438BA" w:rsidRPr="005438BA" w:rsidRDefault="005438BA" w:rsidP="005438BA">
      <w:pPr>
        <w:numPr>
          <w:ilvl w:val="0"/>
          <w:numId w:val="17"/>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zabudowa działek sąsiednich, które wraz z terenem planowanej inwestycji tworzą urbanistyczną całość (o nr ewid. 22/5, 26/2, 22/6, 22/8), pozwala na określenie wymagań dla nowej zabudowy pod względem kontynuacji funkcji oraz parametrów i cech zabudowy;</w:t>
      </w:r>
    </w:p>
    <w:p w14:paraId="5DB1A528" w14:textId="77777777" w:rsidR="005438BA" w:rsidRPr="005438BA" w:rsidRDefault="005438BA" w:rsidP="005438BA">
      <w:pPr>
        <w:numPr>
          <w:ilvl w:val="0"/>
          <w:numId w:val="17"/>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teren działki objętej wnioskiem ma zapewniony bez</w:t>
      </w:r>
      <w:r w:rsidRPr="005438BA">
        <w:rPr>
          <w:rFonts w:cstheme="minorHAnsi"/>
          <w:sz w:val="28"/>
        </w:rPr>
        <w:t>pośredni dostęp do drogi gminnej – działki o nr ewid. 27, poprzez istniejący zjazd</w:t>
      </w:r>
      <w:r w:rsidRPr="005438BA">
        <w:rPr>
          <w:rFonts w:cstheme="minorHAnsi"/>
          <w:sz w:val="28"/>
          <w:szCs w:val="28"/>
        </w:rPr>
        <w:t>;</w:t>
      </w:r>
    </w:p>
    <w:p w14:paraId="0319C807" w14:textId="77777777" w:rsidR="005438BA" w:rsidRPr="005438BA" w:rsidRDefault="005438BA" w:rsidP="005438BA">
      <w:pPr>
        <w:numPr>
          <w:ilvl w:val="0"/>
          <w:numId w:val="17"/>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istniejące uzbrojenie (sieć elektroenergetyczna) jest wystarczające dla zamierzenia budowlanego;</w:t>
      </w:r>
    </w:p>
    <w:p w14:paraId="0F1B63E7" w14:textId="77777777" w:rsidR="005438BA" w:rsidRPr="005438BA" w:rsidRDefault="005438BA" w:rsidP="005438BA">
      <w:pPr>
        <w:numPr>
          <w:ilvl w:val="0"/>
          <w:numId w:val="17"/>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przemysłowe, które nie wymagają uzyskania zgody na przeznaczenie na cele nierolnicze i nieleśne;</w:t>
      </w:r>
    </w:p>
    <w:p w14:paraId="28D4409B" w14:textId="77777777" w:rsidR="005438BA" w:rsidRPr="005438BA" w:rsidRDefault="005438BA" w:rsidP="005438BA">
      <w:pPr>
        <w:numPr>
          <w:ilvl w:val="0"/>
          <w:numId w:val="17"/>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decyzja jest zgodna z przepisami odrębnymi;</w:t>
      </w:r>
    </w:p>
    <w:p w14:paraId="71BF40D0" w14:textId="77777777" w:rsidR="005438BA" w:rsidRPr="005438BA" w:rsidRDefault="005438BA" w:rsidP="005438BA">
      <w:pPr>
        <w:numPr>
          <w:ilvl w:val="0"/>
          <w:numId w:val="17"/>
        </w:numPr>
        <w:tabs>
          <w:tab w:val="left" w:pos="993"/>
        </w:tabs>
        <w:spacing w:after="120" w:line="240" w:lineRule="auto"/>
        <w:ind w:left="0" w:firstLine="709"/>
        <w:contextualSpacing/>
        <w:jc w:val="both"/>
        <w:rPr>
          <w:rFonts w:cstheme="minorHAnsi"/>
          <w:sz w:val="28"/>
          <w:szCs w:val="28"/>
        </w:rPr>
      </w:pPr>
      <w:r w:rsidRPr="005438BA">
        <w:rPr>
          <w:rFonts w:cstheme="minorHAnsi"/>
          <w:sz w:val="28"/>
          <w:szCs w:val="28"/>
        </w:rPr>
        <w:t>zamierzenie budowlane nie znajdzie się w obszarze:</w:t>
      </w:r>
    </w:p>
    <w:p w14:paraId="512668D8" w14:textId="77777777" w:rsidR="005438BA" w:rsidRPr="005438BA" w:rsidRDefault="005438BA" w:rsidP="005438BA">
      <w:pPr>
        <w:numPr>
          <w:ilvl w:val="0"/>
          <w:numId w:val="13"/>
        </w:numPr>
        <w:tabs>
          <w:tab w:val="left" w:pos="1134"/>
        </w:tabs>
        <w:spacing w:after="120" w:line="240" w:lineRule="auto"/>
        <w:ind w:left="1134"/>
        <w:contextualSpacing/>
        <w:jc w:val="both"/>
        <w:rPr>
          <w:rFonts w:cstheme="minorHAnsi"/>
          <w:sz w:val="28"/>
          <w:szCs w:val="28"/>
        </w:rPr>
      </w:pPr>
      <w:r w:rsidRPr="005438BA">
        <w:rPr>
          <w:rFonts w:cstheme="minorHAnsi"/>
          <w:sz w:val="28"/>
          <w:szCs w:val="28"/>
          <w:shd w:val="clear" w:color="auto" w:fill="FFFFFF"/>
        </w:rPr>
        <w:t>objętym zakazem wznoszenia i utrzymywania obiektów budowlanych przeznaczonych na pobyt ludzi związanym z lokalizacją sieci przesyłowej,</w:t>
      </w:r>
    </w:p>
    <w:p w14:paraId="4990F4EB" w14:textId="77777777" w:rsidR="005438BA" w:rsidRPr="005438BA" w:rsidRDefault="005438BA" w:rsidP="005438BA">
      <w:pPr>
        <w:numPr>
          <w:ilvl w:val="0"/>
          <w:numId w:val="13"/>
        </w:numPr>
        <w:tabs>
          <w:tab w:val="left" w:pos="1134"/>
        </w:tabs>
        <w:spacing w:after="120" w:line="240" w:lineRule="auto"/>
        <w:ind w:left="1134"/>
        <w:contextualSpacing/>
        <w:jc w:val="both"/>
        <w:rPr>
          <w:rFonts w:cstheme="minorHAnsi"/>
          <w:sz w:val="28"/>
          <w:szCs w:val="28"/>
        </w:rPr>
      </w:pPr>
      <w:r w:rsidRPr="005438BA">
        <w:rPr>
          <w:rFonts w:cstheme="minorHAnsi"/>
          <w:sz w:val="28"/>
          <w:szCs w:val="28"/>
          <w:lang w:eastAsia="pl-PL"/>
        </w:rPr>
        <w:t xml:space="preserve">strefy kontrolowanej wyznaczonej po obu stronach gazociągu, </w:t>
      </w:r>
    </w:p>
    <w:p w14:paraId="5910BC07" w14:textId="77777777" w:rsidR="005438BA" w:rsidRPr="005438BA" w:rsidRDefault="005438BA" w:rsidP="005438BA">
      <w:pPr>
        <w:numPr>
          <w:ilvl w:val="0"/>
          <w:numId w:val="13"/>
        </w:numPr>
        <w:tabs>
          <w:tab w:val="left" w:pos="1134"/>
        </w:tabs>
        <w:spacing w:after="120" w:line="240" w:lineRule="auto"/>
        <w:ind w:left="1134"/>
        <w:contextualSpacing/>
        <w:jc w:val="both"/>
        <w:rPr>
          <w:rFonts w:cstheme="minorHAnsi"/>
          <w:sz w:val="28"/>
          <w:szCs w:val="28"/>
        </w:rPr>
      </w:pPr>
      <w:r w:rsidRPr="005438BA">
        <w:rPr>
          <w:rFonts w:cstheme="minorHAnsi"/>
          <w:sz w:val="28"/>
          <w:szCs w:val="28"/>
          <w:lang w:eastAsia="pl-PL"/>
        </w:rPr>
        <w:t>strefy bezpieczeństwa wyznaczonej po obu stronach rurociągu.</w:t>
      </w:r>
    </w:p>
    <w:p w14:paraId="720A3E85" w14:textId="5709757B"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W związku z tym, że teren inwestycji i sąsiednie działki dostępne z tej samej drogi publicznej, położone w granicach obszaru analizowanego, zabudowane są w sposób pozwalający na określenie wymagań dotyczących nowej zabudowy w</w:t>
      </w:r>
      <w:r>
        <w:rPr>
          <w:rFonts w:cstheme="minorHAnsi"/>
          <w:sz w:val="28"/>
          <w:szCs w:val="28"/>
        </w:rPr>
        <w:t> </w:t>
      </w:r>
      <w:r w:rsidRPr="005438BA">
        <w:rPr>
          <w:rFonts w:cstheme="minorHAnsi"/>
          <w:sz w:val="28"/>
          <w:szCs w:val="28"/>
        </w:rPr>
        <w:t xml:space="preserve">zakresie kontynuacji funkcji, ale także parametrów cech i wskaźników </w:t>
      </w:r>
      <w:r w:rsidRPr="005438BA">
        <w:rPr>
          <w:rFonts w:cstheme="minorHAnsi"/>
          <w:sz w:val="28"/>
          <w:szCs w:val="28"/>
        </w:rPr>
        <w:lastRenderedPageBreak/>
        <w:t>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w:t>
      </w:r>
      <w:r>
        <w:rPr>
          <w:rFonts w:cstheme="minorHAnsi"/>
          <w:sz w:val="28"/>
          <w:szCs w:val="28"/>
        </w:rPr>
        <w:t> </w:t>
      </w:r>
      <w:r w:rsidRPr="005438BA">
        <w:rPr>
          <w:rFonts w:cstheme="minorHAnsi"/>
          <w:sz w:val="28"/>
          <w:szCs w:val="28"/>
        </w:rPr>
        <w:t>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3CCD885D"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Planowana inwestycja (rozbudowa stacji tankowania LNG/CNG) stanowi kontynuację funkcji istniejącej na terenie działki o nr ewid. 22/8 oraz pełni funkcję uzupełniającą dla pozostałych terenów znajdujących się w obszarze analizowanym.</w:t>
      </w:r>
    </w:p>
    <w:p w14:paraId="33F5287C"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 xml:space="preserve">Ustalenia zawarte w niniejszej decyzji odpowiadają wymogom rozporządzenia Ministra Infrastruktury z dnia 26 sierpnia 2003 r. w sprawie sposobu ustalania wymagań dotyczących nowej zabudowy i zagospodarowania terenu w przypadku braku miejscowego planu zagospodarowania przestrzennego (Dz. U. Nr 164, poz. 1588, z 2021 r. poz. 2399), zwanego dalej rozporządzeniem. </w:t>
      </w:r>
    </w:p>
    <w:p w14:paraId="5F1EE893"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3FCD2CD7"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W orzecznictwie sądów administracyjnych co do zasady dominuje pogląd, że w decyzji o warunkach zabudowy nie określa się dokładnego usytuowania planowanego obiektu na działce inwestycyjnej, z wyjątkiem wyznaczenia linii zabudowy – obowiązującej bądź nieprzekraczalnej (wyrok WSA w Poznaniu z dnia 31.01.2019 r. sygn. akt II SA/Po 731/18).</w:t>
      </w:r>
    </w:p>
    <w:p w14:paraId="47D7A7D0" w14:textId="77777777" w:rsidR="005438BA" w:rsidRDefault="005438BA" w:rsidP="005438BA">
      <w:pPr>
        <w:spacing w:after="120" w:line="240" w:lineRule="auto"/>
        <w:ind w:firstLine="567"/>
        <w:jc w:val="both"/>
        <w:rPr>
          <w:rFonts w:cstheme="minorHAnsi"/>
          <w:sz w:val="28"/>
          <w:szCs w:val="28"/>
        </w:rPr>
      </w:pPr>
      <w:r w:rsidRPr="005438BA">
        <w:rPr>
          <w:rFonts w:cstheme="minorHAnsi"/>
          <w:sz w:val="28"/>
          <w:szCs w:val="28"/>
        </w:rPr>
        <w:t xml:space="preserve">Dla planowanej inwestycji ustalono nieprzekraczalną linię zabudowy wyznaczoną na działce objętej wnioskiem, w odległości 6,0 m od granicy z drogą gminną – działką o nr ewid. 27, obręb Dąbrowa, oznaczoną jako linię ciągłą, </w:t>
      </w:r>
      <w:r w:rsidRPr="005438BA">
        <w:rPr>
          <w:sz w:val="28"/>
        </w:rPr>
        <w:t>z umieszczonymi</w:t>
      </w:r>
      <w:r w:rsidRPr="005438BA">
        <w:rPr>
          <w:rFonts w:cstheme="minorHAnsi"/>
          <w:sz w:val="28"/>
          <w:szCs w:val="28"/>
        </w:rPr>
        <w:t xml:space="preserve"> stycznie niewypełnionymi trójkątami. </w:t>
      </w:r>
    </w:p>
    <w:p w14:paraId="17534E08" w14:textId="61CCF5DA"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lastRenderedPageBreak/>
        <w:t>Stosownie bowiem do § 3 ust. 3 rozporządzenia Ministra Infrastruktury z</w:t>
      </w:r>
      <w:r>
        <w:rPr>
          <w:rFonts w:cstheme="minorHAnsi"/>
          <w:sz w:val="28"/>
          <w:szCs w:val="28"/>
        </w:rPr>
        <w:t> </w:t>
      </w:r>
      <w:r w:rsidRPr="005438BA">
        <w:rPr>
          <w:rFonts w:cstheme="minorHAnsi"/>
          <w:sz w:val="28"/>
          <w:szCs w:val="28"/>
        </w:rPr>
        <w:t>dnia 26 sierpnia 2003 r. w sprawie oznaczeń i nazewnictwa stosowanych w</w:t>
      </w:r>
      <w:r>
        <w:rPr>
          <w:rFonts w:cstheme="minorHAnsi"/>
          <w:sz w:val="28"/>
          <w:szCs w:val="28"/>
        </w:rPr>
        <w:t> </w:t>
      </w:r>
      <w:r w:rsidRPr="005438BA">
        <w:rPr>
          <w:rFonts w:cstheme="minorHAnsi"/>
          <w:sz w:val="28"/>
          <w:szCs w:val="28"/>
        </w:rPr>
        <w:t xml:space="preserve">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71E536E9"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Wyznaczona w niniejszej decyzji linia zabudowy ma charakter nieprzekraczalnej, co oznacza, że określa ona jedynie maksymalny zasięg położenia planowanej zabudowy względem drogi gminnej</w:t>
      </w:r>
      <w:r w:rsidRPr="005438BA">
        <w:rPr>
          <w:rFonts w:cstheme="minorHAnsi"/>
          <w:color w:val="1F497D" w:themeColor="text2"/>
          <w:sz w:val="28"/>
          <w:szCs w:val="28"/>
        </w:rPr>
        <w:t xml:space="preserve">, </w:t>
      </w:r>
      <w:r w:rsidRPr="005438BA">
        <w:rPr>
          <w:rFonts w:cstheme="minorHAnsi"/>
          <w:sz w:val="28"/>
          <w:szCs w:val="28"/>
        </w:rPr>
        <w:t>nie przesądzając jednak o ostatecznej lokalizacji samej inwestycji na działce.</w:t>
      </w:r>
    </w:p>
    <w:p w14:paraId="017876B8"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Zgodnie z wyrokiem NSA z dnia 09.09.2020 r. sygn. akt II OSK 1184/20 „Organ ustalający warunki zabudowy jest związany wnioskiem inwestora co do rodzaju inwestycji, natomiast nie jest bezwzględnie związany poszczególnymi parametrami technicznymi, opisującymi planowany obiekt budowlany. Nie jest także wymagane by inwestor modyfikował wniosek w zależności od ustaleń analizy. Wydający ją organ ocenia dopuszczalność zmiany zagospodarowania terenu w świetle przepisów prawa oraz wskazuje warunki i zasady, którym planowana inwestycja powinna odpowiadać. To rzeczą organu administracji jest dokonanie, w oparciu o obowiązujące przepisy, ustaleń i określenie wymogów dla nowej zabudowy, przy czym wyniki tak przeprowadzonej analizy mogą doprowadzić do określenia warunków inwestycji w sposób odmienny od wstępnie proponowanej przez inwestora.”</w:t>
      </w:r>
    </w:p>
    <w:p w14:paraId="2259767C" w14:textId="77777777" w:rsidR="005438BA" w:rsidRDefault="005438BA" w:rsidP="005438BA">
      <w:pPr>
        <w:spacing w:after="120" w:line="240" w:lineRule="auto"/>
        <w:ind w:firstLine="567"/>
        <w:jc w:val="both"/>
        <w:rPr>
          <w:rFonts w:cstheme="minorHAnsi"/>
          <w:sz w:val="28"/>
          <w:szCs w:val="28"/>
        </w:rPr>
      </w:pPr>
      <w:r w:rsidRPr="005438BA">
        <w:rPr>
          <w:rFonts w:cstheme="minorHAnsi"/>
          <w:sz w:val="28"/>
          <w:szCs w:val="28"/>
        </w:rPr>
        <w:t>Wskaźnik wielkości powierzchni nowej zabudowy, oznacza stosunek sumy powierzchni rzutu poziomego budynków, mierzonej po zewnętrznym obrysie rzutu poziomego ścian zewnętrznych tych budynków zlokalizowanych na terenie do powierzchni tego terenu. Wskaźnik dla wnioskowanej inwestycji ustalono na podstawie wartości tego parametru w obszarze analizowanym, które zawierają się w przedziale od 0,7 % do 4,0 % - Wnioskodawca przewiduje budowę dwóch budynków (parownicy ciśnieniowej i kontenera AKPiA) o łącznej powierzchni 16 m</w:t>
      </w:r>
      <w:r w:rsidRPr="005438BA">
        <w:rPr>
          <w:rFonts w:cstheme="minorHAnsi"/>
          <w:sz w:val="28"/>
          <w:szCs w:val="28"/>
          <w:vertAlign w:val="superscript"/>
        </w:rPr>
        <w:t>2</w:t>
      </w:r>
      <w:r w:rsidRPr="005438BA">
        <w:rPr>
          <w:rFonts w:cstheme="minorHAnsi"/>
          <w:sz w:val="28"/>
          <w:szCs w:val="28"/>
        </w:rPr>
        <w:t xml:space="preserve">, co daje udział powierzchni zabudowy do powierzchni terenu inwestycji 1,1 %, który wskaźnik istniejący (0,7 %) zwiększy docelowo do 1,8 %. </w:t>
      </w:r>
    </w:p>
    <w:p w14:paraId="2DFBD5A1" w14:textId="77777777" w:rsidR="005438BA" w:rsidRDefault="005438BA" w:rsidP="005438BA">
      <w:pPr>
        <w:spacing w:after="120" w:line="240" w:lineRule="auto"/>
        <w:jc w:val="both"/>
        <w:rPr>
          <w:rFonts w:cstheme="minorHAnsi"/>
          <w:sz w:val="28"/>
          <w:szCs w:val="28"/>
        </w:rPr>
      </w:pPr>
    </w:p>
    <w:p w14:paraId="65FB9E8F" w14:textId="77777777" w:rsidR="005438BA" w:rsidRDefault="005438BA" w:rsidP="005438BA">
      <w:pPr>
        <w:spacing w:after="120" w:line="240" w:lineRule="auto"/>
        <w:jc w:val="both"/>
        <w:rPr>
          <w:rFonts w:cstheme="minorHAnsi"/>
          <w:sz w:val="28"/>
          <w:szCs w:val="28"/>
        </w:rPr>
      </w:pPr>
    </w:p>
    <w:p w14:paraId="056F1DE1" w14:textId="313F570F" w:rsidR="005438BA" w:rsidRPr="005438BA" w:rsidRDefault="005438BA" w:rsidP="005438BA">
      <w:pPr>
        <w:spacing w:after="120" w:line="240" w:lineRule="auto"/>
        <w:jc w:val="both"/>
        <w:rPr>
          <w:rFonts w:cstheme="minorHAnsi"/>
          <w:sz w:val="28"/>
          <w:szCs w:val="28"/>
        </w:rPr>
      </w:pPr>
      <w:r w:rsidRPr="005438BA">
        <w:rPr>
          <w:rFonts w:cstheme="minorHAnsi"/>
          <w:sz w:val="28"/>
          <w:szCs w:val="28"/>
        </w:rPr>
        <w:lastRenderedPageBreak/>
        <w:t>Końcowy wskaźnik najbardziej zbliżony jest do występującego na działce o nr ewid. 22/6, wynoszącego 1,1 % oraz na działce o nr ewid. 26/2, wynoszącego 4,0 %, zatem pod względem tego parametru inwestycja nie zaburzy ładu przestrzennego okolicy.</w:t>
      </w:r>
    </w:p>
    <w:p w14:paraId="4F6F1428" w14:textId="0AE37FBC"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Szerokość elewacji frontowej parownicy wysokociśnieniowej i kontenera wyznaczono na podstawie szerokości elewacji frontowych zabudowy istniejącej na działkach w obszarze analizowanym. Na podstawie średniej szerokości elewacji dla obszaru analizowanego z tolerancją ±20 %, przy średniej szerokości elewacji wynoszącej 6,3 m obiekty kubaturowe powinny charakteryzować się szerokościami od 5,0 m do 7,6 m. Wnioskowane szerokości elewacji frontowych parownicy (ca 1,4 m) i kontenera (ca 2,5 m) nie mieszczą się w ramach standardowo wyznaczonej wielkości, jednak mieszczą się w przedziale szerokości występujących w obszarze analizowanym, np. na działce o nr ewid. 22/8: 1,4 m i</w:t>
      </w:r>
      <w:r>
        <w:rPr>
          <w:rFonts w:cstheme="minorHAnsi"/>
          <w:sz w:val="28"/>
          <w:szCs w:val="28"/>
        </w:rPr>
        <w:t> </w:t>
      </w:r>
      <w:r w:rsidRPr="005438BA">
        <w:rPr>
          <w:rFonts w:cstheme="minorHAnsi"/>
          <w:sz w:val="28"/>
          <w:szCs w:val="28"/>
        </w:rPr>
        <w:t>3,4 m oraz 22/5: 2,3 m, przez co wpiszą się w harmonijny sposób w istniejący ład przestrzenny okolicy. Szerokość budynku znajdującego się natomiast na działce o nr ewid. 16,5 m, tak więc szerokość wiaty wynosząca ca 10,0 m zawierać się będzie w przedziale szerokości występujących w obszarze analizowanym i</w:t>
      </w:r>
      <w:r>
        <w:rPr>
          <w:rFonts w:cstheme="minorHAnsi"/>
          <w:sz w:val="28"/>
          <w:szCs w:val="28"/>
        </w:rPr>
        <w:t> </w:t>
      </w:r>
      <w:r w:rsidRPr="005438BA">
        <w:rPr>
          <w:rFonts w:cstheme="minorHAnsi"/>
          <w:sz w:val="28"/>
          <w:szCs w:val="28"/>
        </w:rPr>
        <w:t xml:space="preserve">również nie zaburzy zastanego ładu przestrzennego. </w:t>
      </w:r>
    </w:p>
    <w:p w14:paraId="73651DEC" w14:textId="4D87ABB4" w:rsidR="005438BA" w:rsidRPr="005438BA" w:rsidRDefault="005438BA" w:rsidP="005438BA">
      <w:pPr>
        <w:spacing w:after="120" w:line="240" w:lineRule="auto"/>
        <w:ind w:firstLine="567"/>
        <w:jc w:val="both"/>
        <w:rPr>
          <w:rFonts w:cs="Times New Roman"/>
          <w:sz w:val="28"/>
          <w:szCs w:val="28"/>
          <w:highlight w:val="yellow"/>
        </w:rPr>
      </w:pPr>
      <w:r w:rsidRPr="005438BA">
        <w:rPr>
          <w:rFonts w:cs="Times New Roman"/>
          <w:sz w:val="28"/>
          <w:szCs w:val="28"/>
        </w:rPr>
        <w:t xml:space="preserve">Wysokość górnej krawędzi elewacji frontowej, jej gzymsu lub attyki wyznacza się dla nowej zabudowy jako przedłużenie tych krawędzi odpowiednio do istniejącej zabudowy na działkach sąsiednich. Dopuszcza się wyznaczenie innej wysokości górnej krawędzi elewacji frontowej, jeżeli wynika to z analizy. </w:t>
      </w:r>
      <w:r w:rsidRPr="005438BA">
        <w:rPr>
          <w:sz w:val="28"/>
          <w:szCs w:val="28"/>
        </w:rPr>
        <w:t>Wysokości górnych krawędzi elewacji frontowych obiektów znajdujących się w</w:t>
      </w:r>
      <w:r>
        <w:rPr>
          <w:sz w:val="28"/>
          <w:szCs w:val="28"/>
        </w:rPr>
        <w:t> </w:t>
      </w:r>
      <w:r w:rsidRPr="005438BA">
        <w:rPr>
          <w:sz w:val="28"/>
          <w:szCs w:val="28"/>
        </w:rPr>
        <w:t>obszarze analizowanym wynoszą 2,0 m, 3,0 m i 7,0 m (na działce o nr ewid. 22/8), 2,5 m (na działce o nr ewid. 22/5), 4,5 m (na działce o nr ewid. 22/6) oraz 6,0 m (na działce o nr ewid. 26/2), a więc jest możliwość ustalenia wysokości parownicy i kontenera na poziomie 2,5 m i 6,2 m, co wynika z przeprowadzonej analizy</w:t>
      </w:r>
      <w:r w:rsidRPr="005438BA">
        <w:rPr>
          <w:rFonts w:cstheme="minorHAnsi"/>
          <w:sz w:val="28"/>
          <w:szCs w:val="28"/>
        </w:rPr>
        <w:t>. Wysokość projektowanej wiaty dostosowano do wysokości wiaty istniejącej na terenie inwestycji (od 6,0 m do 7,0 m)</w:t>
      </w:r>
    </w:p>
    <w:p w14:paraId="0939DF86" w14:textId="003ECC20" w:rsidR="005438BA" w:rsidRPr="005438BA" w:rsidRDefault="005438BA" w:rsidP="005438BA">
      <w:pPr>
        <w:spacing w:after="120" w:line="240" w:lineRule="auto"/>
        <w:ind w:firstLine="567"/>
        <w:jc w:val="both"/>
        <w:rPr>
          <w:rFonts w:cstheme="minorHAnsi"/>
          <w:sz w:val="28"/>
          <w:szCs w:val="28"/>
          <w:highlight w:val="yellow"/>
        </w:rPr>
      </w:pPr>
      <w:r w:rsidRPr="005438BA">
        <w:rPr>
          <w:rFonts w:cs="Times New Roman"/>
          <w:sz w:val="28"/>
          <w:szCs w:val="28"/>
        </w:rPr>
        <w:t>Geometrię dachu projektowanych obiektów ustalono odpowiednio do geometrii dachów występujących na obszarze analizowanym, w którym występują wyłącznie obiekty z dachami tzw. płaskimi, tj. o kącie nie większym niż 12</w:t>
      </w:r>
      <w:r w:rsidRPr="005438BA">
        <w:rPr>
          <w:rFonts w:cstheme="minorHAnsi"/>
          <w:sz w:val="28"/>
          <w:szCs w:val="28"/>
        </w:rPr>
        <w:t>° i wysokości całkowitej wynoszącej od 2,0 m do 6,5 m o wysokości wiaty ca 7,0 m. Możliwe jest zatem ustalenie geometrii dachu dla obiektów objętych wnioskowaną inwestycją: dachy o kącie nachylenia dachu nie większym niż 12° i</w:t>
      </w:r>
      <w:r>
        <w:rPr>
          <w:rFonts w:cstheme="minorHAnsi"/>
          <w:sz w:val="28"/>
          <w:szCs w:val="28"/>
        </w:rPr>
        <w:t> </w:t>
      </w:r>
      <w:r w:rsidRPr="005438BA">
        <w:rPr>
          <w:rFonts w:cstheme="minorHAnsi"/>
          <w:sz w:val="28"/>
          <w:szCs w:val="28"/>
        </w:rPr>
        <w:t>wysokości całkowitej parownicy od 6,0 m do 7,0 m, kontenera od 2,0 m do 3,0 m oraz wiaty od 6,0 m do 7,0 m, bowiem taka geometria dachu harmonijnie wpisze się w sąsiadującą zabudowę.</w:t>
      </w:r>
    </w:p>
    <w:p w14:paraId="0C40C3AB" w14:textId="77777777" w:rsidR="005438BA" w:rsidRPr="005438BA" w:rsidRDefault="005438BA" w:rsidP="005438BA">
      <w:pPr>
        <w:spacing w:after="120" w:line="240" w:lineRule="auto"/>
        <w:ind w:firstLine="567"/>
        <w:jc w:val="both"/>
        <w:rPr>
          <w:rFonts w:cstheme="minorHAnsi"/>
          <w:sz w:val="28"/>
          <w:szCs w:val="28"/>
        </w:rPr>
      </w:pPr>
    </w:p>
    <w:p w14:paraId="55232174"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lastRenderedPageBreak/>
        <w:t xml:space="preserve">Wnioskodawca w pkt 8.2 wniosku określił, że nie przewiduje się lokalizacji miejsc postojowych dla planowanej inwestycji. Stosownie do § 2 pkt 6 rozporządzenia Ministra Infrastruktury z dnia 26 sierpnia 2003 r. w sprawie oznaczeń i nazewnictwa stosowanych w decyzji o ustaleniu lokalizacji inwestycji celu publicznego oraz w decyzji o warunkach zabudowy (Dz. U. Nr 64, poz. 1589)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3FC74664"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W niniejszej decyzji Burmistrz Śremu nie określił zasad związanych z lokalizacją miejsc parkingowych na terenie inwestycji, bowiem ze względu na specyfikę inwestycji (rozbudowa istniejącej stacji) infrastruktura konieczna do funkcjonowania stacji już istnieje, nie zachodzi konieczność zapewnienia dodatkowych miejsc parkingowych.</w:t>
      </w:r>
    </w:p>
    <w:p w14:paraId="5AE44FB4"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Planowane przedsięwzięcie zostało zakwalifikowane do przedsięwzięć mogących potencjalnie znacząco oddziaływać na środowisko, o których mowa w rozporządzeniu Rady Ministrów z dnia 10 września 2019 r. w sprawie przedsięwzięć mogących znacząco oddziaływać na środowisko (Dz. U. poz. 1839, z 2022 r. poz. 1071, z 2023 r. poz. 1724). W związku z tym dla planowanego przedsięwzięcia została wydana przez Burmistrza Śremu decyzja z 18.03.2024 r. o środowiskowych uwarunkowaniach określająca środowiskowe uwarunkowania realizacji przedsięwzięcia. W ramach postępowania nie została przeprowadzona ocena oddziaływania przedsięwzięcia na środowisko.</w:t>
      </w:r>
    </w:p>
    <w:p w14:paraId="42D284CC" w14:textId="77777777" w:rsidR="005438BA" w:rsidRDefault="005438BA" w:rsidP="005438BA">
      <w:pPr>
        <w:widowControl w:val="0"/>
        <w:autoSpaceDE w:val="0"/>
        <w:spacing w:after="120" w:line="240" w:lineRule="auto"/>
        <w:ind w:firstLine="567"/>
        <w:jc w:val="both"/>
        <w:rPr>
          <w:rFonts w:cs="Times New Roman"/>
          <w:sz w:val="28"/>
          <w:szCs w:val="28"/>
        </w:rPr>
      </w:pPr>
      <w:r w:rsidRPr="005438BA">
        <w:rPr>
          <w:rFonts w:cs="Times New Roman"/>
          <w:sz w:val="28"/>
          <w:szCs w:val="28"/>
        </w:rPr>
        <w:t>Projekt decyzji wymagał uzgodnienia z organem, o którym mowa w art. 53 ust. 4 pkt 2a, w związku z art. 64 ust. 1 u.p.z.p., a mianowicie z Państwowym Powiatowym Inspektorem Sanitarnym w Śremie.</w:t>
      </w:r>
    </w:p>
    <w:p w14:paraId="4C43F9B4" w14:textId="77777777" w:rsidR="005438BA" w:rsidRPr="005438BA" w:rsidRDefault="005438BA" w:rsidP="005438BA">
      <w:pPr>
        <w:widowControl w:val="0"/>
        <w:autoSpaceDE w:val="0"/>
        <w:spacing w:after="120" w:line="240" w:lineRule="auto"/>
        <w:ind w:firstLine="567"/>
        <w:jc w:val="both"/>
        <w:rPr>
          <w:rFonts w:cs="Times New Roman"/>
          <w:sz w:val="28"/>
          <w:szCs w:val="28"/>
        </w:rPr>
      </w:pPr>
    </w:p>
    <w:p w14:paraId="213D67AB" w14:textId="77777777" w:rsidR="005438BA" w:rsidRPr="005438BA" w:rsidRDefault="005438BA" w:rsidP="005438BA">
      <w:pPr>
        <w:widowControl w:val="0"/>
        <w:autoSpaceDE w:val="0"/>
        <w:spacing w:after="120" w:line="240" w:lineRule="auto"/>
        <w:ind w:firstLine="567"/>
        <w:jc w:val="both"/>
        <w:rPr>
          <w:rFonts w:cs="Times New Roman"/>
          <w:sz w:val="28"/>
          <w:szCs w:val="28"/>
        </w:rPr>
      </w:pPr>
      <w:r w:rsidRPr="005438BA">
        <w:rPr>
          <w:rFonts w:cstheme="minorHAnsi"/>
          <w:sz w:val="28"/>
          <w:szCs w:val="28"/>
        </w:rPr>
        <w:lastRenderedPageBreak/>
        <w:t>Projekt decyzji wymagał uzyskania stanowiska zarządcy drogi gminnej – działki o nr ewid. 27, którym jest Burmistrz Śremu, w ramach wewnętrznej procedury.</w:t>
      </w:r>
    </w:p>
    <w:p w14:paraId="4BBED1A1" w14:textId="77777777" w:rsidR="005438BA" w:rsidRPr="005438BA" w:rsidRDefault="005438BA" w:rsidP="005438BA">
      <w:pPr>
        <w:widowControl w:val="0"/>
        <w:autoSpaceDE w:val="0"/>
        <w:spacing w:after="120" w:line="240" w:lineRule="auto"/>
        <w:ind w:firstLine="567"/>
        <w:jc w:val="both"/>
        <w:rPr>
          <w:rFonts w:cstheme="minorHAnsi"/>
          <w:sz w:val="28"/>
          <w:szCs w:val="28"/>
        </w:rPr>
      </w:pPr>
      <w:r w:rsidRPr="005438BA">
        <w:rPr>
          <w:rFonts w:cstheme="minorHAnsi"/>
          <w:sz w:val="28"/>
          <w:szCs w:val="28"/>
        </w:rPr>
        <w:t>Projekt decyzji nie wymagał zaopiniowania przez operatorów, o których mowa w art. 53 ust. 5e w związku z art. 64 ust. 1 u.p.z.p.</w:t>
      </w:r>
    </w:p>
    <w:p w14:paraId="727CE467" w14:textId="77777777" w:rsidR="005438BA" w:rsidRPr="005438BA" w:rsidRDefault="005438BA" w:rsidP="005438BA">
      <w:pPr>
        <w:widowControl w:val="0"/>
        <w:autoSpaceDE w:val="0"/>
        <w:spacing w:after="120" w:line="240" w:lineRule="auto"/>
        <w:ind w:firstLine="567"/>
        <w:jc w:val="both"/>
        <w:rPr>
          <w:rFonts w:cstheme="minorHAnsi"/>
          <w:sz w:val="28"/>
          <w:szCs w:val="28"/>
        </w:rPr>
      </w:pPr>
      <w:r w:rsidRPr="005438BA">
        <w:rPr>
          <w:rFonts w:cstheme="minorHAnsi"/>
          <w:sz w:val="28"/>
          <w:szCs w:val="28"/>
        </w:rPr>
        <w:t>Ponadto, decyzja nie wymagała wcześniejszego uzyskania decyzji wymaganych przepisami odrębnymi, p</w:t>
      </w:r>
      <w:r w:rsidRPr="005438BA">
        <w:rPr>
          <w:rFonts w:ascii="Calibri" w:hAnsi="Calibri"/>
          <w:sz w:val="28"/>
          <w:szCs w:val="28"/>
        </w:rPr>
        <w:t>oza ww. decyzją o środowiskowych uwarunkowaniach</w:t>
      </w:r>
      <w:r w:rsidRPr="005438BA">
        <w:rPr>
          <w:rFonts w:cstheme="minorHAnsi"/>
          <w:sz w:val="28"/>
          <w:szCs w:val="28"/>
        </w:rPr>
        <w:t>.</w:t>
      </w:r>
    </w:p>
    <w:p w14:paraId="3C53383B" w14:textId="77777777" w:rsidR="005438BA" w:rsidRPr="005438BA" w:rsidRDefault="005438BA" w:rsidP="005438BA">
      <w:pPr>
        <w:widowControl w:val="0"/>
        <w:autoSpaceDE w:val="0"/>
        <w:spacing w:after="120" w:line="240" w:lineRule="auto"/>
        <w:ind w:firstLine="567"/>
        <w:jc w:val="both"/>
        <w:rPr>
          <w:rFonts w:cstheme="minorHAnsi"/>
          <w:sz w:val="28"/>
        </w:rPr>
      </w:pPr>
      <w:r w:rsidRPr="005438BA">
        <w:rPr>
          <w:rFonts w:cstheme="minorHAnsi"/>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5FA1102A" w14:textId="77777777" w:rsidR="005438BA" w:rsidRPr="005438BA" w:rsidRDefault="005438BA" w:rsidP="005438BA">
      <w:pPr>
        <w:widowControl w:val="0"/>
        <w:autoSpaceDE w:val="0"/>
        <w:spacing w:after="120" w:line="240" w:lineRule="auto"/>
        <w:ind w:firstLine="567"/>
        <w:jc w:val="both"/>
        <w:rPr>
          <w:rFonts w:cstheme="minorHAnsi"/>
          <w:sz w:val="28"/>
        </w:rPr>
      </w:pPr>
      <w:r w:rsidRPr="005438BA">
        <w:rPr>
          <w:rFonts w:cstheme="minorHAnsi"/>
          <w:sz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bookmarkStart w:id="5" w:name="_Hlk92801010"/>
    </w:p>
    <w:bookmarkEnd w:id="5"/>
    <w:p w14:paraId="39A590C7" w14:textId="77777777" w:rsidR="005438BA" w:rsidRDefault="005438BA" w:rsidP="005438BA">
      <w:pPr>
        <w:widowControl w:val="0"/>
        <w:autoSpaceDE w:val="0"/>
        <w:spacing w:after="120" w:line="240" w:lineRule="auto"/>
        <w:ind w:firstLine="567"/>
        <w:jc w:val="both"/>
        <w:rPr>
          <w:rFonts w:cstheme="minorHAnsi"/>
          <w:sz w:val="28"/>
        </w:rPr>
      </w:pPr>
      <w:r w:rsidRPr="005438BA">
        <w:rPr>
          <w:rFonts w:cstheme="minorHAnsi"/>
          <w:sz w:val="28"/>
        </w:rPr>
        <w:t xml:space="preserve">W związku z charakterem i skalą inwestycji, położeniem jej wśród terenów niezainwestowanych oraz faktem, iż przedsięwzięcie polegać będzie na rozbudowie istniejącej stacji tankowania, zakresem oddziaływania planowanej inwestycji objęty jest teren: część działki objęta wnioskiem oraz działki bezpośrednio z nim graniczące z wyjątkiem drogi publicznej. </w:t>
      </w:r>
    </w:p>
    <w:p w14:paraId="395D03CD" w14:textId="77777777" w:rsidR="005438BA" w:rsidRDefault="005438BA" w:rsidP="005438BA">
      <w:pPr>
        <w:widowControl w:val="0"/>
        <w:autoSpaceDE w:val="0"/>
        <w:spacing w:after="120" w:line="240" w:lineRule="auto"/>
        <w:ind w:firstLine="567"/>
        <w:jc w:val="both"/>
        <w:rPr>
          <w:rFonts w:cstheme="minorHAnsi"/>
          <w:sz w:val="28"/>
        </w:rPr>
      </w:pPr>
    </w:p>
    <w:p w14:paraId="62A96150" w14:textId="77777777" w:rsidR="005438BA" w:rsidRPr="005438BA" w:rsidRDefault="005438BA" w:rsidP="005438BA">
      <w:pPr>
        <w:widowControl w:val="0"/>
        <w:autoSpaceDE w:val="0"/>
        <w:spacing w:after="120" w:line="240" w:lineRule="auto"/>
        <w:ind w:firstLine="567"/>
        <w:jc w:val="both"/>
        <w:rPr>
          <w:rFonts w:cstheme="minorHAnsi"/>
          <w:sz w:val="28"/>
        </w:rPr>
      </w:pPr>
    </w:p>
    <w:p w14:paraId="1FAFECA0" w14:textId="77777777" w:rsidR="005438BA" w:rsidRPr="005438BA" w:rsidRDefault="005438BA" w:rsidP="005438BA">
      <w:pPr>
        <w:widowControl w:val="0"/>
        <w:autoSpaceDE w:val="0"/>
        <w:spacing w:after="120" w:line="240" w:lineRule="auto"/>
        <w:ind w:firstLine="567"/>
        <w:jc w:val="both"/>
        <w:rPr>
          <w:rFonts w:cstheme="minorHAnsi"/>
          <w:sz w:val="28"/>
        </w:rPr>
      </w:pPr>
      <w:r w:rsidRPr="005438BA">
        <w:rPr>
          <w:rFonts w:cstheme="minorHAnsi"/>
          <w:sz w:val="28"/>
        </w:rPr>
        <w:lastRenderedPageBreak/>
        <w:t>Biorąc powyższe pod uwagę za strony postępowania został uznany wnioskodawca, będący zarazem jedynym właścicielem terenu inwestycji i ww. działek z nim graniczących.</w:t>
      </w:r>
    </w:p>
    <w:p w14:paraId="3B1570CB" w14:textId="77777777" w:rsidR="005438BA" w:rsidRPr="005438BA" w:rsidRDefault="005438BA" w:rsidP="005438BA">
      <w:pPr>
        <w:tabs>
          <w:tab w:val="left" w:pos="851"/>
        </w:tabs>
        <w:spacing w:after="120" w:line="240" w:lineRule="auto"/>
        <w:ind w:firstLine="567"/>
        <w:jc w:val="both"/>
        <w:rPr>
          <w:rFonts w:cstheme="minorHAnsi"/>
          <w:sz w:val="28"/>
        </w:rPr>
      </w:pPr>
      <w:r w:rsidRPr="005438BA">
        <w:rPr>
          <w:rFonts w:cstheme="minorHAnsi"/>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4094FE34" w14:textId="77777777" w:rsidR="005438BA" w:rsidRPr="005438BA" w:rsidRDefault="005438BA" w:rsidP="005438BA">
      <w:pPr>
        <w:tabs>
          <w:tab w:val="left" w:pos="851"/>
        </w:tabs>
        <w:spacing w:after="120" w:line="240" w:lineRule="auto"/>
        <w:ind w:firstLine="567"/>
        <w:jc w:val="both"/>
        <w:rPr>
          <w:rFonts w:cstheme="minorHAnsi"/>
          <w:sz w:val="28"/>
          <w:szCs w:val="28"/>
        </w:rPr>
      </w:pPr>
      <w:r w:rsidRPr="005438BA">
        <w:rPr>
          <w:rFonts w:cstheme="minorHAnsi"/>
          <w:sz w:val="28"/>
          <w:szCs w:val="28"/>
        </w:rPr>
        <w:t xml:space="preserve">Stosownie do art. 56, w związku z art. 64 u.p.z.p. nie można odmówić ustalenia warunków zabudowy, jeżeli zamierzenie inwestycyjne jest zgodne z przepisami odrębnymi. </w:t>
      </w:r>
    </w:p>
    <w:p w14:paraId="2EE8DE4B" w14:textId="77777777" w:rsidR="005438BA" w:rsidRPr="005438BA" w:rsidRDefault="005438BA" w:rsidP="005438BA">
      <w:pPr>
        <w:tabs>
          <w:tab w:val="left" w:pos="851"/>
        </w:tabs>
        <w:spacing w:after="120" w:line="240" w:lineRule="auto"/>
        <w:ind w:firstLine="567"/>
        <w:jc w:val="both"/>
        <w:rPr>
          <w:rFonts w:cstheme="minorHAnsi"/>
          <w:sz w:val="28"/>
          <w:szCs w:val="28"/>
        </w:rPr>
      </w:pPr>
      <w:r w:rsidRPr="005438BA">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36A4AF13"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W związku z powyższym orzeczono jak w sentencji.</w:t>
      </w:r>
    </w:p>
    <w:p w14:paraId="66DD3ED9" w14:textId="77777777" w:rsidR="005438BA" w:rsidRPr="005438BA" w:rsidRDefault="005438BA" w:rsidP="005438BA">
      <w:pPr>
        <w:spacing w:after="120" w:line="240" w:lineRule="auto"/>
        <w:jc w:val="center"/>
        <w:rPr>
          <w:rFonts w:cstheme="minorHAnsi"/>
          <w:sz w:val="28"/>
          <w:szCs w:val="28"/>
        </w:rPr>
      </w:pPr>
      <w:r w:rsidRPr="005438BA">
        <w:rPr>
          <w:rFonts w:cstheme="minorHAnsi"/>
          <w:sz w:val="28"/>
          <w:szCs w:val="28"/>
        </w:rPr>
        <w:t>Pouczenie</w:t>
      </w:r>
    </w:p>
    <w:p w14:paraId="50C0E798"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Stosownie do art. 63 pkt 2 u.p.z.p. decyzja o warunkach zabudowy nie rodzi praw do terenu oraz nie narusza prawa własności i uprawnień osób trzecich.</w:t>
      </w:r>
    </w:p>
    <w:p w14:paraId="1381871E"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Od niniejszej decyzji służy stronom prawo wniesienia odwołania do Samorządowego Kolegium Odwoławczego w Poznaniu, za moim pośrednictwem, w terminie 14 dni od dnia doręczenia.</w:t>
      </w:r>
    </w:p>
    <w:p w14:paraId="6B2935A7" w14:textId="77777777" w:rsidR="005438BA" w:rsidRPr="005438BA" w:rsidRDefault="005438BA" w:rsidP="005438BA">
      <w:pPr>
        <w:spacing w:after="120" w:line="240" w:lineRule="auto"/>
        <w:ind w:firstLine="567"/>
        <w:jc w:val="both"/>
        <w:rPr>
          <w:rFonts w:cstheme="minorHAnsi"/>
          <w:sz w:val="28"/>
          <w:szCs w:val="28"/>
        </w:rPr>
      </w:pPr>
      <w:r w:rsidRPr="005438BA">
        <w:rPr>
          <w:rFonts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26FC4ADF" w14:textId="77777777" w:rsidR="005438BA" w:rsidRDefault="005438BA" w:rsidP="005438BA">
      <w:pPr>
        <w:spacing w:after="120" w:line="240" w:lineRule="auto"/>
        <w:ind w:firstLine="567"/>
        <w:jc w:val="both"/>
        <w:rPr>
          <w:rFonts w:cstheme="minorHAnsi"/>
          <w:sz w:val="28"/>
          <w:szCs w:val="28"/>
        </w:rPr>
      </w:pPr>
      <w:r w:rsidRPr="005438BA">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49363717" w14:textId="77777777" w:rsidR="005438BA" w:rsidRDefault="005438BA" w:rsidP="005438BA">
      <w:pPr>
        <w:spacing w:after="120" w:line="240" w:lineRule="auto"/>
        <w:ind w:firstLine="567"/>
        <w:jc w:val="both"/>
        <w:rPr>
          <w:rFonts w:cstheme="minorHAnsi"/>
          <w:sz w:val="28"/>
          <w:szCs w:val="28"/>
        </w:rPr>
      </w:pPr>
    </w:p>
    <w:p w14:paraId="64CAADF9" w14:textId="77777777" w:rsidR="005438BA" w:rsidRDefault="005438BA" w:rsidP="005438BA">
      <w:pPr>
        <w:spacing w:after="120" w:line="240" w:lineRule="auto"/>
        <w:ind w:firstLine="567"/>
        <w:jc w:val="both"/>
        <w:rPr>
          <w:rFonts w:cstheme="minorHAnsi"/>
          <w:sz w:val="28"/>
          <w:szCs w:val="28"/>
        </w:rPr>
      </w:pPr>
    </w:p>
    <w:p w14:paraId="4B815191" w14:textId="77777777" w:rsidR="005438BA" w:rsidRDefault="005438BA" w:rsidP="005438BA">
      <w:pPr>
        <w:spacing w:after="120" w:line="240" w:lineRule="auto"/>
        <w:ind w:firstLine="567"/>
        <w:jc w:val="both"/>
        <w:rPr>
          <w:rFonts w:cstheme="minorHAnsi"/>
          <w:sz w:val="28"/>
          <w:szCs w:val="28"/>
        </w:rPr>
      </w:pPr>
    </w:p>
    <w:p w14:paraId="4A3FE824" w14:textId="77777777" w:rsidR="005438BA" w:rsidRDefault="005438BA" w:rsidP="005438BA">
      <w:pPr>
        <w:spacing w:after="120" w:line="240" w:lineRule="auto"/>
        <w:ind w:firstLine="567"/>
        <w:jc w:val="both"/>
        <w:rPr>
          <w:rFonts w:cstheme="minorHAnsi"/>
          <w:sz w:val="28"/>
          <w:szCs w:val="28"/>
        </w:rPr>
      </w:pPr>
    </w:p>
    <w:p w14:paraId="383A79E4" w14:textId="77777777" w:rsidR="005438BA" w:rsidRDefault="005438BA" w:rsidP="005438BA">
      <w:pPr>
        <w:spacing w:after="120" w:line="240" w:lineRule="auto"/>
        <w:ind w:firstLine="567"/>
        <w:jc w:val="both"/>
        <w:rPr>
          <w:rFonts w:cstheme="minorHAnsi"/>
          <w:sz w:val="28"/>
          <w:szCs w:val="28"/>
        </w:rPr>
      </w:pPr>
    </w:p>
    <w:p w14:paraId="0A5691BC" w14:textId="77777777" w:rsidR="005438BA" w:rsidRPr="005438BA" w:rsidRDefault="005438BA" w:rsidP="005438BA">
      <w:pPr>
        <w:spacing w:after="120" w:line="240" w:lineRule="auto"/>
        <w:ind w:firstLine="567"/>
        <w:jc w:val="both"/>
        <w:rPr>
          <w:rFonts w:cstheme="minorHAnsi"/>
          <w:sz w:val="28"/>
          <w:szCs w:val="28"/>
        </w:rPr>
      </w:pPr>
    </w:p>
    <w:p w14:paraId="685D0975" w14:textId="77777777" w:rsidR="005438BA" w:rsidRPr="005438BA" w:rsidRDefault="005438BA" w:rsidP="005438BA">
      <w:pPr>
        <w:widowControl w:val="0"/>
        <w:autoSpaceDE w:val="0"/>
        <w:autoSpaceDN w:val="0"/>
        <w:adjustRightInd w:val="0"/>
        <w:spacing w:after="120" w:line="240" w:lineRule="auto"/>
        <w:ind w:right="-1" w:firstLine="567"/>
        <w:jc w:val="both"/>
        <w:rPr>
          <w:rFonts w:cstheme="minorHAnsi"/>
          <w:sz w:val="28"/>
          <w:szCs w:val="28"/>
        </w:rPr>
      </w:pPr>
      <w:r w:rsidRPr="005438BA">
        <w:rPr>
          <w:rFonts w:cstheme="minorHAnsi"/>
          <w:sz w:val="28"/>
          <w:szCs w:val="28"/>
        </w:rPr>
        <w:lastRenderedPageBreak/>
        <w:t>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wnosi się za pośrednictwem Burmistrza Śremu w terminie 14 dni od dnia doręczenia decyzji o warunkach zabudowy. Żądanie wniesione po terminie pozostawia się bez rozpoznania.</w:t>
      </w:r>
    </w:p>
    <w:p w14:paraId="169BEB4F" w14:textId="77777777" w:rsidR="005438BA" w:rsidRDefault="005438BA" w:rsidP="005438BA">
      <w:pPr>
        <w:spacing w:after="0" w:line="240" w:lineRule="auto"/>
        <w:ind w:left="3540"/>
        <w:jc w:val="center"/>
        <w:rPr>
          <w:rFonts w:ascii="Calibri" w:hAnsi="Calibri" w:cs="Calibri"/>
          <w:sz w:val="28"/>
          <w:szCs w:val="28"/>
        </w:rPr>
      </w:pPr>
    </w:p>
    <w:p w14:paraId="362E7F1D" w14:textId="2BBD70BF" w:rsidR="005438BA" w:rsidRDefault="00CA2549" w:rsidP="005438BA">
      <w:pPr>
        <w:spacing w:after="0" w:line="240" w:lineRule="auto"/>
        <w:ind w:left="3540"/>
        <w:jc w:val="center"/>
        <w:rPr>
          <w:rFonts w:ascii="Calibri" w:hAnsi="Calibri" w:cs="Calibri"/>
          <w:sz w:val="28"/>
          <w:szCs w:val="28"/>
        </w:rPr>
      </w:pPr>
      <w:r>
        <w:rPr>
          <w:rFonts w:ascii="Calibri" w:hAnsi="Calibri" w:cs="Calibri"/>
          <w:sz w:val="28"/>
          <w:szCs w:val="28"/>
        </w:rPr>
        <w:t xml:space="preserve">(-) </w:t>
      </w:r>
      <w:r w:rsidR="005438BA">
        <w:rPr>
          <w:rFonts w:ascii="Calibri" w:hAnsi="Calibri" w:cs="Calibri"/>
          <w:sz w:val="28"/>
          <w:szCs w:val="28"/>
        </w:rPr>
        <w:t>z up. BURMISTRZA</w:t>
      </w:r>
    </w:p>
    <w:p w14:paraId="30CF5B25" w14:textId="77777777" w:rsidR="005438BA" w:rsidRDefault="005438BA" w:rsidP="005438BA">
      <w:pPr>
        <w:spacing w:after="0" w:line="240" w:lineRule="auto"/>
        <w:ind w:left="3540"/>
        <w:jc w:val="center"/>
        <w:rPr>
          <w:rFonts w:ascii="Calibri" w:hAnsi="Calibri" w:cs="Calibri"/>
          <w:sz w:val="28"/>
          <w:szCs w:val="28"/>
        </w:rPr>
      </w:pPr>
      <w:r>
        <w:rPr>
          <w:rFonts w:ascii="Calibri" w:hAnsi="Calibri" w:cs="Calibri"/>
          <w:sz w:val="28"/>
          <w:szCs w:val="28"/>
        </w:rPr>
        <w:t>Katarzyna Bednarowicz</w:t>
      </w:r>
    </w:p>
    <w:p w14:paraId="4082D931" w14:textId="77777777" w:rsidR="005438BA" w:rsidRDefault="005438BA" w:rsidP="005438BA">
      <w:pPr>
        <w:spacing w:after="0" w:line="240" w:lineRule="auto"/>
        <w:ind w:left="3540"/>
        <w:jc w:val="center"/>
        <w:rPr>
          <w:rFonts w:ascii="Calibri" w:hAnsi="Calibri" w:cs="Calibri"/>
          <w:sz w:val="28"/>
          <w:szCs w:val="28"/>
        </w:rPr>
      </w:pPr>
      <w:r>
        <w:rPr>
          <w:rFonts w:ascii="Calibri" w:hAnsi="Calibri" w:cs="Calibri"/>
          <w:sz w:val="28"/>
          <w:szCs w:val="28"/>
        </w:rPr>
        <w:t>naczelnik Pionu Gospodarowania</w:t>
      </w:r>
    </w:p>
    <w:p w14:paraId="5440CCF5" w14:textId="3FDA9B41" w:rsidR="005438BA" w:rsidRPr="005438BA" w:rsidRDefault="005438BA" w:rsidP="005438BA">
      <w:pPr>
        <w:spacing w:after="0" w:line="240" w:lineRule="auto"/>
        <w:ind w:left="3540"/>
        <w:jc w:val="center"/>
        <w:rPr>
          <w:rFonts w:cstheme="minorHAnsi"/>
          <w:sz w:val="28"/>
          <w:szCs w:val="28"/>
        </w:rPr>
      </w:pPr>
      <w:r>
        <w:rPr>
          <w:rFonts w:ascii="Calibri" w:hAnsi="Calibri" w:cs="Calibri"/>
          <w:sz w:val="28"/>
          <w:szCs w:val="28"/>
        </w:rPr>
        <w:t>Przestrzenią i Środowiskiem</w:t>
      </w:r>
    </w:p>
    <w:p w14:paraId="5503ABB8" w14:textId="77777777" w:rsidR="005438BA" w:rsidRPr="005438BA" w:rsidRDefault="005438BA" w:rsidP="005438BA">
      <w:pPr>
        <w:widowControl w:val="0"/>
        <w:autoSpaceDE w:val="0"/>
        <w:autoSpaceDN w:val="0"/>
        <w:adjustRightInd w:val="0"/>
        <w:spacing w:after="120" w:line="240" w:lineRule="auto"/>
        <w:ind w:right="-1"/>
        <w:jc w:val="both"/>
        <w:rPr>
          <w:rFonts w:cstheme="minorHAnsi"/>
          <w:sz w:val="28"/>
          <w:szCs w:val="28"/>
        </w:rPr>
      </w:pPr>
    </w:p>
    <w:p w14:paraId="6672B481" w14:textId="77777777" w:rsidR="005438BA" w:rsidRPr="005438BA" w:rsidRDefault="005438BA" w:rsidP="005438BA">
      <w:pPr>
        <w:widowControl w:val="0"/>
        <w:autoSpaceDE w:val="0"/>
        <w:autoSpaceDN w:val="0"/>
        <w:adjustRightInd w:val="0"/>
        <w:spacing w:after="120" w:line="240" w:lineRule="auto"/>
        <w:ind w:right="-1"/>
        <w:jc w:val="both"/>
        <w:rPr>
          <w:rFonts w:cstheme="minorHAnsi"/>
          <w:sz w:val="28"/>
          <w:szCs w:val="28"/>
        </w:rPr>
      </w:pPr>
      <w:r w:rsidRPr="005438BA">
        <w:rPr>
          <w:rFonts w:cstheme="minorHAnsi"/>
          <w:sz w:val="28"/>
          <w:szCs w:val="28"/>
        </w:rPr>
        <w:t>Załączniki:</w:t>
      </w:r>
    </w:p>
    <w:p w14:paraId="5983AD60" w14:textId="77777777" w:rsidR="005438BA" w:rsidRPr="005438BA" w:rsidRDefault="005438BA" w:rsidP="005438BA">
      <w:pPr>
        <w:numPr>
          <w:ilvl w:val="0"/>
          <w:numId w:val="11"/>
        </w:numPr>
        <w:spacing w:after="120" w:line="240" w:lineRule="auto"/>
        <w:ind w:right="-1"/>
        <w:jc w:val="both"/>
        <w:rPr>
          <w:rFonts w:cstheme="minorHAnsi"/>
          <w:sz w:val="28"/>
          <w:szCs w:val="28"/>
        </w:rPr>
      </w:pPr>
      <w:r w:rsidRPr="005438BA">
        <w:rPr>
          <w:rFonts w:cstheme="minorHAnsi"/>
          <w:sz w:val="28"/>
          <w:szCs w:val="28"/>
        </w:rPr>
        <w:t>załącznik nr 1 – część graficzna decyzji,</w:t>
      </w:r>
    </w:p>
    <w:p w14:paraId="2B9F2706" w14:textId="77777777" w:rsidR="005438BA" w:rsidRPr="005438BA" w:rsidRDefault="005438BA" w:rsidP="005438BA">
      <w:pPr>
        <w:numPr>
          <w:ilvl w:val="0"/>
          <w:numId w:val="11"/>
        </w:numPr>
        <w:spacing w:after="120" w:line="240" w:lineRule="auto"/>
        <w:ind w:right="-1"/>
        <w:jc w:val="both"/>
        <w:rPr>
          <w:rFonts w:cstheme="minorHAnsi"/>
          <w:sz w:val="28"/>
          <w:szCs w:val="28"/>
        </w:rPr>
      </w:pPr>
      <w:r w:rsidRPr="005438BA">
        <w:rPr>
          <w:rFonts w:cstheme="minorHAnsi"/>
          <w:sz w:val="28"/>
          <w:szCs w:val="28"/>
        </w:rPr>
        <w:t>załącznik nr 2 – część tekstowa wyników analizy funkcji oraz cech zabudowy i zagospodarowania terenu,</w:t>
      </w:r>
    </w:p>
    <w:p w14:paraId="13A8E148" w14:textId="77777777" w:rsidR="005438BA" w:rsidRPr="005438BA" w:rsidRDefault="005438BA" w:rsidP="005438BA">
      <w:pPr>
        <w:numPr>
          <w:ilvl w:val="0"/>
          <w:numId w:val="11"/>
        </w:numPr>
        <w:spacing w:after="120" w:line="240" w:lineRule="auto"/>
        <w:ind w:right="-1"/>
        <w:jc w:val="both"/>
        <w:rPr>
          <w:rFonts w:cstheme="minorHAnsi"/>
          <w:sz w:val="28"/>
          <w:szCs w:val="28"/>
        </w:rPr>
      </w:pPr>
      <w:r w:rsidRPr="005438BA">
        <w:rPr>
          <w:rFonts w:cstheme="minorHAnsi"/>
          <w:sz w:val="28"/>
          <w:szCs w:val="28"/>
        </w:rPr>
        <w:t>załącznik nr 3 – część graficzna wyników analizy funkcji oraz cech zabudowy i zagospodarowania terenu.</w:t>
      </w:r>
    </w:p>
    <w:p w14:paraId="50D7414D" w14:textId="77777777" w:rsidR="005438BA" w:rsidRPr="005438BA" w:rsidRDefault="005438BA" w:rsidP="005438BA">
      <w:pPr>
        <w:spacing w:after="0" w:line="240" w:lineRule="auto"/>
        <w:jc w:val="both"/>
        <w:rPr>
          <w:rFonts w:cstheme="minorHAnsi"/>
          <w:sz w:val="28"/>
          <w:szCs w:val="28"/>
        </w:rPr>
      </w:pPr>
    </w:p>
    <w:p w14:paraId="6CF0FF03" w14:textId="77777777" w:rsidR="005438BA" w:rsidRPr="005438BA" w:rsidRDefault="005438BA" w:rsidP="005438BA">
      <w:pPr>
        <w:spacing w:after="0" w:line="240" w:lineRule="auto"/>
        <w:jc w:val="both"/>
        <w:rPr>
          <w:rFonts w:cstheme="minorHAnsi"/>
          <w:sz w:val="28"/>
          <w:szCs w:val="28"/>
        </w:rPr>
      </w:pPr>
      <w:r w:rsidRPr="005438BA">
        <w:rPr>
          <w:rFonts w:cstheme="minorHAnsi"/>
          <w:sz w:val="28"/>
          <w:szCs w:val="28"/>
        </w:rPr>
        <w:t>Sprawę prowadzi:</w:t>
      </w:r>
    </w:p>
    <w:p w14:paraId="74740056" w14:textId="77777777" w:rsidR="005438BA" w:rsidRPr="005438BA" w:rsidRDefault="005438BA" w:rsidP="005438BA">
      <w:pPr>
        <w:spacing w:after="0" w:line="240" w:lineRule="auto"/>
        <w:jc w:val="both"/>
        <w:rPr>
          <w:rFonts w:cstheme="minorHAnsi"/>
          <w:sz w:val="28"/>
          <w:szCs w:val="28"/>
        </w:rPr>
      </w:pPr>
      <w:r w:rsidRPr="005438BA">
        <w:rPr>
          <w:rFonts w:cstheme="minorHAnsi"/>
          <w:sz w:val="28"/>
          <w:szCs w:val="28"/>
        </w:rPr>
        <w:t>Magdalena Nerling</w:t>
      </w:r>
    </w:p>
    <w:p w14:paraId="213DD2F6" w14:textId="77777777" w:rsidR="005438BA" w:rsidRPr="005438BA" w:rsidRDefault="005438BA" w:rsidP="005438BA">
      <w:pPr>
        <w:spacing w:after="0" w:line="240" w:lineRule="auto"/>
        <w:jc w:val="both"/>
        <w:rPr>
          <w:rFonts w:cstheme="minorHAnsi"/>
          <w:sz w:val="28"/>
          <w:szCs w:val="28"/>
        </w:rPr>
      </w:pPr>
      <w:r w:rsidRPr="005438BA">
        <w:rPr>
          <w:rFonts w:cstheme="minorHAnsi"/>
          <w:sz w:val="28"/>
          <w:szCs w:val="28"/>
        </w:rPr>
        <w:t>inspektor</w:t>
      </w:r>
    </w:p>
    <w:p w14:paraId="5BD2FA9C" w14:textId="77777777" w:rsidR="005438BA" w:rsidRPr="005438BA" w:rsidRDefault="005438BA" w:rsidP="005438BA">
      <w:pPr>
        <w:spacing w:after="120" w:line="240" w:lineRule="auto"/>
        <w:jc w:val="both"/>
        <w:rPr>
          <w:rFonts w:cstheme="minorHAnsi"/>
          <w:sz w:val="28"/>
          <w:szCs w:val="28"/>
        </w:rPr>
      </w:pPr>
      <w:r w:rsidRPr="005438BA">
        <w:rPr>
          <w:rFonts w:cstheme="minorHAnsi"/>
          <w:sz w:val="28"/>
          <w:szCs w:val="28"/>
        </w:rPr>
        <w:t>tel. 61 28 47 131</w:t>
      </w:r>
    </w:p>
    <w:p w14:paraId="47E52B4E" w14:textId="77777777" w:rsidR="005438BA" w:rsidRPr="005438BA" w:rsidRDefault="005438BA" w:rsidP="005438BA">
      <w:pPr>
        <w:spacing w:after="120" w:line="240" w:lineRule="auto"/>
        <w:jc w:val="both"/>
        <w:rPr>
          <w:rFonts w:cstheme="minorHAnsi"/>
          <w:sz w:val="28"/>
          <w:szCs w:val="28"/>
        </w:rPr>
      </w:pPr>
      <w:r w:rsidRPr="005438BA">
        <w:rPr>
          <w:rFonts w:cstheme="minorHAnsi"/>
          <w:sz w:val="28"/>
          <w:szCs w:val="28"/>
        </w:rPr>
        <w:t>Otrzymują:</w:t>
      </w:r>
    </w:p>
    <w:p w14:paraId="3DBB3A1C" w14:textId="77777777" w:rsidR="005438BA" w:rsidRPr="005438BA" w:rsidRDefault="005438BA" w:rsidP="005438BA">
      <w:pPr>
        <w:numPr>
          <w:ilvl w:val="0"/>
          <w:numId w:val="18"/>
        </w:numPr>
        <w:tabs>
          <w:tab w:val="left" w:pos="851"/>
        </w:tabs>
        <w:spacing w:after="120" w:line="240" w:lineRule="auto"/>
        <w:ind w:left="567"/>
        <w:contextualSpacing/>
        <w:jc w:val="both"/>
        <w:rPr>
          <w:rFonts w:cstheme="minorHAnsi"/>
          <w:sz w:val="28"/>
          <w:szCs w:val="28"/>
        </w:rPr>
      </w:pPr>
      <w:r w:rsidRPr="005438BA">
        <w:rPr>
          <w:rFonts w:cstheme="minorHAnsi"/>
          <w:sz w:val="28"/>
          <w:szCs w:val="28"/>
        </w:rPr>
        <w:t>Strona postępowania:</w:t>
      </w:r>
    </w:p>
    <w:p w14:paraId="52B117CB" w14:textId="77777777" w:rsidR="005438BA" w:rsidRPr="005438BA" w:rsidRDefault="005438BA" w:rsidP="005438BA">
      <w:pPr>
        <w:tabs>
          <w:tab w:val="left" w:pos="851"/>
        </w:tabs>
        <w:spacing w:after="120" w:line="240" w:lineRule="auto"/>
        <w:ind w:left="567"/>
        <w:contextualSpacing/>
        <w:jc w:val="both"/>
        <w:rPr>
          <w:rFonts w:cstheme="minorHAnsi"/>
          <w:sz w:val="28"/>
          <w:szCs w:val="28"/>
        </w:rPr>
      </w:pPr>
      <w:r w:rsidRPr="005438BA">
        <w:rPr>
          <w:rFonts w:cstheme="minorHAnsi"/>
          <w:sz w:val="28"/>
          <w:szCs w:val="28"/>
        </w:rPr>
        <w:t>Przedsiębiorstwo Gospodarki Komunalnej Sp. z o.o., ul. Parkowa 6,</w:t>
      </w:r>
      <w:r w:rsidRPr="005438BA">
        <w:rPr>
          <w:rFonts w:cstheme="minorHAnsi"/>
          <w:sz w:val="28"/>
          <w:szCs w:val="28"/>
        </w:rPr>
        <w:br/>
        <w:t>63-100 Śrem</w:t>
      </w:r>
    </w:p>
    <w:p w14:paraId="6EEA957E" w14:textId="3E77380D" w:rsidR="005438BA" w:rsidRPr="005438BA" w:rsidRDefault="005438BA" w:rsidP="005438BA">
      <w:pPr>
        <w:tabs>
          <w:tab w:val="left" w:pos="851"/>
        </w:tabs>
        <w:spacing w:after="120" w:line="240" w:lineRule="auto"/>
        <w:ind w:left="567"/>
        <w:contextualSpacing/>
        <w:jc w:val="both"/>
        <w:rPr>
          <w:rFonts w:cstheme="minorHAnsi"/>
          <w:sz w:val="28"/>
          <w:szCs w:val="28"/>
        </w:rPr>
      </w:pPr>
      <w:r w:rsidRPr="005438BA">
        <w:rPr>
          <w:rFonts w:cstheme="minorHAnsi"/>
          <w:sz w:val="28"/>
          <w:szCs w:val="28"/>
        </w:rPr>
        <w:t>pełnomocnik: Pani Aldona Kubiak</w:t>
      </w:r>
    </w:p>
    <w:p w14:paraId="3875FF4E" w14:textId="77777777" w:rsidR="005438BA" w:rsidRPr="005438BA" w:rsidRDefault="005438BA" w:rsidP="005438BA">
      <w:pPr>
        <w:numPr>
          <w:ilvl w:val="0"/>
          <w:numId w:val="18"/>
        </w:numPr>
        <w:tabs>
          <w:tab w:val="left" w:pos="851"/>
        </w:tabs>
        <w:spacing w:after="120" w:line="240" w:lineRule="auto"/>
        <w:ind w:left="567"/>
        <w:contextualSpacing/>
        <w:jc w:val="both"/>
        <w:rPr>
          <w:rFonts w:cstheme="minorHAnsi"/>
          <w:sz w:val="28"/>
          <w:szCs w:val="28"/>
        </w:rPr>
      </w:pPr>
      <w:r w:rsidRPr="005438BA">
        <w:rPr>
          <w:rFonts w:cstheme="minorHAnsi"/>
          <w:sz w:val="28"/>
          <w:szCs w:val="28"/>
        </w:rPr>
        <w:t>aa</w:t>
      </w:r>
    </w:p>
    <w:p w14:paraId="21D028FB" w14:textId="77777777" w:rsidR="005438BA" w:rsidRPr="005438BA" w:rsidRDefault="005438BA" w:rsidP="005438BA">
      <w:pPr>
        <w:spacing w:after="120" w:line="240" w:lineRule="auto"/>
        <w:jc w:val="both"/>
        <w:rPr>
          <w:rFonts w:cstheme="minorHAnsi"/>
          <w:sz w:val="28"/>
          <w:szCs w:val="28"/>
        </w:rPr>
      </w:pPr>
    </w:p>
    <w:p w14:paraId="49C0F043" w14:textId="77777777" w:rsidR="005438BA" w:rsidRPr="005438BA" w:rsidRDefault="005438BA" w:rsidP="005438BA">
      <w:pPr>
        <w:spacing w:after="120" w:line="240" w:lineRule="auto"/>
        <w:jc w:val="both"/>
        <w:rPr>
          <w:rFonts w:cstheme="minorHAnsi"/>
          <w:sz w:val="28"/>
          <w:szCs w:val="28"/>
        </w:rPr>
      </w:pPr>
      <w:r w:rsidRPr="005438BA">
        <w:rPr>
          <w:rFonts w:cstheme="minorHAnsi"/>
          <w:sz w:val="28"/>
          <w:szCs w:val="28"/>
        </w:rPr>
        <w:t>Decyzja zwolniona od opłaty skarbowej zgodnie z załącznikiem do ustawy z dnia 16 listopada 2006 r. o opłacie skarbowej (Dz. U. z 2023 r. poz. 2111) część I ust. 8.</w:t>
      </w:r>
      <w:bookmarkEnd w:id="4"/>
    </w:p>
    <w:p w14:paraId="0093C4AF" w14:textId="77777777" w:rsidR="007540C8" w:rsidRDefault="007540C8" w:rsidP="00B76730">
      <w:pPr>
        <w:pStyle w:val="Standard"/>
        <w:spacing w:after="0" w:line="240" w:lineRule="auto"/>
        <w:jc w:val="both"/>
        <w:rPr>
          <w:sz w:val="20"/>
          <w:szCs w:val="20"/>
        </w:rPr>
        <w:sectPr w:rsidR="007540C8" w:rsidSect="008C1B7B">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pPr>
    </w:p>
    <w:p w14:paraId="3FED2DCA" w14:textId="59C26DC6" w:rsidR="007540C8" w:rsidRDefault="007540C8" w:rsidP="00B76730">
      <w:pPr>
        <w:pStyle w:val="Standard"/>
        <w:spacing w:after="0" w:line="240" w:lineRule="auto"/>
        <w:jc w:val="both"/>
        <w:rPr>
          <w:sz w:val="20"/>
          <w:szCs w:val="20"/>
        </w:rPr>
        <w:sectPr w:rsidR="007540C8" w:rsidSect="007540C8">
          <w:pgSz w:w="16838" w:h="11906" w:orient="landscape"/>
          <w:pgMar w:top="1417" w:right="1417" w:bottom="1417" w:left="1417" w:header="708" w:footer="708" w:gutter="0"/>
          <w:cols w:space="708"/>
          <w:docGrid w:linePitch="360"/>
        </w:sectPr>
      </w:pPr>
      <w:r>
        <w:rPr>
          <w:noProof/>
          <w:sz w:val="20"/>
          <w:szCs w:val="20"/>
        </w:rPr>
        <w:lastRenderedPageBreak/>
        <w:drawing>
          <wp:inline distT="0" distB="0" distL="0" distR="0" wp14:anchorId="532FEED1" wp14:editId="2D0CA92A">
            <wp:extent cx="8220075" cy="5762625"/>
            <wp:effectExtent l="0" t="0" r="9525" b="9525"/>
            <wp:docPr id="1952610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20075" cy="5762625"/>
                    </a:xfrm>
                    <a:prstGeom prst="rect">
                      <a:avLst/>
                    </a:prstGeom>
                    <a:noFill/>
                    <a:ln>
                      <a:noFill/>
                    </a:ln>
                  </pic:spPr>
                </pic:pic>
              </a:graphicData>
            </a:graphic>
          </wp:inline>
        </w:drawing>
      </w:r>
    </w:p>
    <w:p w14:paraId="2E4FBCE7" w14:textId="77777777" w:rsidR="007540C8" w:rsidRPr="007540C8" w:rsidRDefault="007540C8" w:rsidP="007540C8">
      <w:pPr>
        <w:spacing w:after="120"/>
        <w:jc w:val="both"/>
        <w:rPr>
          <w:rFonts w:cstheme="minorHAnsi"/>
          <w:sz w:val="28"/>
          <w:szCs w:val="28"/>
        </w:rPr>
      </w:pPr>
      <w:r w:rsidRPr="007540C8">
        <w:rPr>
          <w:rFonts w:ascii="Calibri" w:hAnsi="Calibri"/>
          <w:sz w:val="28"/>
          <w:szCs w:val="28"/>
        </w:rPr>
        <w:lastRenderedPageBreak/>
        <w:t>PPSPP.</w:t>
      </w:r>
      <w:r w:rsidRPr="007540C8">
        <w:rPr>
          <w:rFonts w:cstheme="minorHAnsi"/>
          <w:sz w:val="28"/>
          <w:szCs w:val="28"/>
        </w:rPr>
        <w:t>6730.55.2024.NMAG</w:t>
      </w:r>
    </w:p>
    <w:p w14:paraId="440EAF27" w14:textId="7980E1C7" w:rsidR="007540C8" w:rsidRPr="007540C8" w:rsidRDefault="007540C8" w:rsidP="007540C8">
      <w:pPr>
        <w:spacing w:after="120" w:line="240" w:lineRule="auto"/>
        <w:jc w:val="center"/>
        <w:rPr>
          <w:rFonts w:cstheme="minorHAnsi"/>
          <w:b/>
          <w:sz w:val="28"/>
          <w:szCs w:val="28"/>
        </w:rPr>
      </w:pPr>
      <w:r w:rsidRPr="007540C8">
        <w:rPr>
          <w:rFonts w:cstheme="minorHAnsi"/>
          <w:bCs/>
          <w:sz w:val="28"/>
          <w:szCs w:val="28"/>
        </w:rPr>
        <w:t>Wyniki analizy funkcji oraz cech zabudowy i zagospodarowania terenu w zakresie warunków,</w:t>
      </w:r>
      <w:r w:rsidRPr="007540C8">
        <w:rPr>
          <w:rFonts w:cstheme="minorHAnsi"/>
          <w:sz w:val="28"/>
          <w:szCs w:val="28"/>
        </w:rPr>
        <w:t xml:space="preserve"> o których mowa w art. 61 ust. 1 – 5 ustawy z dnia 27</w:t>
      </w:r>
      <w:r>
        <w:rPr>
          <w:rFonts w:cstheme="minorHAnsi"/>
          <w:sz w:val="28"/>
          <w:szCs w:val="28"/>
        </w:rPr>
        <w:t> </w:t>
      </w:r>
      <w:r w:rsidRPr="007540C8">
        <w:rPr>
          <w:rFonts w:cstheme="minorHAnsi"/>
          <w:sz w:val="28"/>
          <w:szCs w:val="28"/>
        </w:rPr>
        <w:t>marca 2003 r. o planowaniu i zagospodarowaniu przestrzennym</w:t>
      </w:r>
    </w:p>
    <w:p w14:paraId="02623EB8" w14:textId="77777777" w:rsidR="007540C8" w:rsidRPr="007540C8" w:rsidRDefault="007540C8" w:rsidP="007540C8">
      <w:pPr>
        <w:spacing w:after="120" w:line="240" w:lineRule="auto"/>
        <w:ind w:firstLine="567"/>
        <w:jc w:val="both"/>
        <w:rPr>
          <w:rFonts w:cstheme="minorHAnsi"/>
          <w:sz w:val="28"/>
          <w:szCs w:val="28"/>
        </w:rPr>
      </w:pPr>
      <w:r w:rsidRPr="007540C8">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38"/>
        <w:gridCol w:w="6103"/>
        <w:gridCol w:w="1828"/>
      </w:tblGrid>
      <w:tr w:rsidR="007540C8" w:rsidRPr="00B134A7" w14:paraId="0B9DEA9D" w14:textId="77777777" w:rsidTr="0067248B">
        <w:tc>
          <w:tcPr>
            <w:tcW w:w="6841" w:type="dxa"/>
            <w:gridSpan w:val="2"/>
            <w:tcBorders>
              <w:right w:val="dotted" w:sz="4" w:space="0" w:color="auto"/>
            </w:tcBorders>
            <w:vAlign w:val="center"/>
          </w:tcPr>
          <w:p w14:paraId="0E0CBA44" w14:textId="77777777" w:rsidR="007540C8" w:rsidRPr="00B134A7" w:rsidRDefault="007540C8" w:rsidP="0067248B">
            <w:pPr>
              <w:spacing w:after="120"/>
              <w:jc w:val="both"/>
              <w:rPr>
                <w:rFonts w:ascii="Calibri" w:hAnsi="Calibri"/>
                <w:bCs/>
                <w:sz w:val="24"/>
              </w:rPr>
            </w:pPr>
            <w:r w:rsidRPr="00B134A7">
              <w:rPr>
                <w:rFonts w:ascii="Calibri" w:hAnsi="Calibri"/>
                <w:bCs/>
                <w:sz w:val="24"/>
              </w:rPr>
              <w:t>Punkt i treść warunku, o którym mowa w art. 61 ust. 1</w:t>
            </w:r>
          </w:p>
        </w:tc>
        <w:tc>
          <w:tcPr>
            <w:tcW w:w="1828" w:type="dxa"/>
            <w:tcBorders>
              <w:left w:val="dotted" w:sz="4" w:space="0" w:color="auto"/>
            </w:tcBorders>
            <w:vAlign w:val="center"/>
          </w:tcPr>
          <w:p w14:paraId="195276A2" w14:textId="77777777" w:rsidR="007540C8" w:rsidRPr="00B134A7" w:rsidRDefault="007540C8" w:rsidP="0067248B">
            <w:pPr>
              <w:spacing w:after="120"/>
              <w:jc w:val="center"/>
              <w:rPr>
                <w:rFonts w:ascii="Calibri" w:hAnsi="Calibri"/>
                <w:bCs/>
                <w:sz w:val="24"/>
              </w:rPr>
            </w:pPr>
            <w:r w:rsidRPr="00B134A7">
              <w:rPr>
                <w:rFonts w:ascii="Calibri" w:hAnsi="Calibri"/>
                <w:bCs/>
                <w:sz w:val="24"/>
              </w:rPr>
              <w:t>Spełnienie warunku</w:t>
            </w:r>
          </w:p>
        </w:tc>
      </w:tr>
      <w:tr w:rsidR="007540C8" w:rsidRPr="00B134A7" w14:paraId="0408FD51" w14:textId="77777777" w:rsidTr="0067248B">
        <w:tc>
          <w:tcPr>
            <w:tcW w:w="738" w:type="dxa"/>
            <w:tcBorders>
              <w:bottom w:val="single" w:sz="2" w:space="0" w:color="auto"/>
              <w:right w:val="dotted" w:sz="4" w:space="0" w:color="auto"/>
            </w:tcBorders>
            <w:vAlign w:val="center"/>
          </w:tcPr>
          <w:p w14:paraId="443E40A2" w14:textId="77777777" w:rsidR="007540C8" w:rsidRPr="00B134A7" w:rsidRDefault="007540C8" w:rsidP="0067248B">
            <w:pPr>
              <w:spacing w:after="120"/>
              <w:jc w:val="center"/>
              <w:rPr>
                <w:rFonts w:ascii="Calibri" w:hAnsi="Calibri"/>
                <w:bCs/>
                <w:sz w:val="24"/>
              </w:rPr>
            </w:pPr>
            <w:r w:rsidRPr="00B134A7">
              <w:rPr>
                <w:rFonts w:ascii="Calibri" w:hAnsi="Calibri"/>
                <w:bCs/>
                <w:sz w:val="24"/>
              </w:rPr>
              <w:t>pkt 1</w:t>
            </w:r>
          </w:p>
        </w:tc>
        <w:tc>
          <w:tcPr>
            <w:tcW w:w="6103" w:type="dxa"/>
            <w:tcBorders>
              <w:left w:val="dotted" w:sz="4" w:space="0" w:color="auto"/>
              <w:bottom w:val="single" w:sz="2" w:space="0" w:color="auto"/>
              <w:right w:val="dotted" w:sz="4" w:space="0" w:color="auto"/>
            </w:tcBorders>
          </w:tcPr>
          <w:p w14:paraId="23425827" w14:textId="77777777" w:rsidR="007540C8" w:rsidRPr="00B134A7" w:rsidRDefault="007540C8" w:rsidP="0067248B">
            <w:pPr>
              <w:spacing w:after="120"/>
              <w:jc w:val="both"/>
              <w:rPr>
                <w:rFonts w:ascii="Calibri" w:hAnsi="Calibri"/>
                <w:bCs/>
                <w:sz w:val="24"/>
              </w:rPr>
            </w:pPr>
            <w:r w:rsidRPr="00B134A7">
              <w:rPr>
                <w:rFonts w:ascii="Calibri" w:hAnsi="Calibri"/>
                <w:bCs/>
                <w:sz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433C86B7" w14:textId="77777777" w:rsidR="007540C8" w:rsidRPr="00B134A7" w:rsidRDefault="007540C8" w:rsidP="0067248B">
            <w:pPr>
              <w:spacing w:after="120"/>
              <w:jc w:val="center"/>
              <w:rPr>
                <w:rFonts w:ascii="Calibri" w:hAnsi="Calibri"/>
                <w:bCs/>
                <w:sz w:val="24"/>
              </w:rPr>
            </w:pPr>
            <w:r>
              <w:rPr>
                <w:rFonts w:ascii="Calibri" w:hAnsi="Calibri"/>
                <w:bCs/>
                <w:sz w:val="24"/>
              </w:rPr>
              <w:t>tak</w:t>
            </w:r>
          </w:p>
        </w:tc>
      </w:tr>
      <w:tr w:rsidR="007540C8" w:rsidRPr="00B134A7" w14:paraId="0495B7ED" w14:textId="77777777" w:rsidTr="0067248B">
        <w:tc>
          <w:tcPr>
            <w:tcW w:w="738" w:type="dxa"/>
            <w:tcBorders>
              <w:top w:val="single" w:sz="2" w:space="0" w:color="auto"/>
              <w:bottom w:val="single" w:sz="2" w:space="0" w:color="auto"/>
              <w:right w:val="dotted" w:sz="4" w:space="0" w:color="auto"/>
            </w:tcBorders>
            <w:vAlign w:val="center"/>
          </w:tcPr>
          <w:p w14:paraId="67EAAFF1" w14:textId="77777777" w:rsidR="007540C8" w:rsidRPr="00B134A7" w:rsidRDefault="007540C8" w:rsidP="0067248B">
            <w:pPr>
              <w:spacing w:after="120"/>
              <w:jc w:val="center"/>
              <w:rPr>
                <w:rFonts w:ascii="Calibri" w:hAnsi="Calibri"/>
                <w:bCs/>
                <w:sz w:val="24"/>
              </w:rPr>
            </w:pPr>
            <w:r w:rsidRPr="00B134A7">
              <w:rPr>
                <w:rFonts w:ascii="Calibri" w:hAnsi="Calibri"/>
                <w:bCs/>
                <w:sz w:val="24"/>
              </w:rPr>
              <w:t>pkt 2</w:t>
            </w:r>
          </w:p>
        </w:tc>
        <w:tc>
          <w:tcPr>
            <w:tcW w:w="6103" w:type="dxa"/>
            <w:tcBorders>
              <w:top w:val="single" w:sz="2" w:space="0" w:color="auto"/>
              <w:left w:val="dotted" w:sz="4" w:space="0" w:color="auto"/>
              <w:bottom w:val="single" w:sz="2" w:space="0" w:color="auto"/>
              <w:right w:val="dotted" w:sz="4" w:space="0" w:color="auto"/>
            </w:tcBorders>
          </w:tcPr>
          <w:p w14:paraId="316C8E23" w14:textId="77777777" w:rsidR="007540C8" w:rsidRPr="00B134A7" w:rsidRDefault="007540C8" w:rsidP="0067248B">
            <w:pPr>
              <w:spacing w:after="120"/>
              <w:jc w:val="both"/>
              <w:rPr>
                <w:rFonts w:ascii="Calibri" w:eastAsia="Times New Roman" w:hAnsi="Calibri" w:cs="Times New Roman"/>
                <w:bCs/>
                <w:sz w:val="24"/>
                <w:lang w:eastAsia="pl-PL"/>
              </w:rPr>
            </w:pPr>
            <w:bookmarkStart w:id="6" w:name="mip44711609"/>
            <w:bookmarkEnd w:id="6"/>
            <w:r w:rsidRPr="00B134A7">
              <w:rPr>
                <w:rFonts w:ascii="Calibri" w:eastAsia="Times New Roman" w:hAnsi="Calibri" w:cs="Times New Roman"/>
                <w:bCs/>
                <w:sz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2C95A989" w14:textId="77777777" w:rsidR="007540C8" w:rsidRPr="00B134A7" w:rsidRDefault="007540C8" w:rsidP="0067248B">
            <w:pPr>
              <w:spacing w:after="120"/>
              <w:jc w:val="center"/>
              <w:rPr>
                <w:rFonts w:ascii="Calibri" w:hAnsi="Calibri"/>
                <w:bCs/>
                <w:sz w:val="24"/>
              </w:rPr>
            </w:pPr>
            <w:r>
              <w:rPr>
                <w:rFonts w:ascii="Calibri" w:hAnsi="Calibri"/>
                <w:bCs/>
                <w:sz w:val="24"/>
              </w:rPr>
              <w:t>tak</w:t>
            </w:r>
          </w:p>
        </w:tc>
      </w:tr>
      <w:tr w:rsidR="007540C8" w:rsidRPr="00B134A7" w14:paraId="4FE2339B" w14:textId="77777777" w:rsidTr="0067248B">
        <w:tc>
          <w:tcPr>
            <w:tcW w:w="738" w:type="dxa"/>
            <w:tcBorders>
              <w:top w:val="single" w:sz="2" w:space="0" w:color="auto"/>
              <w:bottom w:val="single" w:sz="2" w:space="0" w:color="auto"/>
              <w:right w:val="dotted" w:sz="4" w:space="0" w:color="auto"/>
            </w:tcBorders>
            <w:vAlign w:val="center"/>
          </w:tcPr>
          <w:p w14:paraId="7EBDB9B0" w14:textId="77777777" w:rsidR="007540C8" w:rsidRPr="00B134A7" w:rsidRDefault="007540C8" w:rsidP="0067248B">
            <w:pPr>
              <w:spacing w:after="120"/>
              <w:jc w:val="center"/>
              <w:rPr>
                <w:rFonts w:ascii="Calibri" w:hAnsi="Calibri"/>
                <w:bCs/>
                <w:sz w:val="24"/>
              </w:rPr>
            </w:pPr>
            <w:r w:rsidRPr="00B134A7">
              <w:rPr>
                <w:rFonts w:ascii="Calibri" w:hAnsi="Calibri"/>
                <w:bCs/>
                <w:sz w:val="24"/>
              </w:rPr>
              <w:t>pkt 3</w:t>
            </w:r>
          </w:p>
        </w:tc>
        <w:tc>
          <w:tcPr>
            <w:tcW w:w="6103" w:type="dxa"/>
            <w:tcBorders>
              <w:top w:val="single" w:sz="2" w:space="0" w:color="auto"/>
              <w:left w:val="dotted" w:sz="4" w:space="0" w:color="auto"/>
              <w:bottom w:val="single" w:sz="2" w:space="0" w:color="auto"/>
              <w:right w:val="dotted" w:sz="4" w:space="0" w:color="auto"/>
            </w:tcBorders>
          </w:tcPr>
          <w:p w14:paraId="4F8996CA" w14:textId="77777777" w:rsidR="007540C8" w:rsidRPr="00B134A7" w:rsidRDefault="007540C8" w:rsidP="0067248B">
            <w:pPr>
              <w:spacing w:after="120"/>
              <w:jc w:val="both"/>
              <w:rPr>
                <w:rFonts w:ascii="Calibri" w:hAnsi="Calibri"/>
                <w:bCs/>
                <w:sz w:val="24"/>
              </w:rPr>
            </w:pPr>
            <w:r w:rsidRPr="00B134A7">
              <w:rPr>
                <w:rFonts w:ascii="Calibri" w:hAnsi="Calibri"/>
                <w:bCs/>
                <w:sz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6C6A94FA" w14:textId="77777777" w:rsidR="007540C8" w:rsidRPr="00B134A7" w:rsidRDefault="007540C8" w:rsidP="0067248B">
            <w:pPr>
              <w:spacing w:after="120"/>
              <w:jc w:val="center"/>
              <w:rPr>
                <w:rFonts w:ascii="Calibri" w:hAnsi="Calibri"/>
                <w:bCs/>
                <w:sz w:val="24"/>
              </w:rPr>
            </w:pPr>
            <w:r>
              <w:rPr>
                <w:rFonts w:ascii="Calibri" w:hAnsi="Calibri"/>
                <w:bCs/>
                <w:sz w:val="24"/>
              </w:rPr>
              <w:t>tak</w:t>
            </w:r>
          </w:p>
        </w:tc>
      </w:tr>
      <w:tr w:rsidR="007540C8" w:rsidRPr="00B134A7" w14:paraId="41529F11" w14:textId="77777777" w:rsidTr="0067248B">
        <w:tc>
          <w:tcPr>
            <w:tcW w:w="738" w:type="dxa"/>
            <w:tcBorders>
              <w:top w:val="single" w:sz="2" w:space="0" w:color="auto"/>
              <w:bottom w:val="single" w:sz="2" w:space="0" w:color="auto"/>
              <w:right w:val="dotted" w:sz="4" w:space="0" w:color="auto"/>
            </w:tcBorders>
            <w:vAlign w:val="center"/>
          </w:tcPr>
          <w:p w14:paraId="33E293A8" w14:textId="77777777" w:rsidR="007540C8" w:rsidRPr="00B134A7" w:rsidRDefault="007540C8" w:rsidP="0067248B">
            <w:pPr>
              <w:spacing w:after="120"/>
              <w:jc w:val="center"/>
              <w:rPr>
                <w:rFonts w:ascii="Calibri" w:hAnsi="Calibri"/>
                <w:bCs/>
                <w:sz w:val="24"/>
              </w:rPr>
            </w:pPr>
            <w:r w:rsidRPr="00B134A7">
              <w:rPr>
                <w:rFonts w:ascii="Calibri" w:hAnsi="Calibri"/>
                <w:bCs/>
                <w:sz w:val="24"/>
              </w:rPr>
              <w:t>pkt 4</w:t>
            </w:r>
          </w:p>
        </w:tc>
        <w:tc>
          <w:tcPr>
            <w:tcW w:w="6103" w:type="dxa"/>
            <w:tcBorders>
              <w:top w:val="single" w:sz="2" w:space="0" w:color="auto"/>
              <w:left w:val="dotted" w:sz="4" w:space="0" w:color="auto"/>
              <w:bottom w:val="single" w:sz="2" w:space="0" w:color="auto"/>
              <w:right w:val="dotted" w:sz="4" w:space="0" w:color="auto"/>
            </w:tcBorders>
          </w:tcPr>
          <w:p w14:paraId="16475F69" w14:textId="77777777" w:rsidR="007540C8" w:rsidRPr="00B134A7" w:rsidRDefault="007540C8" w:rsidP="0067248B">
            <w:pPr>
              <w:spacing w:after="120"/>
              <w:jc w:val="both"/>
              <w:rPr>
                <w:rFonts w:ascii="Calibri" w:hAnsi="Calibri"/>
                <w:bCs/>
                <w:sz w:val="24"/>
              </w:rPr>
            </w:pPr>
            <w:r w:rsidRPr="00B134A7">
              <w:rPr>
                <w:rFonts w:ascii="Calibri" w:hAnsi="Calibri"/>
                <w:bCs/>
                <w:sz w:val="24"/>
              </w:rPr>
              <w:t>teren nie wymaga</w:t>
            </w:r>
            <w:r w:rsidRPr="00B134A7">
              <w:rPr>
                <w:rFonts w:ascii="Calibri" w:hAnsi="Calibri"/>
                <w:bCs/>
                <w:i/>
                <w:sz w:val="24"/>
              </w:rPr>
              <w:t xml:space="preserve"> </w:t>
            </w:r>
            <w:r w:rsidRPr="00B134A7">
              <w:rPr>
                <w:rFonts w:ascii="Calibri" w:hAnsi="Calibri"/>
                <w:bCs/>
                <w:sz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4B240EA5" w14:textId="77777777" w:rsidR="007540C8" w:rsidRPr="00B134A7" w:rsidRDefault="007540C8" w:rsidP="0067248B">
            <w:pPr>
              <w:spacing w:after="120"/>
              <w:jc w:val="center"/>
              <w:rPr>
                <w:rFonts w:ascii="Calibri" w:hAnsi="Calibri"/>
                <w:bCs/>
                <w:sz w:val="24"/>
              </w:rPr>
            </w:pPr>
            <w:r w:rsidRPr="00B134A7">
              <w:rPr>
                <w:rFonts w:ascii="Calibri" w:hAnsi="Calibri"/>
                <w:bCs/>
                <w:sz w:val="24"/>
              </w:rPr>
              <w:t>tak</w:t>
            </w:r>
          </w:p>
        </w:tc>
      </w:tr>
      <w:tr w:rsidR="007540C8" w:rsidRPr="00B134A7" w14:paraId="60481536" w14:textId="77777777" w:rsidTr="0067248B">
        <w:tc>
          <w:tcPr>
            <w:tcW w:w="738" w:type="dxa"/>
            <w:tcBorders>
              <w:top w:val="single" w:sz="2" w:space="0" w:color="auto"/>
              <w:bottom w:val="single" w:sz="2" w:space="0" w:color="auto"/>
              <w:right w:val="dotted" w:sz="4" w:space="0" w:color="auto"/>
            </w:tcBorders>
            <w:vAlign w:val="center"/>
          </w:tcPr>
          <w:p w14:paraId="19AD21D3" w14:textId="77777777" w:rsidR="007540C8" w:rsidRPr="00B134A7" w:rsidRDefault="007540C8" w:rsidP="0067248B">
            <w:pPr>
              <w:spacing w:after="120"/>
              <w:jc w:val="center"/>
              <w:rPr>
                <w:rFonts w:ascii="Calibri" w:hAnsi="Calibri"/>
                <w:bCs/>
                <w:sz w:val="24"/>
              </w:rPr>
            </w:pPr>
            <w:r w:rsidRPr="00B134A7">
              <w:rPr>
                <w:rFonts w:ascii="Calibri" w:hAnsi="Calibri"/>
                <w:bCs/>
                <w:sz w:val="24"/>
              </w:rPr>
              <w:t>pkt 5</w:t>
            </w:r>
          </w:p>
        </w:tc>
        <w:tc>
          <w:tcPr>
            <w:tcW w:w="6103" w:type="dxa"/>
            <w:tcBorders>
              <w:top w:val="single" w:sz="2" w:space="0" w:color="auto"/>
              <w:left w:val="dotted" w:sz="4" w:space="0" w:color="auto"/>
              <w:bottom w:val="single" w:sz="2" w:space="0" w:color="auto"/>
              <w:right w:val="dotted" w:sz="4" w:space="0" w:color="auto"/>
            </w:tcBorders>
          </w:tcPr>
          <w:p w14:paraId="21F75C8B" w14:textId="77777777" w:rsidR="007540C8" w:rsidRPr="00B134A7" w:rsidRDefault="007540C8" w:rsidP="0067248B">
            <w:pPr>
              <w:spacing w:after="120"/>
              <w:jc w:val="both"/>
              <w:rPr>
                <w:rFonts w:ascii="Calibri" w:hAnsi="Calibri"/>
                <w:bCs/>
                <w:sz w:val="24"/>
              </w:rPr>
            </w:pPr>
            <w:r w:rsidRPr="00B134A7">
              <w:rPr>
                <w:rFonts w:ascii="Calibri" w:hAnsi="Calibri"/>
                <w:bCs/>
                <w:sz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29A5FF83" w14:textId="77777777" w:rsidR="007540C8" w:rsidRPr="00B134A7" w:rsidRDefault="007540C8" w:rsidP="0067248B">
            <w:pPr>
              <w:spacing w:after="120"/>
              <w:jc w:val="center"/>
              <w:rPr>
                <w:rFonts w:ascii="Calibri" w:hAnsi="Calibri"/>
                <w:bCs/>
                <w:sz w:val="24"/>
              </w:rPr>
            </w:pPr>
            <w:r>
              <w:rPr>
                <w:rFonts w:ascii="Calibri" w:hAnsi="Calibri"/>
                <w:bCs/>
                <w:sz w:val="24"/>
              </w:rPr>
              <w:t>tak</w:t>
            </w:r>
          </w:p>
        </w:tc>
      </w:tr>
      <w:tr w:rsidR="007540C8" w:rsidRPr="00633564" w14:paraId="64EBEE1D" w14:textId="77777777" w:rsidTr="0067248B">
        <w:tc>
          <w:tcPr>
            <w:tcW w:w="738" w:type="dxa"/>
            <w:vAlign w:val="center"/>
          </w:tcPr>
          <w:p w14:paraId="4862A38A" w14:textId="77777777" w:rsidR="007540C8" w:rsidRPr="00633564" w:rsidRDefault="007540C8" w:rsidP="0067248B">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103" w:type="dxa"/>
          </w:tcPr>
          <w:p w14:paraId="0B28C6B1" w14:textId="77777777" w:rsidR="007540C8" w:rsidRPr="00633564" w:rsidRDefault="007540C8" w:rsidP="0067248B">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vAlign w:val="center"/>
          </w:tcPr>
          <w:p w14:paraId="365B3ACF" w14:textId="77777777" w:rsidR="007540C8" w:rsidRPr="00633564" w:rsidRDefault="007540C8" w:rsidP="0067248B">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3A5AC4B1" w14:textId="77777777" w:rsidR="007540C8" w:rsidRDefault="007540C8" w:rsidP="007540C8">
      <w:pPr>
        <w:spacing w:after="120"/>
        <w:jc w:val="both"/>
        <w:rPr>
          <w:rFonts w:ascii="Calibri" w:hAnsi="Calibri"/>
        </w:rPr>
        <w:sectPr w:rsidR="007540C8" w:rsidSect="007540C8">
          <w:footerReference w:type="default" r:id="rId14"/>
          <w:pgSz w:w="11906" w:h="16838"/>
          <w:pgMar w:top="1418" w:right="1418" w:bottom="1701" w:left="1701" w:header="709" w:footer="709" w:gutter="0"/>
          <w:cols w:space="708"/>
          <w:docGrid w:linePitch="600" w:charSpace="32768"/>
        </w:sectPr>
      </w:pPr>
    </w:p>
    <w:p w14:paraId="45B688E3" w14:textId="77777777" w:rsidR="007540C8" w:rsidRPr="007540C8" w:rsidRDefault="007540C8" w:rsidP="007540C8">
      <w:pPr>
        <w:spacing w:after="120" w:line="240" w:lineRule="auto"/>
        <w:jc w:val="both"/>
        <w:rPr>
          <w:rFonts w:ascii="Calibri" w:hAnsi="Calibri"/>
          <w:sz w:val="28"/>
          <w:szCs w:val="28"/>
        </w:rPr>
      </w:pPr>
      <w:r w:rsidRPr="007540C8">
        <w:rPr>
          <w:rFonts w:ascii="Calibri" w:hAnsi="Calibr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został przedstawiony w poniższej tabeli.</w:t>
      </w:r>
    </w:p>
    <w:tbl>
      <w:tblPr>
        <w:tblStyle w:val="Tabela-Siatka"/>
        <w:tblW w:w="0" w:type="auto"/>
        <w:tblInd w:w="108" w:type="dxa"/>
        <w:tblLook w:val="04A0" w:firstRow="1" w:lastRow="0" w:firstColumn="1" w:lastColumn="0" w:noHBand="0" w:noVBand="1"/>
      </w:tblPr>
      <w:tblGrid>
        <w:gridCol w:w="3514"/>
        <w:gridCol w:w="10087"/>
      </w:tblGrid>
      <w:tr w:rsidR="007540C8" w:rsidRPr="002A20D5" w14:paraId="1B04D617" w14:textId="77777777" w:rsidTr="0067248B">
        <w:trPr>
          <w:tblHeader/>
        </w:trPr>
        <w:tc>
          <w:tcPr>
            <w:tcW w:w="3514" w:type="dxa"/>
            <w:tcBorders>
              <w:right w:val="dotted" w:sz="4" w:space="0" w:color="auto"/>
            </w:tcBorders>
            <w:vAlign w:val="center"/>
          </w:tcPr>
          <w:p w14:paraId="06AE4E8D"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Wymagania nowej zabudowy</w:t>
            </w:r>
          </w:p>
        </w:tc>
        <w:tc>
          <w:tcPr>
            <w:tcW w:w="10087" w:type="dxa"/>
            <w:tcBorders>
              <w:left w:val="dotted" w:sz="4" w:space="0" w:color="auto"/>
            </w:tcBorders>
            <w:vAlign w:val="center"/>
          </w:tcPr>
          <w:p w14:paraId="680821C8"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Sposób ustalenia wymagań</w:t>
            </w:r>
          </w:p>
        </w:tc>
      </w:tr>
      <w:tr w:rsidR="007540C8" w:rsidRPr="002A20D5" w14:paraId="3B4912ED" w14:textId="77777777" w:rsidTr="0067248B">
        <w:tc>
          <w:tcPr>
            <w:tcW w:w="3514" w:type="dxa"/>
            <w:tcBorders>
              <w:bottom w:val="single" w:sz="2" w:space="0" w:color="auto"/>
              <w:right w:val="dotted" w:sz="4" w:space="0" w:color="auto"/>
            </w:tcBorders>
            <w:vAlign w:val="center"/>
          </w:tcPr>
          <w:p w14:paraId="2396016E"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Linia zabudowy</w:t>
            </w:r>
          </w:p>
        </w:tc>
        <w:tc>
          <w:tcPr>
            <w:tcW w:w="10087" w:type="dxa"/>
            <w:tcBorders>
              <w:left w:val="dotted" w:sz="4" w:space="0" w:color="auto"/>
              <w:bottom w:val="single" w:sz="2" w:space="0" w:color="auto"/>
            </w:tcBorders>
          </w:tcPr>
          <w:p w14:paraId="4CC1A0F7" w14:textId="77777777" w:rsidR="007540C8" w:rsidRPr="002A20D5" w:rsidRDefault="007540C8" w:rsidP="0067248B">
            <w:pPr>
              <w:spacing w:after="120"/>
              <w:jc w:val="both"/>
              <w:rPr>
                <w:rFonts w:ascii="Calibri" w:hAnsi="Calibri"/>
                <w:bCs/>
                <w:sz w:val="24"/>
                <w:szCs w:val="24"/>
              </w:rPr>
            </w:pPr>
            <w:r w:rsidRPr="00B02506">
              <w:rPr>
                <w:rFonts w:asciiTheme="minorHAnsi" w:hAnsiTheme="minorHAnsi" w:cstheme="minorHAnsi"/>
                <w:sz w:val="24"/>
                <w:szCs w:val="24"/>
              </w:rPr>
              <w:t xml:space="preserve">zgodnie z § 4 ust. </w:t>
            </w:r>
            <w:r>
              <w:rPr>
                <w:rFonts w:asciiTheme="minorHAnsi" w:hAnsiTheme="minorHAnsi" w:cstheme="minorHAnsi"/>
                <w:sz w:val="24"/>
                <w:szCs w:val="24"/>
              </w:rPr>
              <w:t>1</w:t>
            </w:r>
            <w:r w:rsidRPr="00B02506">
              <w:rPr>
                <w:rFonts w:asciiTheme="minorHAnsi" w:hAnsiTheme="minorHAnsi" w:cstheme="minorHAnsi"/>
                <w:iCs/>
                <w:sz w:val="24"/>
                <w:szCs w:val="24"/>
              </w:rPr>
              <w:t xml:space="preserve">: </w:t>
            </w:r>
            <w:r>
              <w:rPr>
                <w:rFonts w:asciiTheme="minorHAnsi" w:hAnsiTheme="minorHAnsi" w:cstheme="minorHAnsi"/>
                <w:iCs/>
                <w:sz w:val="24"/>
                <w:szCs w:val="24"/>
              </w:rPr>
              <w:t>ustalono nieprzekraczalną linię zabudowy wyznaczoną</w:t>
            </w:r>
            <w:r w:rsidRPr="006A5665">
              <w:rPr>
                <w:rFonts w:asciiTheme="minorHAnsi" w:hAnsiTheme="minorHAnsi" w:cstheme="minorHAnsi"/>
                <w:iCs/>
                <w:sz w:val="24"/>
                <w:szCs w:val="24"/>
              </w:rPr>
              <w:t xml:space="preserve"> w </w:t>
            </w:r>
            <w:r>
              <w:rPr>
                <w:rFonts w:asciiTheme="minorHAnsi" w:hAnsiTheme="minorHAnsi" w:cstheme="minorHAnsi"/>
                <w:iCs/>
                <w:sz w:val="24"/>
                <w:szCs w:val="24"/>
              </w:rPr>
              <w:t>odległości 6,0 m od granicy z drogą gminną – działką o nr ewid. 27, obręb Dąbrowa</w:t>
            </w:r>
            <w:r>
              <w:rPr>
                <w:rFonts w:ascii="Calibri" w:hAnsi="Calibri"/>
                <w:bCs/>
                <w:sz w:val="24"/>
                <w:szCs w:val="24"/>
              </w:rPr>
              <w:t>.</w:t>
            </w:r>
          </w:p>
        </w:tc>
      </w:tr>
      <w:tr w:rsidR="007540C8" w:rsidRPr="002A20D5" w14:paraId="07FF8965" w14:textId="77777777" w:rsidTr="0067248B">
        <w:tc>
          <w:tcPr>
            <w:tcW w:w="3514" w:type="dxa"/>
            <w:tcBorders>
              <w:top w:val="single" w:sz="2" w:space="0" w:color="auto"/>
              <w:bottom w:val="single" w:sz="2" w:space="0" w:color="auto"/>
              <w:right w:val="dotted" w:sz="4" w:space="0" w:color="auto"/>
            </w:tcBorders>
            <w:vAlign w:val="center"/>
          </w:tcPr>
          <w:p w14:paraId="7D67D6D9" w14:textId="77777777" w:rsidR="007540C8" w:rsidRPr="002A20D5" w:rsidRDefault="007540C8" w:rsidP="0067248B">
            <w:pPr>
              <w:spacing w:after="120"/>
              <w:jc w:val="both"/>
              <w:rPr>
                <w:rFonts w:ascii="Calibri" w:eastAsia="Times New Roman" w:hAnsi="Calibri" w:cs="Times New Roman"/>
                <w:bCs/>
                <w:sz w:val="24"/>
                <w:szCs w:val="24"/>
                <w:lang w:eastAsia="pl-PL"/>
              </w:rPr>
            </w:pPr>
            <w:r w:rsidRPr="002A20D5">
              <w:rPr>
                <w:rFonts w:ascii="Calibri" w:hAnsi="Calibri"/>
                <w:bCs/>
                <w:sz w:val="24"/>
                <w:szCs w:val="24"/>
              </w:rPr>
              <w:t xml:space="preserve">Wskaźnik wielkości powierzchni nowej zabudowy w stosunku do powierzchni </w:t>
            </w:r>
            <w:r>
              <w:rPr>
                <w:rFonts w:ascii="Calibri" w:hAnsi="Calibri"/>
                <w:bCs/>
                <w:iCs/>
                <w:sz w:val="24"/>
                <w:szCs w:val="24"/>
              </w:rPr>
              <w:t>terenu</w:t>
            </w:r>
          </w:p>
        </w:tc>
        <w:tc>
          <w:tcPr>
            <w:tcW w:w="10087" w:type="dxa"/>
            <w:tcBorders>
              <w:top w:val="single" w:sz="2" w:space="0" w:color="auto"/>
              <w:left w:val="dotted" w:sz="4" w:space="0" w:color="auto"/>
              <w:bottom w:val="single" w:sz="2" w:space="0" w:color="auto"/>
            </w:tcBorders>
          </w:tcPr>
          <w:p w14:paraId="13AA5159" w14:textId="77777777" w:rsidR="007540C8" w:rsidRPr="004F55DF" w:rsidRDefault="007540C8" w:rsidP="0067248B">
            <w:pPr>
              <w:spacing w:after="120"/>
              <w:jc w:val="both"/>
              <w:rPr>
                <w:rFonts w:ascii="Calibri" w:hAnsi="Calibri"/>
                <w:bCs/>
                <w:sz w:val="24"/>
                <w:szCs w:val="24"/>
              </w:rPr>
            </w:pPr>
            <w:r w:rsidRPr="00487D4C">
              <w:rPr>
                <w:rFonts w:ascii="Calibri" w:hAnsi="Calibri"/>
                <w:bCs/>
                <w:sz w:val="24"/>
                <w:szCs w:val="24"/>
              </w:rPr>
              <w:t xml:space="preserve">zgodnie z § 5 ust. 2: w inny sposób – na podstawie wartości </w:t>
            </w:r>
            <w:bookmarkStart w:id="7" w:name="_Hlk166144313"/>
            <w:r w:rsidRPr="00487D4C">
              <w:rPr>
                <w:rFonts w:ascii="Calibri" w:hAnsi="Calibri"/>
                <w:bCs/>
                <w:sz w:val="24"/>
                <w:szCs w:val="24"/>
              </w:rPr>
              <w:t xml:space="preserve">tego parametru w obszarze analizowanym, które zawierają się w przedziale od </w:t>
            </w:r>
            <w:r>
              <w:rPr>
                <w:rFonts w:ascii="Calibri" w:hAnsi="Calibri"/>
                <w:bCs/>
                <w:sz w:val="24"/>
                <w:szCs w:val="24"/>
              </w:rPr>
              <w:t>0,7</w:t>
            </w:r>
            <w:r w:rsidRPr="00487D4C">
              <w:rPr>
                <w:rFonts w:ascii="Calibri" w:hAnsi="Calibri"/>
                <w:bCs/>
                <w:sz w:val="24"/>
                <w:szCs w:val="24"/>
              </w:rPr>
              <w:t xml:space="preserve"> % do </w:t>
            </w:r>
            <w:r>
              <w:rPr>
                <w:rFonts w:ascii="Calibri" w:hAnsi="Calibri"/>
                <w:bCs/>
                <w:sz w:val="24"/>
                <w:szCs w:val="24"/>
              </w:rPr>
              <w:t>4</w:t>
            </w:r>
            <w:r w:rsidRPr="00487D4C">
              <w:rPr>
                <w:rFonts w:ascii="Calibri" w:hAnsi="Calibri"/>
                <w:bCs/>
                <w:sz w:val="24"/>
                <w:szCs w:val="24"/>
              </w:rPr>
              <w:t>,</w:t>
            </w:r>
            <w:r>
              <w:rPr>
                <w:rFonts w:ascii="Calibri" w:hAnsi="Calibri"/>
                <w:bCs/>
                <w:sz w:val="24"/>
                <w:szCs w:val="24"/>
              </w:rPr>
              <w:t>0</w:t>
            </w:r>
            <w:r w:rsidRPr="00487D4C">
              <w:rPr>
                <w:rFonts w:ascii="Calibri" w:hAnsi="Calibri"/>
                <w:bCs/>
                <w:sz w:val="24"/>
                <w:szCs w:val="24"/>
              </w:rPr>
              <w:t xml:space="preserve"> % - Wnioskodawca przewiduje budowę dwóch budynków </w:t>
            </w:r>
            <w:r>
              <w:rPr>
                <w:rFonts w:ascii="Calibri" w:hAnsi="Calibri"/>
                <w:bCs/>
                <w:sz w:val="24"/>
                <w:szCs w:val="24"/>
              </w:rPr>
              <w:t>(parownicy ciśnieniowej i kontenera AKPiA)</w:t>
            </w:r>
            <w:r w:rsidRPr="00487D4C">
              <w:rPr>
                <w:rFonts w:ascii="Calibri" w:hAnsi="Calibri"/>
                <w:bCs/>
                <w:sz w:val="24"/>
                <w:szCs w:val="24"/>
              </w:rPr>
              <w:t xml:space="preserve"> o łącznej powierzchni </w:t>
            </w:r>
            <w:r>
              <w:rPr>
                <w:rFonts w:ascii="Calibri" w:hAnsi="Calibri"/>
                <w:bCs/>
                <w:sz w:val="24"/>
                <w:szCs w:val="24"/>
              </w:rPr>
              <w:t>16</w:t>
            </w:r>
            <w:r w:rsidRPr="00487D4C">
              <w:rPr>
                <w:rFonts w:ascii="Calibri" w:hAnsi="Calibri"/>
                <w:bCs/>
                <w:sz w:val="24"/>
                <w:szCs w:val="24"/>
              </w:rPr>
              <w:t xml:space="preserve"> m</w:t>
            </w:r>
            <w:r w:rsidRPr="007349C5">
              <w:rPr>
                <w:rFonts w:ascii="Calibri" w:hAnsi="Calibri"/>
                <w:bCs/>
                <w:sz w:val="24"/>
                <w:szCs w:val="24"/>
                <w:vertAlign w:val="superscript"/>
              </w:rPr>
              <w:t>2</w:t>
            </w:r>
            <w:r w:rsidRPr="00487D4C">
              <w:rPr>
                <w:rFonts w:ascii="Calibri" w:hAnsi="Calibri"/>
                <w:bCs/>
                <w:sz w:val="24"/>
                <w:szCs w:val="24"/>
              </w:rPr>
              <w:t xml:space="preserve">, co daje udział powierzchni zabudowy do powierzchni terenu inwestycji </w:t>
            </w:r>
            <w:r>
              <w:rPr>
                <w:rFonts w:ascii="Calibri" w:hAnsi="Calibri"/>
                <w:bCs/>
                <w:sz w:val="24"/>
                <w:szCs w:val="24"/>
              </w:rPr>
              <w:t>1,1</w:t>
            </w:r>
            <w:r w:rsidRPr="00487D4C">
              <w:rPr>
                <w:rFonts w:ascii="Calibri" w:hAnsi="Calibri"/>
                <w:bCs/>
                <w:sz w:val="24"/>
                <w:szCs w:val="24"/>
              </w:rPr>
              <w:t xml:space="preserve"> %, który</w:t>
            </w:r>
            <w:r>
              <w:rPr>
                <w:rFonts w:ascii="Calibri" w:hAnsi="Calibri"/>
                <w:bCs/>
                <w:sz w:val="24"/>
                <w:szCs w:val="24"/>
              </w:rPr>
              <w:t xml:space="preserve"> wskaźnik istniejący (0,7 %) zwiększy docelowo do 1,8 %. Końcowy wskaźnik n</w:t>
            </w:r>
            <w:r w:rsidRPr="00487D4C">
              <w:rPr>
                <w:rFonts w:ascii="Calibri" w:hAnsi="Calibri"/>
                <w:bCs/>
                <w:sz w:val="24"/>
                <w:szCs w:val="24"/>
              </w:rPr>
              <w:t>ajbardziej zbliżony jest do występującego na działc</w:t>
            </w:r>
            <w:r>
              <w:rPr>
                <w:rFonts w:ascii="Calibri" w:hAnsi="Calibri"/>
                <w:bCs/>
                <w:sz w:val="24"/>
                <w:szCs w:val="24"/>
              </w:rPr>
              <w:t>e</w:t>
            </w:r>
            <w:r w:rsidRPr="00487D4C">
              <w:rPr>
                <w:rFonts w:ascii="Calibri" w:hAnsi="Calibri"/>
                <w:bCs/>
                <w:sz w:val="24"/>
                <w:szCs w:val="24"/>
              </w:rPr>
              <w:t xml:space="preserve"> o nr ewid. </w:t>
            </w:r>
            <w:r>
              <w:rPr>
                <w:rFonts w:ascii="Calibri" w:hAnsi="Calibri"/>
                <w:bCs/>
                <w:sz w:val="24"/>
                <w:szCs w:val="24"/>
              </w:rPr>
              <w:t>22/6</w:t>
            </w:r>
            <w:r w:rsidRPr="00487D4C">
              <w:rPr>
                <w:rFonts w:ascii="Calibri" w:hAnsi="Calibri"/>
                <w:bCs/>
                <w:sz w:val="24"/>
                <w:szCs w:val="24"/>
              </w:rPr>
              <w:t xml:space="preserve">, wynoszącego </w:t>
            </w:r>
            <w:r>
              <w:rPr>
                <w:rFonts w:ascii="Calibri" w:hAnsi="Calibri"/>
                <w:bCs/>
                <w:sz w:val="24"/>
                <w:szCs w:val="24"/>
              </w:rPr>
              <w:t>1,1</w:t>
            </w:r>
            <w:r w:rsidRPr="00487D4C">
              <w:rPr>
                <w:rFonts w:ascii="Calibri" w:hAnsi="Calibri"/>
                <w:bCs/>
                <w:sz w:val="24"/>
                <w:szCs w:val="24"/>
              </w:rPr>
              <w:t xml:space="preserve"> % oraz na działce o nr ewid. </w:t>
            </w:r>
            <w:r>
              <w:rPr>
                <w:rFonts w:ascii="Calibri" w:hAnsi="Calibri"/>
                <w:bCs/>
                <w:sz w:val="24"/>
                <w:szCs w:val="24"/>
              </w:rPr>
              <w:t>26/2</w:t>
            </w:r>
            <w:r w:rsidRPr="00487D4C">
              <w:rPr>
                <w:rFonts w:ascii="Calibri" w:hAnsi="Calibri"/>
                <w:bCs/>
                <w:sz w:val="24"/>
                <w:szCs w:val="24"/>
              </w:rPr>
              <w:t xml:space="preserve">, wynoszącego </w:t>
            </w:r>
            <w:r>
              <w:rPr>
                <w:rFonts w:ascii="Calibri" w:hAnsi="Calibri"/>
                <w:bCs/>
                <w:sz w:val="24"/>
                <w:szCs w:val="24"/>
              </w:rPr>
              <w:t>4</w:t>
            </w:r>
            <w:r w:rsidRPr="00487D4C">
              <w:rPr>
                <w:rFonts w:ascii="Calibri" w:hAnsi="Calibri"/>
                <w:bCs/>
                <w:sz w:val="24"/>
                <w:szCs w:val="24"/>
              </w:rPr>
              <w:t>,</w:t>
            </w:r>
            <w:r>
              <w:rPr>
                <w:rFonts w:ascii="Calibri" w:hAnsi="Calibri"/>
                <w:bCs/>
                <w:sz w:val="24"/>
                <w:szCs w:val="24"/>
              </w:rPr>
              <w:t>0</w:t>
            </w:r>
            <w:r w:rsidRPr="00487D4C">
              <w:rPr>
                <w:rFonts w:ascii="Calibri" w:hAnsi="Calibri"/>
                <w:bCs/>
                <w:sz w:val="24"/>
                <w:szCs w:val="24"/>
              </w:rPr>
              <w:t xml:space="preserve"> %, zatem pod względem tego parametru inwestycja nie zaburzy ładu przestrzennego okolicy.</w:t>
            </w:r>
            <w:bookmarkEnd w:id="7"/>
          </w:p>
        </w:tc>
      </w:tr>
      <w:tr w:rsidR="007540C8" w:rsidRPr="002A20D5" w14:paraId="6586F801" w14:textId="77777777" w:rsidTr="0067248B">
        <w:tc>
          <w:tcPr>
            <w:tcW w:w="3514" w:type="dxa"/>
            <w:tcBorders>
              <w:top w:val="single" w:sz="2" w:space="0" w:color="auto"/>
              <w:bottom w:val="single" w:sz="2" w:space="0" w:color="auto"/>
              <w:right w:val="dotted" w:sz="4" w:space="0" w:color="auto"/>
            </w:tcBorders>
            <w:vAlign w:val="center"/>
          </w:tcPr>
          <w:p w14:paraId="714694CC" w14:textId="77777777" w:rsidR="007540C8" w:rsidRPr="002A20D5" w:rsidRDefault="007540C8" w:rsidP="0067248B">
            <w:pPr>
              <w:spacing w:after="120"/>
              <w:jc w:val="both"/>
              <w:rPr>
                <w:rFonts w:ascii="Calibri" w:eastAsia="Times New Roman" w:hAnsi="Calibri" w:cs="Times New Roman"/>
                <w:bCs/>
                <w:sz w:val="24"/>
                <w:szCs w:val="24"/>
                <w:lang w:eastAsia="pl-PL"/>
              </w:rPr>
            </w:pPr>
            <w:bookmarkStart w:id="8" w:name="mip10826116"/>
            <w:bookmarkEnd w:id="8"/>
            <w:r w:rsidRPr="002A20D5">
              <w:rPr>
                <w:rFonts w:ascii="Calibri" w:eastAsia="Times New Roman" w:hAnsi="Calibri" w:cs="Times New Roman"/>
                <w:bCs/>
                <w:sz w:val="24"/>
                <w:szCs w:val="24"/>
                <w:lang w:eastAsia="pl-PL"/>
              </w:rPr>
              <w:t xml:space="preserve">Szerokość elewacji frontowej </w:t>
            </w:r>
            <w:r>
              <w:rPr>
                <w:rFonts w:ascii="Calibri" w:eastAsia="Times New Roman" w:hAnsi="Calibri" w:cs="Times New Roman"/>
                <w:bCs/>
                <w:sz w:val="24"/>
                <w:szCs w:val="24"/>
                <w:lang w:eastAsia="pl-PL"/>
              </w:rPr>
              <w:t>parownicy wysokociśnieniowej i kontenera</w:t>
            </w:r>
          </w:p>
        </w:tc>
        <w:tc>
          <w:tcPr>
            <w:tcW w:w="10087" w:type="dxa"/>
            <w:tcBorders>
              <w:top w:val="single" w:sz="2" w:space="0" w:color="auto"/>
              <w:left w:val="dotted" w:sz="4" w:space="0" w:color="auto"/>
              <w:bottom w:val="single" w:sz="2" w:space="0" w:color="auto"/>
            </w:tcBorders>
          </w:tcPr>
          <w:p w14:paraId="3BC73D49" w14:textId="77777777" w:rsidR="007540C8" w:rsidRPr="002A20D5" w:rsidRDefault="007540C8" w:rsidP="0067248B">
            <w:pPr>
              <w:spacing w:after="120"/>
              <w:jc w:val="both"/>
              <w:rPr>
                <w:rFonts w:ascii="Calibri" w:hAnsi="Calibri"/>
                <w:bCs/>
                <w:sz w:val="24"/>
                <w:szCs w:val="24"/>
              </w:rPr>
            </w:pPr>
            <w:r w:rsidRPr="00603870">
              <w:rPr>
                <w:rFonts w:asciiTheme="minorHAnsi" w:hAnsiTheme="minorHAnsi" w:cstheme="minorHAnsi"/>
                <w:sz w:val="24"/>
                <w:szCs w:val="24"/>
              </w:rPr>
              <w:t xml:space="preserve">zgodnie z § 6 ust. </w:t>
            </w:r>
            <w:r>
              <w:rPr>
                <w:rFonts w:asciiTheme="minorHAnsi" w:hAnsiTheme="minorHAnsi" w:cstheme="minorHAnsi"/>
                <w:sz w:val="24"/>
                <w:szCs w:val="24"/>
              </w:rPr>
              <w:t>2</w:t>
            </w:r>
            <w:r w:rsidRPr="00603870">
              <w:rPr>
                <w:rFonts w:asciiTheme="minorHAnsi" w:hAnsiTheme="minorHAnsi" w:cstheme="minorHAnsi"/>
                <w:sz w:val="24"/>
                <w:szCs w:val="24"/>
              </w:rPr>
              <w:t xml:space="preserve">: ustalono </w:t>
            </w:r>
            <w:r>
              <w:rPr>
                <w:rFonts w:asciiTheme="minorHAnsi" w:hAnsiTheme="minorHAnsi" w:cstheme="minorHAnsi"/>
                <w:sz w:val="24"/>
                <w:szCs w:val="24"/>
              </w:rPr>
              <w:t xml:space="preserve">na podstawie </w:t>
            </w:r>
            <w:r w:rsidRPr="00603870">
              <w:rPr>
                <w:rFonts w:asciiTheme="minorHAnsi" w:hAnsiTheme="minorHAnsi" w:cstheme="minorHAnsi"/>
                <w:sz w:val="24"/>
                <w:szCs w:val="24"/>
              </w:rPr>
              <w:t>szerokoś</w:t>
            </w:r>
            <w:r>
              <w:rPr>
                <w:rFonts w:asciiTheme="minorHAnsi" w:hAnsiTheme="minorHAnsi" w:cstheme="minorHAnsi"/>
                <w:sz w:val="24"/>
                <w:szCs w:val="24"/>
              </w:rPr>
              <w:t>ci</w:t>
            </w:r>
            <w:r w:rsidRPr="00603870">
              <w:rPr>
                <w:rFonts w:asciiTheme="minorHAnsi" w:hAnsiTheme="minorHAnsi" w:cstheme="minorHAnsi"/>
                <w:sz w:val="24"/>
                <w:szCs w:val="24"/>
              </w:rPr>
              <w:t xml:space="preserve"> elewacji frontowych istniejącej zabudowy</w:t>
            </w:r>
            <w:r>
              <w:rPr>
                <w:rFonts w:asciiTheme="minorHAnsi" w:hAnsiTheme="minorHAnsi" w:cstheme="minorHAnsi"/>
                <w:sz w:val="24"/>
                <w:szCs w:val="24"/>
              </w:rPr>
              <w:t xml:space="preserve"> występującej na działkach w obszarze analizowanym. </w:t>
            </w:r>
            <w:r w:rsidRPr="00857F28">
              <w:rPr>
                <w:rFonts w:asciiTheme="minorHAnsi" w:hAnsiTheme="minorHAnsi" w:cstheme="minorHAnsi"/>
                <w:sz w:val="24"/>
                <w:szCs w:val="24"/>
              </w:rPr>
              <w:t xml:space="preserve">Na podstawie średniej szerokości elewacji dla obszaru analizowanego z tolerancją ±20 %, przy średniej szerokości elewacji wynoszącej </w:t>
            </w:r>
            <w:r>
              <w:rPr>
                <w:rFonts w:asciiTheme="minorHAnsi" w:hAnsiTheme="minorHAnsi" w:cstheme="minorHAnsi"/>
                <w:sz w:val="24"/>
                <w:szCs w:val="24"/>
              </w:rPr>
              <w:t>6,3</w:t>
            </w:r>
            <w:r w:rsidRPr="00857F28">
              <w:rPr>
                <w:rFonts w:asciiTheme="minorHAnsi" w:hAnsiTheme="minorHAnsi" w:cstheme="minorHAnsi"/>
                <w:sz w:val="24"/>
                <w:szCs w:val="24"/>
              </w:rPr>
              <w:t xml:space="preserve"> m budyn</w:t>
            </w:r>
            <w:r>
              <w:rPr>
                <w:rFonts w:asciiTheme="minorHAnsi" w:hAnsiTheme="minorHAnsi" w:cstheme="minorHAnsi"/>
                <w:sz w:val="24"/>
                <w:szCs w:val="24"/>
              </w:rPr>
              <w:t>ki</w:t>
            </w:r>
            <w:r w:rsidRPr="00857F28">
              <w:rPr>
                <w:rFonts w:asciiTheme="minorHAnsi" w:hAnsiTheme="minorHAnsi" w:cstheme="minorHAnsi"/>
                <w:sz w:val="24"/>
                <w:szCs w:val="24"/>
              </w:rPr>
              <w:t xml:space="preserve"> powinn</w:t>
            </w:r>
            <w:r>
              <w:rPr>
                <w:rFonts w:asciiTheme="minorHAnsi" w:hAnsiTheme="minorHAnsi" w:cstheme="minorHAnsi"/>
                <w:sz w:val="24"/>
                <w:szCs w:val="24"/>
              </w:rPr>
              <w:t>y</w:t>
            </w:r>
            <w:r w:rsidRPr="00857F28">
              <w:rPr>
                <w:rFonts w:asciiTheme="minorHAnsi" w:hAnsiTheme="minorHAnsi" w:cstheme="minorHAnsi"/>
                <w:sz w:val="24"/>
                <w:szCs w:val="24"/>
              </w:rPr>
              <w:t xml:space="preserve"> charakteryzować się szerokości</w:t>
            </w:r>
            <w:r>
              <w:rPr>
                <w:rFonts w:asciiTheme="minorHAnsi" w:hAnsiTheme="minorHAnsi" w:cstheme="minorHAnsi"/>
                <w:sz w:val="24"/>
                <w:szCs w:val="24"/>
              </w:rPr>
              <w:t>ami</w:t>
            </w:r>
            <w:r w:rsidRPr="00857F28">
              <w:rPr>
                <w:rFonts w:asciiTheme="minorHAnsi" w:hAnsiTheme="minorHAnsi" w:cstheme="minorHAnsi"/>
                <w:sz w:val="24"/>
                <w:szCs w:val="24"/>
              </w:rPr>
              <w:t xml:space="preserve"> od </w:t>
            </w:r>
            <w:r>
              <w:rPr>
                <w:rFonts w:asciiTheme="minorHAnsi" w:hAnsiTheme="minorHAnsi" w:cstheme="minorHAnsi"/>
                <w:sz w:val="24"/>
                <w:szCs w:val="24"/>
              </w:rPr>
              <w:t>5</w:t>
            </w:r>
            <w:r w:rsidRPr="00857F28">
              <w:rPr>
                <w:rFonts w:asciiTheme="minorHAnsi" w:hAnsiTheme="minorHAnsi" w:cstheme="minorHAnsi"/>
                <w:sz w:val="24"/>
                <w:szCs w:val="24"/>
              </w:rPr>
              <w:t>,</w:t>
            </w:r>
            <w:r>
              <w:rPr>
                <w:rFonts w:asciiTheme="minorHAnsi" w:hAnsiTheme="minorHAnsi" w:cstheme="minorHAnsi"/>
                <w:sz w:val="24"/>
                <w:szCs w:val="24"/>
              </w:rPr>
              <w:t>0</w:t>
            </w:r>
            <w:r w:rsidRPr="00857F28">
              <w:rPr>
                <w:rFonts w:asciiTheme="minorHAnsi" w:hAnsiTheme="minorHAnsi" w:cstheme="minorHAnsi"/>
                <w:sz w:val="24"/>
                <w:szCs w:val="24"/>
              </w:rPr>
              <w:t xml:space="preserve"> m do </w:t>
            </w:r>
            <w:r>
              <w:rPr>
                <w:rFonts w:asciiTheme="minorHAnsi" w:hAnsiTheme="minorHAnsi" w:cstheme="minorHAnsi"/>
                <w:sz w:val="24"/>
                <w:szCs w:val="24"/>
              </w:rPr>
              <w:t>7</w:t>
            </w:r>
            <w:r w:rsidRPr="00857F28">
              <w:rPr>
                <w:rFonts w:asciiTheme="minorHAnsi" w:hAnsiTheme="minorHAnsi" w:cstheme="minorHAnsi"/>
                <w:sz w:val="24"/>
                <w:szCs w:val="24"/>
              </w:rPr>
              <w:t>,</w:t>
            </w:r>
            <w:r>
              <w:rPr>
                <w:rFonts w:asciiTheme="minorHAnsi" w:hAnsiTheme="minorHAnsi" w:cstheme="minorHAnsi"/>
                <w:sz w:val="24"/>
                <w:szCs w:val="24"/>
              </w:rPr>
              <w:t>6</w:t>
            </w:r>
            <w:r w:rsidRPr="00857F28">
              <w:rPr>
                <w:rFonts w:asciiTheme="minorHAnsi" w:hAnsiTheme="minorHAnsi" w:cstheme="minorHAnsi"/>
                <w:sz w:val="24"/>
                <w:szCs w:val="24"/>
              </w:rPr>
              <w:t xml:space="preserve"> m</w:t>
            </w:r>
            <w:r>
              <w:rPr>
                <w:rFonts w:asciiTheme="minorHAnsi" w:hAnsiTheme="minorHAnsi" w:cstheme="minorHAnsi"/>
                <w:sz w:val="24"/>
                <w:szCs w:val="24"/>
              </w:rPr>
              <w:t>.</w:t>
            </w:r>
            <w:r w:rsidRPr="002678C2">
              <w:rPr>
                <w:rFonts w:asciiTheme="minorHAnsi" w:hAnsiTheme="minorHAnsi" w:cstheme="minorHAnsi"/>
                <w:sz w:val="24"/>
                <w:szCs w:val="24"/>
              </w:rPr>
              <w:t xml:space="preserve"> Wnioskowan</w:t>
            </w:r>
            <w:r>
              <w:rPr>
                <w:rFonts w:asciiTheme="minorHAnsi" w:hAnsiTheme="minorHAnsi" w:cstheme="minorHAnsi"/>
                <w:sz w:val="24"/>
                <w:szCs w:val="24"/>
              </w:rPr>
              <w:t>e</w:t>
            </w:r>
            <w:r w:rsidRPr="002678C2">
              <w:rPr>
                <w:rFonts w:asciiTheme="minorHAnsi" w:hAnsiTheme="minorHAnsi" w:cstheme="minorHAnsi"/>
                <w:sz w:val="24"/>
                <w:szCs w:val="24"/>
              </w:rPr>
              <w:t xml:space="preserve"> szerokoś</w:t>
            </w:r>
            <w:r>
              <w:rPr>
                <w:rFonts w:asciiTheme="minorHAnsi" w:hAnsiTheme="minorHAnsi" w:cstheme="minorHAnsi"/>
                <w:sz w:val="24"/>
                <w:szCs w:val="24"/>
              </w:rPr>
              <w:t>ci</w:t>
            </w:r>
            <w:r w:rsidRPr="002678C2">
              <w:rPr>
                <w:rFonts w:asciiTheme="minorHAnsi" w:hAnsiTheme="minorHAnsi" w:cstheme="minorHAnsi"/>
                <w:sz w:val="24"/>
                <w:szCs w:val="24"/>
              </w:rPr>
              <w:t xml:space="preserve"> elewacji frontow</w:t>
            </w:r>
            <w:r>
              <w:rPr>
                <w:rFonts w:asciiTheme="minorHAnsi" w:hAnsiTheme="minorHAnsi" w:cstheme="minorHAnsi"/>
                <w:sz w:val="24"/>
                <w:szCs w:val="24"/>
              </w:rPr>
              <w:t>ych</w:t>
            </w:r>
            <w:r w:rsidRPr="002678C2">
              <w:rPr>
                <w:rFonts w:asciiTheme="minorHAnsi" w:hAnsiTheme="minorHAnsi" w:cstheme="minorHAnsi"/>
                <w:sz w:val="24"/>
                <w:szCs w:val="24"/>
              </w:rPr>
              <w:t xml:space="preserve"> </w:t>
            </w:r>
            <w:r>
              <w:rPr>
                <w:rFonts w:asciiTheme="minorHAnsi" w:hAnsiTheme="minorHAnsi" w:cstheme="minorHAnsi"/>
                <w:sz w:val="24"/>
                <w:szCs w:val="24"/>
              </w:rPr>
              <w:t>parownicy (ca 1,4 m) i kontenera</w:t>
            </w:r>
            <w:r w:rsidRPr="002678C2">
              <w:rPr>
                <w:rFonts w:asciiTheme="minorHAnsi" w:hAnsiTheme="minorHAnsi" w:cstheme="minorHAnsi"/>
                <w:sz w:val="24"/>
                <w:szCs w:val="24"/>
              </w:rPr>
              <w:t xml:space="preserve"> (</w:t>
            </w:r>
            <w:r>
              <w:rPr>
                <w:rFonts w:asciiTheme="minorHAnsi" w:hAnsiTheme="minorHAnsi" w:cstheme="minorHAnsi"/>
                <w:sz w:val="24"/>
                <w:szCs w:val="24"/>
              </w:rPr>
              <w:t>ca</w:t>
            </w:r>
            <w:r w:rsidRPr="002678C2">
              <w:rPr>
                <w:rFonts w:asciiTheme="minorHAnsi" w:hAnsiTheme="minorHAnsi" w:cstheme="minorHAnsi"/>
                <w:sz w:val="24"/>
                <w:szCs w:val="24"/>
              </w:rPr>
              <w:t xml:space="preserve"> </w:t>
            </w:r>
            <w:r>
              <w:rPr>
                <w:rFonts w:asciiTheme="minorHAnsi" w:hAnsiTheme="minorHAnsi" w:cstheme="minorHAnsi"/>
                <w:sz w:val="24"/>
                <w:szCs w:val="24"/>
              </w:rPr>
              <w:t>2,5</w:t>
            </w:r>
            <w:r w:rsidRPr="002678C2">
              <w:rPr>
                <w:rFonts w:asciiTheme="minorHAnsi" w:hAnsiTheme="minorHAnsi" w:cstheme="minorHAnsi"/>
                <w:sz w:val="24"/>
                <w:szCs w:val="24"/>
              </w:rPr>
              <w:t xml:space="preserve"> m)</w:t>
            </w:r>
            <w:r>
              <w:rPr>
                <w:rFonts w:asciiTheme="minorHAnsi" w:hAnsiTheme="minorHAnsi" w:cstheme="minorHAnsi"/>
                <w:sz w:val="24"/>
                <w:szCs w:val="24"/>
              </w:rPr>
              <w:t xml:space="preserve"> nie</w:t>
            </w:r>
            <w:r w:rsidRPr="002678C2">
              <w:rPr>
                <w:rFonts w:asciiTheme="minorHAnsi" w:hAnsiTheme="minorHAnsi" w:cstheme="minorHAnsi"/>
                <w:sz w:val="24"/>
                <w:szCs w:val="24"/>
              </w:rPr>
              <w:t xml:space="preserve"> mie</w:t>
            </w:r>
            <w:r>
              <w:rPr>
                <w:rFonts w:asciiTheme="minorHAnsi" w:hAnsiTheme="minorHAnsi" w:cstheme="minorHAnsi"/>
                <w:sz w:val="24"/>
                <w:szCs w:val="24"/>
              </w:rPr>
              <w:t>szczą</w:t>
            </w:r>
            <w:r w:rsidRPr="002678C2">
              <w:rPr>
                <w:rFonts w:asciiTheme="minorHAnsi" w:hAnsiTheme="minorHAnsi" w:cstheme="minorHAnsi"/>
                <w:sz w:val="24"/>
                <w:szCs w:val="24"/>
              </w:rPr>
              <w:t xml:space="preserve"> się w ramach standardowo wyznaczonej wielkości</w:t>
            </w:r>
            <w:r>
              <w:rPr>
                <w:rFonts w:asciiTheme="minorHAnsi" w:hAnsiTheme="minorHAnsi" w:cstheme="minorHAnsi"/>
                <w:sz w:val="24"/>
                <w:szCs w:val="24"/>
              </w:rPr>
              <w:t>, jednak mieszczą się w przedziale szerokości występujących w obszarze analizowanym, np. na działce o nr ewid. 22/8 – 1,</w:t>
            </w:r>
            <w:r w:rsidRPr="00F600BC">
              <w:rPr>
                <w:rFonts w:asciiTheme="minorHAnsi" w:hAnsiTheme="minorHAnsi" w:cstheme="minorHAnsi"/>
                <w:sz w:val="24"/>
                <w:szCs w:val="24"/>
              </w:rPr>
              <w:t>4 m i 3,4 m oraz 22/5 – 2,3 m, przez co wpiszą się w harmonijny sposób w istniejący ład przestrzenny okolicy</w:t>
            </w:r>
            <w:r w:rsidRPr="00F600BC">
              <w:rPr>
                <w:rFonts w:ascii="Calibri" w:hAnsi="Calibri"/>
                <w:bCs/>
                <w:sz w:val="24"/>
                <w:szCs w:val="24"/>
              </w:rPr>
              <w:t>.</w:t>
            </w:r>
            <w:r>
              <w:rPr>
                <w:rFonts w:ascii="Calibri" w:hAnsi="Calibri"/>
                <w:bCs/>
                <w:sz w:val="24"/>
                <w:szCs w:val="24"/>
              </w:rPr>
              <w:t xml:space="preserve"> </w:t>
            </w:r>
            <w:r w:rsidRPr="00FF0F0E">
              <w:rPr>
                <w:rFonts w:ascii="Calibri" w:hAnsi="Calibri"/>
                <w:bCs/>
                <w:sz w:val="24"/>
                <w:szCs w:val="24"/>
              </w:rPr>
              <w:t>Szerokość budynku znajdującego się natomiast na działce o nr ewid. 16,5 m, tak więc szerokość wiaty wynosząca ca 10,0 m zawierać się będzie w przedziale szerokości występujących w obszarze analizowanym i również nie zaburzy zastanego ładu przestrzennego.</w:t>
            </w:r>
          </w:p>
        </w:tc>
      </w:tr>
      <w:tr w:rsidR="007540C8" w:rsidRPr="002A20D5" w14:paraId="23DF29B0" w14:textId="77777777" w:rsidTr="0067248B">
        <w:tc>
          <w:tcPr>
            <w:tcW w:w="3514" w:type="dxa"/>
            <w:tcBorders>
              <w:top w:val="single" w:sz="2" w:space="0" w:color="auto"/>
              <w:bottom w:val="single" w:sz="2" w:space="0" w:color="auto"/>
              <w:right w:val="dotted" w:sz="4" w:space="0" w:color="auto"/>
            </w:tcBorders>
            <w:vAlign w:val="center"/>
          </w:tcPr>
          <w:p w14:paraId="05E51A14"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 xml:space="preserve">Wysokość górnej krawędzi </w:t>
            </w:r>
            <w:r w:rsidRPr="002A20D5">
              <w:rPr>
                <w:rFonts w:ascii="Calibri" w:hAnsi="Calibri"/>
                <w:bCs/>
                <w:iCs/>
                <w:sz w:val="24"/>
                <w:szCs w:val="24"/>
              </w:rPr>
              <w:t>elewacji frontowej</w:t>
            </w:r>
          </w:p>
        </w:tc>
        <w:tc>
          <w:tcPr>
            <w:tcW w:w="10087" w:type="dxa"/>
            <w:tcBorders>
              <w:top w:val="single" w:sz="2" w:space="0" w:color="auto"/>
              <w:left w:val="dotted" w:sz="4" w:space="0" w:color="auto"/>
              <w:bottom w:val="single" w:sz="2" w:space="0" w:color="auto"/>
            </w:tcBorders>
          </w:tcPr>
          <w:p w14:paraId="41263154" w14:textId="77777777" w:rsidR="007540C8" w:rsidRPr="007E639C" w:rsidRDefault="007540C8" w:rsidP="0067248B">
            <w:pPr>
              <w:spacing w:after="120"/>
              <w:jc w:val="both"/>
              <w:rPr>
                <w:rFonts w:ascii="Calibri" w:hAnsi="Calibri"/>
                <w:bCs/>
                <w:iCs/>
                <w:sz w:val="24"/>
                <w:szCs w:val="24"/>
              </w:rPr>
            </w:pPr>
            <w:r w:rsidRPr="007E639C">
              <w:rPr>
                <w:rFonts w:ascii="Calibri" w:hAnsi="Calibri"/>
                <w:bCs/>
                <w:iCs/>
                <w:sz w:val="24"/>
                <w:szCs w:val="24"/>
              </w:rPr>
              <w:t>Stosownie do § 7 ust. 1-3 wysokość górnej krawędzi elewacji frontowej, jej gzymsu lub attyki wyznacza się dla nowej zabudowy jako przedłużenie tych krawędzi odpowiednio do istniejącej zabudowy na działkach sąsiednich, przy czym</w:t>
            </w:r>
            <w:r>
              <w:rPr>
                <w:rFonts w:ascii="Calibri" w:hAnsi="Calibri"/>
                <w:bCs/>
                <w:iCs/>
                <w:sz w:val="24"/>
                <w:szCs w:val="24"/>
              </w:rPr>
              <w:t>,</w:t>
            </w:r>
            <w:r w:rsidRPr="007E639C">
              <w:rPr>
                <w:rFonts w:ascii="Calibri" w:hAnsi="Calibri"/>
                <w:bCs/>
                <w:iCs/>
                <w:sz w:val="24"/>
                <w:szCs w:val="24"/>
              </w:rPr>
              <w:t xml:space="preserve"> jeżeli wysokość ta przebiega tworząc uskok, przyjmuje się jej średnią </w:t>
            </w:r>
            <w:r w:rsidRPr="007E639C">
              <w:rPr>
                <w:rFonts w:ascii="Calibri" w:hAnsi="Calibri"/>
                <w:bCs/>
                <w:iCs/>
                <w:sz w:val="24"/>
                <w:szCs w:val="24"/>
              </w:rPr>
              <w:lastRenderedPageBreak/>
              <w:t>wielkość występującą w obszarze analizowanym. Nieruchomości sąsiednie terenu inwestycji są zabudowane</w:t>
            </w:r>
            <w:r>
              <w:rPr>
                <w:rFonts w:ascii="Calibri" w:hAnsi="Calibri"/>
                <w:bCs/>
                <w:iCs/>
                <w:sz w:val="24"/>
                <w:szCs w:val="24"/>
              </w:rPr>
              <w:t xml:space="preserve"> jedynie od strony północnej</w:t>
            </w:r>
            <w:r w:rsidRPr="007E639C">
              <w:rPr>
                <w:rFonts w:ascii="Calibri" w:hAnsi="Calibri"/>
                <w:bCs/>
                <w:iCs/>
                <w:sz w:val="24"/>
                <w:szCs w:val="24"/>
              </w:rPr>
              <w:t>,</w:t>
            </w:r>
            <w:r>
              <w:rPr>
                <w:rFonts w:ascii="Calibri" w:hAnsi="Calibri"/>
                <w:bCs/>
                <w:iCs/>
                <w:sz w:val="24"/>
                <w:szCs w:val="24"/>
              </w:rPr>
              <w:t xml:space="preserve"> a wysokość zabudowy jest zróżnicowana,</w:t>
            </w:r>
            <w:r w:rsidRPr="007E639C">
              <w:rPr>
                <w:rFonts w:ascii="Calibri" w:hAnsi="Calibri"/>
                <w:bCs/>
                <w:iCs/>
                <w:sz w:val="24"/>
                <w:szCs w:val="24"/>
              </w:rPr>
              <w:t xml:space="preserve"> a więc nie ma możliwości ustalenia wysokości planowan</w:t>
            </w:r>
            <w:r>
              <w:rPr>
                <w:rFonts w:ascii="Calibri" w:hAnsi="Calibri"/>
                <w:bCs/>
                <w:iCs/>
                <w:sz w:val="24"/>
                <w:szCs w:val="24"/>
              </w:rPr>
              <w:t>ych</w:t>
            </w:r>
            <w:r w:rsidRPr="007E639C">
              <w:rPr>
                <w:rFonts w:ascii="Calibri" w:hAnsi="Calibri"/>
                <w:bCs/>
                <w:iCs/>
                <w:sz w:val="24"/>
                <w:szCs w:val="24"/>
              </w:rPr>
              <w:t xml:space="preserve"> </w:t>
            </w:r>
            <w:r>
              <w:rPr>
                <w:rFonts w:ascii="Calibri" w:hAnsi="Calibri"/>
                <w:bCs/>
                <w:iCs/>
                <w:sz w:val="24"/>
                <w:szCs w:val="24"/>
              </w:rPr>
              <w:t>obiektów</w:t>
            </w:r>
            <w:r w:rsidRPr="007E639C">
              <w:rPr>
                <w:rFonts w:ascii="Calibri" w:hAnsi="Calibri"/>
                <w:bCs/>
                <w:iCs/>
                <w:sz w:val="24"/>
                <w:szCs w:val="24"/>
              </w:rPr>
              <w:t xml:space="preserve"> na ich podstawie. </w:t>
            </w:r>
          </w:p>
          <w:p w14:paraId="713F48F7" w14:textId="77777777" w:rsidR="007540C8" w:rsidRPr="002A20D5" w:rsidRDefault="007540C8" w:rsidP="0067248B">
            <w:pPr>
              <w:spacing w:after="120"/>
              <w:jc w:val="both"/>
              <w:rPr>
                <w:rFonts w:ascii="Calibri" w:hAnsi="Calibri"/>
                <w:bCs/>
                <w:iCs/>
                <w:sz w:val="24"/>
                <w:szCs w:val="24"/>
              </w:rPr>
            </w:pPr>
            <w:r w:rsidRPr="007E639C">
              <w:rPr>
                <w:rFonts w:ascii="Calibri" w:hAnsi="Calibri"/>
                <w:bCs/>
                <w:iCs/>
                <w:sz w:val="24"/>
                <w:szCs w:val="24"/>
              </w:rPr>
              <w:t xml:space="preserve">Zgodnie z § 7 ust. 4: dopuszcza się wyznaczenie innej wysokości, jeżeli wynika to z analizy. Wysokości górnych krawędzi elewacji frontowych </w:t>
            </w:r>
            <w:r>
              <w:rPr>
                <w:rFonts w:ascii="Calibri" w:hAnsi="Calibri"/>
                <w:bCs/>
                <w:iCs/>
                <w:sz w:val="24"/>
                <w:szCs w:val="24"/>
              </w:rPr>
              <w:t>obiektów</w:t>
            </w:r>
            <w:r w:rsidRPr="007E639C">
              <w:rPr>
                <w:rFonts w:ascii="Calibri" w:hAnsi="Calibri"/>
                <w:bCs/>
                <w:iCs/>
                <w:sz w:val="24"/>
                <w:szCs w:val="24"/>
              </w:rPr>
              <w:t xml:space="preserve"> znajdujących się w obszarze analizowanym wynoszą 2,0 m</w:t>
            </w:r>
            <w:r>
              <w:rPr>
                <w:rFonts w:ascii="Calibri" w:hAnsi="Calibri"/>
                <w:bCs/>
                <w:iCs/>
                <w:sz w:val="24"/>
                <w:szCs w:val="24"/>
              </w:rPr>
              <w:t>, 3,0 m i 7,0 m</w:t>
            </w:r>
            <w:r w:rsidRPr="007E639C">
              <w:rPr>
                <w:rFonts w:ascii="Calibri" w:hAnsi="Calibri"/>
                <w:bCs/>
                <w:iCs/>
                <w:sz w:val="24"/>
                <w:szCs w:val="24"/>
              </w:rPr>
              <w:t xml:space="preserve"> (na działce o nr ewid. </w:t>
            </w:r>
            <w:r>
              <w:rPr>
                <w:rFonts w:ascii="Calibri" w:hAnsi="Calibri"/>
                <w:bCs/>
                <w:iCs/>
                <w:sz w:val="24"/>
                <w:szCs w:val="24"/>
              </w:rPr>
              <w:t>22/8</w:t>
            </w:r>
            <w:r w:rsidRPr="007E639C">
              <w:rPr>
                <w:rFonts w:ascii="Calibri" w:hAnsi="Calibri"/>
                <w:bCs/>
                <w:iCs/>
                <w:sz w:val="24"/>
                <w:szCs w:val="24"/>
              </w:rPr>
              <w:t xml:space="preserve">), 2,5 m (na działce o nr ewid. </w:t>
            </w:r>
            <w:r>
              <w:rPr>
                <w:rFonts w:ascii="Calibri" w:hAnsi="Calibri"/>
                <w:bCs/>
                <w:iCs/>
                <w:sz w:val="24"/>
                <w:szCs w:val="24"/>
              </w:rPr>
              <w:t>22/5</w:t>
            </w:r>
            <w:r w:rsidRPr="007E639C">
              <w:rPr>
                <w:rFonts w:ascii="Calibri" w:hAnsi="Calibri"/>
                <w:bCs/>
                <w:iCs/>
                <w:sz w:val="24"/>
                <w:szCs w:val="24"/>
              </w:rPr>
              <w:t>)</w:t>
            </w:r>
            <w:r>
              <w:rPr>
                <w:rFonts w:ascii="Calibri" w:hAnsi="Calibri"/>
                <w:bCs/>
                <w:iCs/>
                <w:sz w:val="24"/>
                <w:szCs w:val="24"/>
              </w:rPr>
              <w:t>,</w:t>
            </w:r>
            <w:r w:rsidRPr="007E639C">
              <w:rPr>
                <w:rFonts w:ascii="Calibri" w:hAnsi="Calibri"/>
                <w:bCs/>
                <w:iCs/>
                <w:sz w:val="24"/>
                <w:szCs w:val="24"/>
              </w:rPr>
              <w:t xml:space="preserve"> </w:t>
            </w:r>
            <w:r>
              <w:rPr>
                <w:rFonts w:ascii="Calibri" w:hAnsi="Calibri"/>
                <w:bCs/>
                <w:iCs/>
                <w:sz w:val="24"/>
                <w:szCs w:val="24"/>
              </w:rPr>
              <w:t>4,5</w:t>
            </w:r>
            <w:r w:rsidRPr="007E639C">
              <w:rPr>
                <w:rFonts w:ascii="Calibri" w:hAnsi="Calibri"/>
                <w:bCs/>
                <w:iCs/>
                <w:sz w:val="24"/>
                <w:szCs w:val="24"/>
              </w:rPr>
              <w:t xml:space="preserve"> m (na działce o nr ewid. </w:t>
            </w:r>
            <w:r>
              <w:rPr>
                <w:rFonts w:ascii="Calibri" w:hAnsi="Calibri"/>
                <w:bCs/>
                <w:iCs/>
                <w:sz w:val="24"/>
                <w:szCs w:val="24"/>
              </w:rPr>
              <w:t>22/6</w:t>
            </w:r>
            <w:r w:rsidRPr="007E639C">
              <w:rPr>
                <w:rFonts w:ascii="Calibri" w:hAnsi="Calibri"/>
                <w:bCs/>
                <w:iCs/>
                <w:sz w:val="24"/>
                <w:szCs w:val="24"/>
              </w:rPr>
              <w:t>)</w:t>
            </w:r>
            <w:r>
              <w:rPr>
                <w:rFonts w:ascii="Calibri" w:hAnsi="Calibri"/>
                <w:bCs/>
                <w:iCs/>
                <w:sz w:val="24"/>
                <w:szCs w:val="24"/>
              </w:rPr>
              <w:t xml:space="preserve"> oraz 6,0 m (na działce o nr ewid. 26/2)</w:t>
            </w:r>
            <w:r w:rsidRPr="007E639C">
              <w:rPr>
                <w:rFonts w:ascii="Calibri" w:hAnsi="Calibri"/>
                <w:bCs/>
                <w:iCs/>
                <w:sz w:val="24"/>
                <w:szCs w:val="24"/>
              </w:rPr>
              <w:t>, a więc jest możliwość ustalenia wysokości na poziomie 2,5 m</w:t>
            </w:r>
            <w:r>
              <w:rPr>
                <w:rFonts w:ascii="Calibri" w:hAnsi="Calibri"/>
                <w:bCs/>
                <w:iCs/>
                <w:sz w:val="24"/>
                <w:szCs w:val="24"/>
              </w:rPr>
              <w:t xml:space="preserve"> i 6,2 m</w:t>
            </w:r>
            <w:r w:rsidRPr="007E639C">
              <w:rPr>
                <w:rFonts w:ascii="Calibri" w:hAnsi="Calibri"/>
                <w:bCs/>
                <w:iCs/>
                <w:sz w:val="24"/>
                <w:szCs w:val="24"/>
              </w:rPr>
              <w:t>, co wynika z przeprowadzonej analizy.</w:t>
            </w:r>
          </w:p>
        </w:tc>
      </w:tr>
      <w:tr w:rsidR="007540C8" w:rsidRPr="002A20D5" w14:paraId="4990F5AD" w14:textId="77777777" w:rsidTr="0067248B">
        <w:tc>
          <w:tcPr>
            <w:tcW w:w="13601" w:type="dxa"/>
            <w:gridSpan w:val="2"/>
            <w:tcBorders>
              <w:top w:val="single" w:sz="2" w:space="0" w:color="auto"/>
              <w:bottom w:val="dotted" w:sz="4" w:space="0" w:color="auto"/>
            </w:tcBorders>
            <w:vAlign w:val="center"/>
          </w:tcPr>
          <w:p w14:paraId="434F0573"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lastRenderedPageBreak/>
              <w:t>Geometria dachu ustalona odpowiednio do geometrii dachów występujących na obszarze analizowanym</w:t>
            </w:r>
          </w:p>
        </w:tc>
      </w:tr>
      <w:tr w:rsidR="007540C8" w:rsidRPr="002A20D5" w14:paraId="0D522572" w14:textId="77777777" w:rsidTr="0067248B">
        <w:tc>
          <w:tcPr>
            <w:tcW w:w="3514" w:type="dxa"/>
            <w:tcBorders>
              <w:top w:val="dotted" w:sz="4" w:space="0" w:color="auto"/>
              <w:bottom w:val="dotted" w:sz="4" w:space="0" w:color="auto"/>
              <w:right w:val="dotted" w:sz="4" w:space="0" w:color="auto"/>
            </w:tcBorders>
            <w:vAlign w:val="center"/>
          </w:tcPr>
          <w:p w14:paraId="592DD313"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kąt nachylenia</w:t>
            </w:r>
          </w:p>
        </w:tc>
        <w:tc>
          <w:tcPr>
            <w:tcW w:w="10087" w:type="dxa"/>
            <w:tcBorders>
              <w:top w:val="dotted" w:sz="4" w:space="0" w:color="auto"/>
              <w:left w:val="dotted" w:sz="4" w:space="0" w:color="auto"/>
              <w:bottom w:val="dotted" w:sz="4" w:space="0" w:color="auto"/>
            </w:tcBorders>
            <w:vAlign w:val="center"/>
          </w:tcPr>
          <w:p w14:paraId="4E0768F4" w14:textId="77777777" w:rsidR="007540C8" w:rsidRPr="002A20D5" w:rsidRDefault="007540C8" w:rsidP="0067248B">
            <w:pPr>
              <w:spacing w:after="120"/>
              <w:jc w:val="both"/>
              <w:rPr>
                <w:rFonts w:ascii="Calibri" w:hAnsi="Calibri" w:cs="Times New Roman"/>
                <w:bCs/>
                <w:sz w:val="24"/>
                <w:szCs w:val="24"/>
              </w:rPr>
            </w:pPr>
            <w:r w:rsidRPr="00B77DA1">
              <w:rPr>
                <w:rFonts w:ascii="Calibri" w:hAnsi="Calibri" w:cs="Times New Roman"/>
                <w:bCs/>
                <w:sz w:val="24"/>
                <w:szCs w:val="24"/>
                <w:shd w:val="clear" w:color="auto" w:fill="FFFFFF"/>
              </w:rPr>
              <w:t>ustalono dach</w:t>
            </w:r>
            <w:r>
              <w:rPr>
                <w:rFonts w:ascii="Calibri" w:hAnsi="Calibri" w:cs="Times New Roman"/>
                <w:bCs/>
                <w:sz w:val="24"/>
                <w:szCs w:val="24"/>
                <w:shd w:val="clear" w:color="auto" w:fill="FFFFFF"/>
              </w:rPr>
              <w:t>y</w:t>
            </w:r>
            <w:r w:rsidRPr="00B77DA1">
              <w:rPr>
                <w:rFonts w:ascii="Calibri" w:hAnsi="Calibri" w:cs="Times New Roman"/>
                <w:bCs/>
                <w:sz w:val="24"/>
                <w:szCs w:val="24"/>
                <w:shd w:val="clear" w:color="auto" w:fill="FFFFFF"/>
              </w:rPr>
              <w:t xml:space="preserve"> o nachyleniu połaci dachowych nie większy niż 12° - w obszarze analizowanym występują</w:t>
            </w:r>
            <w:r>
              <w:rPr>
                <w:rFonts w:ascii="Calibri" w:hAnsi="Calibri" w:cs="Times New Roman"/>
                <w:bCs/>
                <w:sz w:val="24"/>
                <w:szCs w:val="24"/>
                <w:shd w:val="clear" w:color="auto" w:fill="FFFFFF"/>
              </w:rPr>
              <w:t xml:space="preserve"> wyłącznie</w:t>
            </w:r>
            <w:r w:rsidRPr="00B77DA1">
              <w:rPr>
                <w:rFonts w:ascii="Calibri" w:hAnsi="Calibri" w:cs="Times New Roman"/>
                <w:bCs/>
                <w:sz w:val="24"/>
                <w:szCs w:val="24"/>
                <w:shd w:val="clear" w:color="auto" w:fill="FFFFFF"/>
              </w:rPr>
              <w:t xml:space="preserve"> dachy o nachyleniu połaci dachowych nie większym niż 12°</w:t>
            </w:r>
          </w:p>
        </w:tc>
      </w:tr>
      <w:tr w:rsidR="007540C8" w:rsidRPr="002A20D5" w14:paraId="71BACCB8" w14:textId="77777777" w:rsidTr="0067248B">
        <w:tc>
          <w:tcPr>
            <w:tcW w:w="3514" w:type="dxa"/>
            <w:tcBorders>
              <w:top w:val="dotted" w:sz="4" w:space="0" w:color="auto"/>
              <w:bottom w:val="dotted" w:sz="4" w:space="0" w:color="auto"/>
              <w:right w:val="dotted" w:sz="4" w:space="0" w:color="auto"/>
            </w:tcBorders>
            <w:vAlign w:val="center"/>
          </w:tcPr>
          <w:p w14:paraId="237340DC"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wysokość głównej kalenicy</w:t>
            </w:r>
          </w:p>
        </w:tc>
        <w:tc>
          <w:tcPr>
            <w:tcW w:w="10087" w:type="dxa"/>
            <w:tcBorders>
              <w:top w:val="dotted" w:sz="4" w:space="0" w:color="auto"/>
              <w:left w:val="dotted" w:sz="4" w:space="0" w:color="auto"/>
              <w:bottom w:val="dotted" w:sz="4" w:space="0" w:color="auto"/>
            </w:tcBorders>
            <w:vAlign w:val="center"/>
          </w:tcPr>
          <w:p w14:paraId="178C057A" w14:textId="77777777" w:rsidR="007540C8" w:rsidRPr="002A20D5" w:rsidRDefault="007540C8" w:rsidP="0067248B">
            <w:pPr>
              <w:spacing w:after="120"/>
              <w:jc w:val="both"/>
              <w:rPr>
                <w:rFonts w:ascii="Calibri" w:hAnsi="Calibri"/>
                <w:bCs/>
                <w:sz w:val="24"/>
                <w:szCs w:val="24"/>
              </w:rPr>
            </w:pPr>
            <w:r w:rsidRPr="00B77DA1">
              <w:rPr>
                <w:rFonts w:ascii="Calibri" w:hAnsi="Calibri" w:cs="Times New Roman"/>
                <w:bCs/>
                <w:sz w:val="24"/>
                <w:szCs w:val="24"/>
                <w:shd w:val="clear" w:color="auto" w:fill="FFFFFF"/>
              </w:rPr>
              <w:t xml:space="preserve">nie ustalono wysokości do kalenicy ze względu na zastosowanie stropodachów, czyli dachów tzw. płaskich - w obszarze analizowanym występują </w:t>
            </w:r>
            <w:r>
              <w:rPr>
                <w:rFonts w:ascii="Calibri" w:hAnsi="Calibri" w:cs="Times New Roman"/>
                <w:bCs/>
                <w:sz w:val="24"/>
                <w:szCs w:val="24"/>
                <w:shd w:val="clear" w:color="auto" w:fill="FFFFFF"/>
              </w:rPr>
              <w:t>obiekty</w:t>
            </w:r>
            <w:r w:rsidRPr="00B77DA1">
              <w:rPr>
                <w:rFonts w:ascii="Calibri" w:hAnsi="Calibri" w:cs="Times New Roman"/>
                <w:bCs/>
                <w:sz w:val="24"/>
                <w:szCs w:val="24"/>
                <w:shd w:val="clear" w:color="auto" w:fill="FFFFFF"/>
              </w:rPr>
              <w:t xml:space="preserve"> o wysokości całkowitej ze stropodachami od </w:t>
            </w:r>
            <w:r>
              <w:rPr>
                <w:rFonts w:ascii="Calibri" w:hAnsi="Calibri" w:cs="Times New Roman"/>
                <w:bCs/>
                <w:sz w:val="24"/>
                <w:szCs w:val="24"/>
                <w:shd w:val="clear" w:color="auto" w:fill="FFFFFF"/>
              </w:rPr>
              <w:t>2,0</w:t>
            </w:r>
            <w:r w:rsidRPr="00B77DA1">
              <w:rPr>
                <w:rFonts w:ascii="Calibri" w:hAnsi="Calibri" w:cs="Times New Roman"/>
                <w:bCs/>
                <w:sz w:val="24"/>
                <w:szCs w:val="24"/>
                <w:shd w:val="clear" w:color="auto" w:fill="FFFFFF"/>
              </w:rPr>
              <w:t xml:space="preserve"> m do </w:t>
            </w:r>
            <w:r>
              <w:rPr>
                <w:rFonts w:ascii="Calibri" w:hAnsi="Calibri" w:cs="Times New Roman"/>
                <w:bCs/>
                <w:sz w:val="24"/>
                <w:szCs w:val="24"/>
                <w:shd w:val="clear" w:color="auto" w:fill="FFFFFF"/>
              </w:rPr>
              <w:t>6,5</w:t>
            </w:r>
            <w:r w:rsidRPr="00B77DA1">
              <w:rPr>
                <w:rFonts w:ascii="Calibri" w:hAnsi="Calibri" w:cs="Times New Roman"/>
                <w:bCs/>
                <w:sz w:val="24"/>
                <w:szCs w:val="24"/>
                <w:shd w:val="clear" w:color="auto" w:fill="FFFFFF"/>
              </w:rPr>
              <w:t xml:space="preserve"> m</w:t>
            </w:r>
            <w:r>
              <w:rPr>
                <w:rFonts w:ascii="Calibri" w:hAnsi="Calibri" w:cs="Times New Roman"/>
                <w:bCs/>
                <w:sz w:val="24"/>
                <w:szCs w:val="24"/>
                <w:shd w:val="clear" w:color="auto" w:fill="FFFFFF"/>
              </w:rPr>
              <w:t>, a wiaty o wysokości ca 7,0 m</w:t>
            </w:r>
          </w:p>
        </w:tc>
      </w:tr>
      <w:tr w:rsidR="007540C8" w:rsidRPr="002A20D5" w14:paraId="57AD2B40" w14:textId="77777777" w:rsidTr="0067248B">
        <w:tc>
          <w:tcPr>
            <w:tcW w:w="3514" w:type="dxa"/>
            <w:tcBorders>
              <w:top w:val="dotted" w:sz="4" w:space="0" w:color="auto"/>
              <w:bottom w:val="dotted" w:sz="4" w:space="0" w:color="auto"/>
              <w:right w:val="dotted" w:sz="4" w:space="0" w:color="auto"/>
            </w:tcBorders>
            <w:vAlign w:val="center"/>
          </w:tcPr>
          <w:p w14:paraId="264C9FEA"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układ połaci dachowych</w:t>
            </w:r>
          </w:p>
        </w:tc>
        <w:tc>
          <w:tcPr>
            <w:tcW w:w="10087" w:type="dxa"/>
            <w:tcBorders>
              <w:top w:val="dotted" w:sz="4" w:space="0" w:color="auto"/>
              <w:left w:val="dotted" w:sz="4" w:space="0" w:color="auto"/>
              <w:bottom w:val="dotted" w:sz="4" w:space="0" w:color="auto"/>
            </w:tcBorders>
            <w:vAlign w:val="center"/>
          </w:tcPr>
          <w:p w14:paraId="649F8B3A" w14:textId="77777777" w:rsidR="007540C8" w:rsidRPr="002A20D5" w:rsidRDefault="007540C8" w:rsidP="0067248B">
            <w:pPr>
              <w:spacing w:after="120"/>
              <w:jc w:val="both"/>
              <w:rPr>
                <w:rFonts w:ascii="Calibri" w:hAnsi="Calibri" w:cs="Times New Roman"/>
                <w:bCs/>
                <w:sz w:val="24"/>
                <w:szCs w:val="24"/>
              </w:rPr>
            </w:pPr>
            <w:r>
              <w:rPr>
                <w:rFonts w:ascii="Calibri" w:hAnsi="Calibri" w:cs="Times New Roman"/>
                <w:bCs/>
                <w:sz w:val="24"/>
                <w:szCs w:val="24"/>
              </w:rPr>
              <w:t>nie ustalono</w:t>
            </w:r>
            <w:r w:rsidRPr="00B77DA1">
              <w:rPr>
                <w:rFonts w:ascii="Calibri" w:hAnsi="Calibri" w:cs="Times New Roman"/>
                <w:bCs/>
                <w:sz w:val="24"/>
                <w:szCs w:val="24"/>
              </w:rPr>
              <w:t xml:space="preserve"> - w obszarze analizowanym występują </w:t>
            </w:r>
            <w:r>
              <w:rPr>
                <w:rFonts w:ascii="Calibri" w:hAnsi="Calibri" w:cs="Times New Roman"/>
                <w:bCs/>
                <w:sz w:val="24"/>
                <w:szCs w:val="24"/>
              </w:rPr>
              <w:t xml:space="preserve">wyłącznie </w:t>
            </w:r>
            <w:r w:rsidRPr="00B77DA1">
              <w:rPr>
                <w:rFonts w:ascii="Calibri" w:hAnsi="Calibri" w:cs="Times New Roman"/>
                <w:bCs/>
                <w:sz w:val="24"/>
                <w:szCs w:val="24"/>
              </w:rPr>
              <w:t>dachy tzw. płaskie</w:t>
            </w:r>
          </w:p>
        </w:tc>
      </w:tr>
      <w:tr w:rsidR="007540C8" w:rsidRPr="002A20D5" w14:paraId="0EFEDF63" w14:textId="77777777" w:rsidTr="0067248B">
        <w:tc>
          <w:tcPr>
            <w:tcW w:w="3514" w:type="dxa"/>
            <w:tcBorders>
              <w:top w:val="dotted" w:sz="4" w:space="0" w:color="auto"/>
              <w:right w:val="dotted" w:sz="4" w:space="0" w:color="auto"/>
            </w:tcBorders>
            <w:vAlign w:val="center"/>
          </w:tcPr>
          <w:p w14:paraId="296127C5" w14:textId="77777777" w:rsidR="007540C8" w:rsidRPr="002A20D5" w:rsidRDefault="007540C8" w:rsidP="0067248B">
            <w:pPr>
              <w:spacing w:after="120"/>
              <w:jc w:val="both"/>
              <w:rPr>
                <w:rFonts w:ascii="Calibri" w:hAnsi="Calibri"/>
                <w:bCs/>
                <w:sz w:val="24"/>
                <w:szCs w:val="24"/>
              </w:rPr>
            </w:pPr>
            <w:r w:rsidRPr="002A20D5">
              <w:rPr>
                <w:rFonts w:ascii="Calibri" w:hAnsi="Calibri"/>
                <w:bCs/>
                <w:sz w:val="24"/>
                <w:szCs w:val="24"/>
              </w:rPr>
              <w:t>kierunek głównej kalenicy dachu w stosunku do frontu działki</w:t>
            </w:r>
          </w:p>
        </w:tc>
        <w:tc>
          <w:tcPr>
            <w:tcW w:w="10087" w:type="dxa"/>
            <w:tcBorders>
              <w:top w:val="dotted" w:sz="4" w:space="0" w:color="auto"/>
              <w:left w:val="dotted" w:sz="4" w:space="0" w:color="auto"/>
            </w:tcBorders>
            <w:vAlign w:val="center"/>
          </w:tcPr>
          <w:p w14:paraId="0F3F6B2A" w14:textId="77777777" w:rsidR="007540C8" w:rsidRPr="002A20D5" w:rsidRDefault="007540C8" w:rsidP="0067248B">
            <w:pPr>
              <w:spacing w:after="120"/>
              <w:jc w:val="both"/>
              <w:rPr>
                <w:rFonts w:ascii="Calibri" w:hAnsi="Calibri" w:cs="Times New Roman"/>
                <w:bCs/>
                <w:color w:val="FF0000"/>
                <w:sz w:val="24"/>
                <w:szCs w:val="24"/>
              </w:rPr>
            </w:pPr>
            <w:r w:rsidRPr="00B77DA1">
              <w:rPr>
                <w:rFonts w:ascii="Calibri" w:hAnsi="Calibri" w:cs="Times New Roman"/>
                <w:bCs/>
                <w:sz w:val="24"/>
                <w:szCs w:val="24"/>
                <w:shd w:val="clear" w:color="auto" w:fill="FFFFFF"/>
              </w:rPr>
              <w:t>nie ustalono ze względu na brak kalenicy – w obszarze analizowanym występuj</w:t>
            </w:r>
            <w:r>
              <w:rPr>
                <w:rFonts w:ascii="Calibri" w:hAnsi="Calibri" w:cs="Times New Roman"/>
                <w:bCs/>
                <w:sz w:val="24"/>
                <w:szCs w:val="24"/>
                <w:shd w:val="clear" w:color="auto" w:fill="FFFFFF"/>
              </w:rPr>
              <w:t>e</w:t>
            </w:r>
            <w:r w:rsidRPr="00B77DA1">
              <w:rPr>
                <w:rFonts w:ascii="Calibri" w:hAnsi="Calibri" w:cs="Times New Roman"/>
                <w:bCs/>
                <w:sz w:val="24"/>
                <w:szCs w:val="24"/>
                <w:shd w:val="clear" w:color="auto" w:fill="FFFFFF"/>
              </w:rPr>
              <w:t xml:space="preserve"> dach o szczytowym (</w:t>
            </w:r>
            <w:r>
              <w:rPr>
                <w:rFonts w:ascii="Calibri" w:hAnsi="Calibri" w:cs="Times New Roman"/>
                <w:bCs/>
                <w:sz w:val="24"/>
                <w:szCs w:val="24"/>
                <w:shd w:val="clear" w:color="auto" w:fill="FFFFFF"/>
              </w:rPr>
              <w:t>prostopadłym</w:t>
            </w:r>
            <w:r w:rsidRPr="00B77DA1">
              <w:rPr>
                <w:rFonts w:ascii="Calibri" w:hAnsi="Calibri" w:cs="Times New Roman"/>
                <w:bCs/>
                <w:sz w:val="24"/>
                <w:szCs w:val="24"/>
                <w:shd w:val="clear" w:color="auto" w:fill="FFFFFF"/>
              </w:rPr>
              <w:t xml:space="preserve"> lub zbliżonym do </w:t>
            </w:r>
            <w:r>
              <w:rPr>
                <w:rFonts w:ascii="Calibri" w:hAnsi="Calibri" w:cs="Times New Roman"/>
                <w:bCs/>
                <w:sz w:val="24"/>
                <w:szCs w:val="24"/>
                <w:shd w:val="clear" w:color="auto" w:fill="FFFFFF"/>
              </w:rPr>
              <w:t>prostopadłego</w:t>
            </w:r>
            <w:r w:rsidRPr="00B77DA1">
              <w:rPr>
                <w:rFonts w:ascii="Calibri" w:hAnsi="Calibri" w:cs="Times New Roman"/>
                <w:bCs/>
                <w:sz w:val="24"/>
                <w:szCs w:val="24"/>
                <w:shd w:val="clear" w:color="auto" w:fill="FFFFFF"/>
              </w:rPr>
              <w:t>) kierunku kalenicy w stosunku do frontu działk</w:t>
            </w:r>
            <w:r>
              <w:rPr>
                <w:rFonts w:ascii="Calibri" w:hAnsi="Calibri" w:cs="Times New Roman"/>
                <w:bCs/>
                <w:sz w:val="24"/>
                <w:szCs w:val="24"/>
                <w:shd w:val="clear" w:color="auto" w:fill="FFFFFF"/>
              </w:rPr>
              <w:t>i</w:t>
            </w:r>
          </w:p>
        </w:tc>
      </w:tr>
    </w:tbl>
    <w:p w14:paraId="62CC841F" w14:textId="77777777" w:rsidR="007540C8" w:rsidRPr="00B134A7" w:rsidRDefault="007540C8" w:rsidP="007540C8">
      <w:pPr>
        <w:spacing w:after="120"/>
        <w:jc w:val="both"/>
        <w:rPr>
          <w:rFonts w:ascii="Calibri" w:hAnsi="Calibri"/>
        </w:rPr>
      </w:pPr>
    </w:p>
    <w:p w14:paraId="09026B6A" w14:textId="77777777" w:rsidR="007540C8" w:rsidRDefault="007540C8" w:rsidP="00B76730">
      <w:pPr>
        <w:pStyle w:val="Standard"/>
        <w:spacing w:after="0" w:line="240" w:lineRule="auto"/>
        <w:jc w:val="both"/>
        <w:rPr>
          <w:sz w:val="20"/>
          <w:szCs w:val="20"/>
        </w:rPr>
        <w:sectPr w:rsidR="007540C8" w:rsidSect="007540C8">
          <w:pgSz w:w="16838" w:h="11906" w:orient="landscape"/>
          <w:pgMar w:top="1417" w:right="1417" w:bottom="1417" w:left="1417" w:header="708" w:footer="708" w:gutter="0"/>
          <w:cols w:space="708"/>
          <w:docGrid w:linePitch="360"/>
        </w:sectPr>
      </w:pPr>
    </w:p>
    <w:p w14:paraId="6F8F435F" w14:textId="46CE9846" w:rsidR="00053E5A" w:rsidRPr="005F4309" w:rsidRDefault="007540C8" w:rsidP="00B76730">
      <w:pPr>
        <w:pStyle w:val="Standard"/>
        <w:spacing w:after="0" w:line="240" w:lineRule="auto"/>
        <w:jc w:val="both"/>
        <w:rPr>
          <w:sz w:val="20"/>
          <w:szCs w:val="20"/>
        </w:rPr>
      </w:pPr>
      <w:r>
        <w:rPr>
          <w:noProof/>
          <w:sz w:val="20"/>
          <w:szCs w:val="20"/>
        </w:rPr>
        <w:lastRenderedPageBreak/>
        <w:drawing>
          <wp:inline distT="0" distB="0" distL="0" distR="0" wp14:anchorId="7133D04D" wp14:editId="22E503C6">
            <wp:extent cx="8181975" cy="5762625"/>
            <wp:effectExtent l="0" t="0" r="9525" b="9525"/>
            <wp:docPr id="141568321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81975" cy="5762625"/>
                    </a:xfrm>
                    <a:prstGeom prst="rect">
                      <a:avLst/>
                    </a:prstGeom>
                    <a:noFill/>
                    <a:ln>
                      <a:noFill/>
                    </a:ln>
                  </pic:spPr>
                </pic:pic>
              </a:graphicData>
            </a:graphic>
          </wp:inline>
        </w:drawing>
      </w:r>
    </w:p>
    <w:sectPr w:rsidR="00053E5A" w:rsidRPr="005F4309" w:rsidSect="007540C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69B1" w14:textId="77777777" w:rsidR="009142B1" w:rsidRDefault="009142B1" w:rsidP="00053E5A">
      <w:pPr>
        <w:spacing w:after="0" w:line="240" w:lineRule="auto"/>
      </w:pPr>
      <w:r>
        <w:separator/>
      </w:r>
    </w:p>
  </w:endnote>
  <w:endnote w:type="continuationSeparator" w:id="0">
    <w:p w14:paraId="552FB88C" w14:textId="77777777" w:rsidR="009142B1" w:rsidRDefault="009142B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67D7A" w14:textId="4BD9FA15" w:rsidR="00945706" w:rsidRDefault="00C44E21" w:rsidP="00C44E21">
    <w:pPr>
      <w:pStyle w:val="Stopka"/>
      <w:tabs>
        <w:tab w:val="clear" w:pos="4536"/>
        <w:tab w:val="clear" w:pos="9072"/>
        <w:tab w:val="left" w:pos="709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3411528" name="Obraz 7341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7997453"/>
      <w:docPartObj>
        <w:docPartGallery w:val="Page Numbers (Bottom of Page)"/>
        <w:docPartUnique/>
      </w:docPartObj>
    </w:sdtPr>
    <w:sdtContent>
      <w:sdt>
        <w:sdtPr>
          <w:id w:val="98381352"/>
          <w:docPartObj>
            <w:docPartGallery w:val="Page Numbers (Top of Page)"/>
            <w:docPartUnique/>
          </w:docPartObj>
        </w:sdtPr>
        <w:sdtContent>
          <w:p w14:paraId="5AF58B14" w14:textId="77777777" w:rsidR="007540C8" w:rsidRDefault="007540C8" w:rsidP="00E901C1">
            <w:pPr>
              <w:pStyle w:val="Stopka"/>
              <w:jc w:val="center"/>
            </w:pPr>
            <w:r w:rsidRPr="000257EC">
              <w:rPr>
                <w:rFonts w:cstheme="minorHAnsi"/>
                <w:szCs w:val="28"/>
              </w:rPr>
              <w:t xml:space="preserve">Strona </w:t>
            </w:r>
            <w:r w:rsidRPr="000257EC">
              <w:rPr>
                <w:rFonts w:cstheme="minorHAnsi"/>
                <w:szCs w:val="28"/>
              </w:rPr>
              <w:fldChar w:fldCharType="begin"/>
            </w:r>
            <w:r w:rsidRPr="000257EC">
              <w:rPr>
                <w:rFonts w:cstheme="minorHAnsi"/>
                <w:szCs w:val="28"/>
              </w:rPr>
              <w:instrText>PAGE</w:instrText>
            </w:r>
            <w:r w:rsidRPr="000257EC">
              <w:rPr>
                <w:rFonts w:cstheme="minorHAnsi"/>
                <w:szCs w:val="28"/>
              </w:rPr>
              <w:fldChar w:fldCharType="separate"/>
            </w:r>
            <w:r w:rsidRPr="000257EC">
              <w:rPr>
                <w:rFonts w:cstheme="minorHAnsi"/>
                <w:noProof/>
                <w:szCs w:val="28"/>
              </w:rPr>
              <w:t>1</w:t>
            </w:r>
            <w:r w:rsidRPr="000257EC">
              <w:rPr>
                <w:rFonts w:cstheme="minorHAnsi"/>
                <w:szCs w:val="28"/>
              </w:rPr>
              <w:fldChar w:fldCharType="end"/>
            </w:r>
            <w:r w:rsidRPr="000257EC">
              <w:rPr>
                <w:rFonts w:cstheme="minorHAnsi"/>
                <w:szCs w:val="28"/>
              </w:rPr>
              <w:t xml:space="preserve"> z </w:t>
            </w:r>
            <w:r w:rsidRPr="000257EC">
              <w:rPr>
                <w:rFonts w:cstheme="minorHAnsi"/>
                <w:szCs w:val="28"/>
              </w:rPr>
              <w:fldChar w:fldCharType="begin"/>
            </w:r>
            <w:r w:rsidRPr="000257EC">
              <w:rPr>
                <w:rFonts w:cstheme="minorHAnsi"/>
                <w:szCs w:val="28"/>
              </w:rPr>
              <w:instrText>NUMPAGES</w:instrText>
            </w:r>
            <w:r w:rsidRPr="000257EC">
              <w:rPr>
                <w:rFonts w:cstheme="minorHAnsi"/>
                <w:szCs w:val="28"/>
              </w:rPr>
              <w:fldChar w:fldCharType="separate"/>
            </w:r>
            <w:r w:rsidRPr="000257EC">
              <w:rPr>
                <w:rFonts w:cstheme="minorHAnsi"/>
                <w:noProof/>
                <w:szCs w:val="28"/>
              </w:rPr>
              <w:t>3</w:t>
            </w:r>
            <w:r w:rsidRPr="000257EC">
              <w:rPr>
                <w:rFonts w:cstheme="minorHAnsi"/>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318D5" w14:textId="77777777" w:rsidR="009142B1" w:rsidRDefault="009142B1" w:rsidP="00053E5A">
      <w:pPr>
        <w:spacing w:after="0" w:line="240" w:lineRule="auto"/>
      </w:pPr>
      <w:r>
        <w:separator/>
      </w:r>
    </w:p>
  </w:footnote>
  <w:footnote w:type="continuationSeparator" w:id="0">
    <w:p w14:paraId="252C62F4" w14:textId="77777777" w:rsidR="009142B1" w:rsidRDefault="009142B1" w:rsidP="00053E5A">
      <w:pPr>
        <w:spacing w:after="0" w:line="240" w:lineRule="auto"/>
      </w:pPr>
      <w:r>
        <w:continuationSeparator/>
      </w:r>
    </w:p>
  </w:footnote>
  <w:footnote w:id="1">
    <w:p w14:paraId="09CE1455" w14:textId="77777777" w:rsidR="005438BA" w:rsidRPr="006027DF" w:rsidRDefault="005438BA" w:rsidP="005438BA">
      <w:pPr>
        <w:pStyle w:val="Tekstprzypisudolnego"/>
        <w:rPr>
          <w:sz w:val="28"/>
          <w:szCs w:val="28"/>
        </w:rPr>
      </w:pPr>
      <w:r w:rsidRPr="006027DF">
        <w:rPr>
          <w:rStyle w:val="Odwoanieprzypisudolnego"/>
          <w:sz w:val="28"/>
          <w:szCs w:val="28"/>
        </w:rPr>
        <w:footnoteRef/>
      </w:r>
      <w:r w:rsidRPr="006027DF">
        <w:rPr>
          <w:sz w:val="28"/>
          <w:szCs w:val="28"/>
        </w:rPr>
        <w:t xml:space="preserve"> Stosownie do art. 61 ust. 5a zdanie drugie u.p.z.p. przez front terenu należy rozumieć tę część granicy działki budowlanej, która przylega do drogi publicznej lub wewnętrznej, z której odbywa się główny wjazd na działkę. Front terenu został oznaczony w załączniku nr 1 do decyzji.</w:t>
      </w:r>
    </w:p>
  </w:footnote>
  <w:footnote w:id="2">
    <w:p w14:paraId="41EEBA20" w14:textId="77777777" w:rsidR="005438BA" w:rsidRPr="006027DF" w:rsidRDefault="005438BA" w:rsidP="005438BA">
      <w:pPr>
        <w:pStyle w:val="Tekstprzypisudolnego"/>
        <w:rPr>
          <w:sz w:val="28"/>
          <w:szCs w:val="28"/>
        </w:rPr>
      </w:pPr>
      <w:r w:rsidRPr="006027DF">
        <w:rPr>
          <w:rStyle w:val="Odwoanieprzypisudolnego"/>
          <w:sz w:val="28"/>
          <w:szCs w:val="28"/>
        </w:rPr>
        <w:footnoteRef/>
      </w:r>
      <w:r w:rsidRPr="006027DF">
        <w:rPr>
          <w:sz w:val="28"/>
          <w:szCs w:val="28"/>
        </w:rPr>
        <w:t xml:space="preserve"> LNG (ang. Liquid Natural Gas) skroplony gaz ziemny</w:t>
      </w:r>
      <w:r>
        <w:rPr>
          <w:sz w:val="28"/>
          <w:szCs w:val="28"/>
        </w:rPr>
        <w:t>.</w:t>
      </w:r>
    </w:p>
  </w:footnote>
  <w:footnote w:id="3">
    <w:p w14:paraId="7E672EC5" w14:textId="77777777" w:rsidR="005438BA" w:rsidRPr="006027DF" w:rsidRDefault="005438BA" w:rsidP="005438BA">
      <w:pPr>
        <w:pStyle w:val="Tekstprzypisudolnego"/>
        <w:rPr>
          <w:lang w:val="en-US"/>
        </w:rPr>
      </w:pPr>
      <w:r w:rsidRPr="006027DF">
        <w:rPr>
          <w:rStyle w:val="Odwoanieprzypisudolnego"/>
          <w:sz w:val="28"/>
          <w:szCs w:val="28"/>
        </w:rPr>
        <w:footnoteRef/>
      </w:r>
      <w:r w:rsidRPr="0030540F">
        <w:rPr>
          <w:sz w:val="28"/>
          <w:szCs w:val="28"/>
          <w:lang w:val="en-US"/>
        </w:rPr>
        <w:t xml:space="preserve"> CNG (ang. Compressed natural gas) </w:t>
      </w:r>
      <w:r w:rsidRPr="005E0BE3">
        <w:rPr>
          <w:sz w:val="28"/>
          <w:szCs w:val="28"/>
          <w:lang w:val="en-US"/>
        </w:rPr>
        <w:t>sprężony gaz ziemny.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1481183971" name="Obraz 148118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7C2652C6" w:rsidR="007C6800" w:rsidRPr="007C6800" w:rsidRDefault="007362FC" w:rsidP="007540C8">
    <w:pPr>
      <w:pStyle w:val="Nagwek"/>
      <w:tabs>
        <w:tab w:val="clear" w:pos="4536"/>
        <w:tab w:val="clear" w:pos="9072"/>
        <w:tab w:val="left" w:pos="5715"/>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178213825" name="Obraz 117821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40C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F7510A"/>
    <w:multiLevelType w:val="hybridMultilevel"/>
    <w:tmpl w:val="E5245852"/>
    <w:lvl w:ilvl="0" w:tplc="943C66D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C5145A"/>
    <w:multiLevelType w:val="hybridMultilevel"/>
    <w:tmpl w:val="6110FA96"/>
    <w:lvl w:ilvl="0" w:tplc="43380A38">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B5BD2"/>
    <w:multiLevelType w:val="multilevel"/>
    <w:tmpl w:val="5E1A75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31A8307B"/>
    <w:multiLevelType w:val="hybridMultilevel"/>
    <w:tmpl w:val="49DA9930"/>
    <w:lvl w:ilvl="0" w:tplc="68DC4C1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EA617DC"/>
    <w:multiLevelType w:val="multilevel"/>
    <w:tmpl w:val="6EE249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37053C7"/>
    <w:multiLevelType w:val="hybridMultilevel"/>
    <w:tmpl w:val="72D83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15227B"/>
    <w:multiLevelType w:val="hybridMultilevel"/>
    <w:tmpl w:val="F894EB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AE5641"/>
    <w:multiLevelType w:val="hybridMultilevel"/>
    <w:tmpl w:val="7FEE4A08"/>
    <w:lvl w:ilvl="0" w:tplc="3FB2E0D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5E0E1C86"/>
    <w:multiLevelType w:val="hybridMultilevel"/>
    <w:tmpl w:val="E5EE65B6"/>
    <w:lvl w:ilvl="0" w:tplc="95C29E9A">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2831689"/>
    <w:multiLevelType w:val="hybridMultilevel"/>
    <w:tmpl w:val="C2F6C9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CB7E59"/>
    <w:multiLevelType w:val="hybridMultilevel"/>
    <w:tmpl w:val="FD58DB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646319718">
    <w:abstractNumId w:val="7"/>
  </w:num>
  <w:num w:numId="2" w16cid:durableId="1108350602">
    <w:abstractNumId w:val="4"/>
  </w:num>
  <w:num w:numId="3" w16cid:durableId="204761011">
    <w:abstractNumId w:val="18"/>
  </w:num>
  <w:num w:numId="4" w16cid:durableId="214321100">
    <w:abstractNumId w:val="2"/>
  </w:num>
  <w:num w:numId="5" w16cid:durableId="528764910">
    <w:abstractNumId w:val="16"/>
  </w:num>
  <w:num w:numId="6" w16cid:durableId="185992604">
    <w:abstractNumId w:val="3"/>
  </w:num>
  <w:num w:numId="7" w16cid:durableId="251548690">
    <w:abstractNumId w:val="13"/>
  </w:num>
  <w:num w:numId="8" w16cid:durableId="1840073599">
    <w:abstractNumId w:val="17"/>
  </w:num>
  <w:num w:numId="9" w16cid:durableId="88548713">
    <w:abstractNumId w:val="1"/>
  </w:num>
  <w:num w:numId="10" w16cid:durableId="1186402230">
    <w:abstractNumId w:val="8"/>
  </w:num>
  <w:num w:numId="11" w16cid:durableId="1871340381">
    <w:abstractNumId w:val="19"/>
  </w:num>
  <w:num w:numId="12" w16cid:durableId="1382440243">
    <w:abstractNumId w:val="9"/>
  </w:num>
  <w:num w:numId="13" w16cid:durableId="665287664">
    <w:abstractNumId w:val="14"/>
  </w:num>
  <w:num w:numId="14" w16cid:durableId="593779432">
    <w:abstractNumId w:val="5"/>
  </w:num>
  <w:num w:numId="15" w16cid:durableId="480656714">
    <w:abstractNumId w:val="0"/>
  </w:num>
  <w:num w:numId="16" w16cid:durableId="1834373377">
    <w:abstractNumId w:val="11"/>
  </w:num>
  <w:num w:numId="17" w16cid:durableId="644508064">
    <w:abstractNumId w:val="6"/>
  </w:num>
  <w:num w:numId="18" w16cid:durableId="117337033">
    <w:abstractNumId w:val="10"/>
  </w:num>
  <w:num w:numId="19" w16cid:durableId="223300104">
    <w:abstractNumId w:val="12"/>
  </w:num>
  <w:num w:numId="20" w16cid:durableId="18937606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76480"/>
    <w:rsid w:val="000E5E22"/>
    <w:rsid w:val="000F6496"/>
    <w:rsid w:val="001159A8"/>
    <w:rsid w:val="00121D8E"/>
    <w:rsid w:val="00132605"/>
    <w:rsid w:val="00134386"/>
    <w:rsid w:val="00147BCB"/>
    <w:rsid w:val="00164C97"/>
    <w:rsid w:val="00167C00"/>
    <w:rsid w:val="001709E8"/>
    <w:rsid w:val="00183C00"/>
    <w:rsid w:val="001B5BBC"/>
    <w:rsid w:val="001E2233"/>
    <w:rsid w:val="00250690"/>
    <w:rsid w:val="00280419"/>
    <w:rsid w:val="00283F76"/>
    <w:rsid w:val="002A3348"/>
    <w:rsid w:val="002A73C8"/>
    <w:rsid w:val="002D2C07"/>
    <w:rsid w:val="003041B8"/>
    <w:rsid w:val="00331E49"/>
    <w:rsid w:val="003541CB"/>
    <w:rsid w:val="003A371B"/>
    <w:rsid w:val="003A4532"/>
    <w:rsid w:val="003D2365"/>
    <w:rsid w:val="003D7C0E"/>
    <w:rsid w:val="003E2076"/>
    <w:rsid w:val="003E2818"/>
    <w:rsid w:val="0040059B"/>
    <w:rsid w:val="00431221"/>
    <w:rsid w:val="00431A4E"/>
    <w:rsid w:val="004519AC"/>
    <w:rsid w:val="00454205"/>
    <w:rsid w:val="00480DBD"/>
    <w:rsid w:val="004844E1"/>
    <w:rsid w:val="0048459B"/>
    <w:rsid w:val="004A2E0E"/>
    <w:rsid w:val="004B0928"/>
    <w:rsid w:val="004D1F17"/>
    <w:rsid w:val="004D3F07"/>
    <w:rsid w:val="00525346"/>
    <w:rsid w:val="005264E1"/>
    <w:rsid w:val="005438BA"/>
    <w:rsid w:val="005579D5"/>
    <w:rsid w:val="0057111A"/>
    <w:rsid w:val="00580E17"/>
    <w:rsid w:val="005811F1"/>
    <w:rsid w:val="005C21F7"/>
    <w:rsid w:val="005E5887"/>
    <w:rsid w:val="005F048F"/>
    <w:rsid w:val="005F23DE"/>
    <w:rsid w:val="005F4309"/>
    <w:rsid w:val="00604174"/>
    <w:rsid w:val="006146EB"/>
    <w:rsid w:val="006204FA"/>
    <w:rsid w:val="00634B73"/>
    <w:rsid w:val="00635E13"/>
    <w:rsid w:val="0068296F"/>
    <w:rsid w:val="006900FC"/>
    <w:rsid w:val="006A6F3E"/>
    <w:rsid w:val="006A76FD"/>
    <w:rsid w:val="006C11DA"/>
    <w:rsid w:val="006C3590"/>
    <w:rsid w:val="006D01A7"/>
    <w:rsid w:val="006D3F13"/>
    <w:rsid w:val="006F7AF8"/>
    <w:rsid w:val="00714D83"/>
    <w:rsid w:val="00723845"/>
    <w:rsid w:val="007362FC"/>
    <w:rsid w:val="007540C8"/>
    <w:rsid w:val="007A759C"/>
    <w:rsid w:val="007C184D"/>
    <w:rsid w:val="007C6800"/>
    <w:rsid w:val="0080048C"/>
    <w:rsid w:val="008110FA"/>
    <w:rsid w:val="00811424"/>
    <w:rsid w:val="0081559F"/>
    <w:rsid w:val="008316FC"/>
    <w:rsid w:val="00881003"/>
    <w:rsid w:val="00883562"/>
    <w:rsid w:val="00886B56"/>
    <w:rsid w:val="008A01DE"/>
    <w:rsid w:val="008A0DAF"/>
    <w:rsid w:val="008C1B7B"/>
    <w:rsid w:val="009060D2"/>
    <w:rsid w:val="009142B1"/>
    <w:rsid w:val="00917C21"/>
    <w:rsid w:val="0093651F"/>
    <w:rsid w:val="00944369"/>
    <w:rsid w:val="00945706"/>
    <w:rsid w:val="0095031F"/>
    <w:rsid w:val="0095435A"/>
    <w:rsid w:val="009614DC"/>
    <w:rsid w:val="00963AFC"/>
    <w:rsid w:val="009672EC"/>
    <w:rsid w:val="009A6564"/>
    <w:rsid w:val="009B5E13"/>
    <w:rsid w:val="009C1827"/>
    <w:rsid w:val="009E440F"/>
    <w:rsid w:val="009F3AD5"/>
    <w:rsid w:val="00A01FAD"/>
    <w:rsid w:val="00A06CB4"/>
    <w:rsid w:val="00A11CA1"/>
    <w:rsid w:val="00A24ED0"/>
    <w:rsid w:val="00A85F97"/>
    <w:rsid w:val="00AB689E"/>
    <w:rsid w:val="00B0318A"/>
    <w:rsid w:val="00B27B8F"/>
    <w:rsid w:val="00B64C57"/>
    <w:rsid w:val="00B76730"/>
    <w:rsid w:val="00B91287"/>
    <w:rsid w:val="00B9146C"/>
    <w:rsid w:val="00BA55BA"/>
    <w:rsid w:val="00BF3D44"/>
    <w:rsid w:val="00BF7BAD"/>
    <w:rsid w:val="00C223BF"/>
    <w:rsid w:val="00C373AE"/>
    <w:rsid w:val="00C44AA4"/>
    <w:rsid w:val="00C44E21"/>
    <w:rsid w:val="00C463CC"/>
    <w:rsid w:val="00C53FFD"/>
    <w:rsid w:val="00C8683D"/>
    <w:rsid w:val="00C86B99"/>
    <w:rsid w:val="00C961B1"/>
    <w:rsid w:val="00CA2549"/>
    <w:rsid w:val="00D11ABF"/>
    <w:rsid w:val="00D123FD"/>
    <w:rsid w:val="00D17F39"/>
    <w:rsid w:val="00D23F79"/>
    <w:rsid w:val="00D3545F"/>
    <w:rsid w:val="00DB7013"/>
    <w:rsid w:val="00DE75B9"/>
    <w:rsid w:val="00E26048"/>
    <w:rsid w:val="00E34C2B"/>
    <w:rsid w:val="00E965BA"/>
    <w:rsid w:val="00ED47FB"/>
    <w:rsid w:val="00ED688A"/>
    <w:rsid w:val="00EE75F8"/>
    <w:rsid w:val="00F13991"/>
    <w:rsid w:val="00F40DC1"/>
    <w:rsid w:val="00F41024"/>
    <w:rsid w:val="00F555F5"/>
    <w:rsid w:val="00F83581"/>
    <w:rsid w:val="00F90C95"/>
    <w:rsid w:val="00FB34D8"/>
    <w:rsid w:val="00FC35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Standard">
    <w:name w:val="Standard"/>
    <w:rsid w:val="00D23F79"/>
    <w:pPr>
      <w:suppressAutoHyphens/>
      <w:autoSpaceDN w:val="0"/>
    </w:pPr>
    <w:rPr>
      <w:rFonts w:ascii="Calibri" w:eastAsia="SimSun" w:hAnsi="Calibri" w:cs="Tahoma"/>
      <w:kern w:val="3"/>
    </w:rPr>
  </w:style>
  <w:style w:type="paragraph" w:styleId="Akapitzlist">
    <w:name w:val="List Paragraph"/>
    <w:basedOn w:val="Standard"/>
    <w:qFormat/>
    <w:rsid w:val="00D23F79"/>
    <w:pPr>
      <w:ind w:left="720"/>
    </w:pPr>
  </w:style>
  <w:style w:type="character" w:styleId="Hipercze">
    <w:name w:val="Hyperlink"/>
    <w:basedOn w:val="Domylnaczcionkaakapitu"/>
    <w:uiPriority w:val="99"/>
    <w:unhideWhenUsed/>
    <w:rsid w:val="00076480"/>
    <w:rPr>
      <w:color w:val="0000FF" w:themeColor="hyperlink"/>
      <w:u w:val="single"/>
    </w:rPr>
  </w:style>
  <w:style w:type="character" w:styleId="UyteHipercze">
    <w:name w:val="FollowedHyperlink"/>
    <w:basedOn w:val="Domylnaczcionkaakapitu"/>
    <w:uiPriority w:val="99"/>
    <w:semiHidden/>
    <w:unhideWhenUsed/>
    <w:rsid w:val="00076480"/>
    <w:rPr>
      <w:color w:val="800080" w:themeColor="followedHyperlink"/>
      <w:u w:val="single"/>
    </w:rPr>
  </w:style>
  <w:style w:type="character" w:styleId="Nierozpoznanawzmianka">
    <w:name w:val="Unresolved Mention"/>
    <w:basedOn w:val="Domylnaczcionkaakapitu"/>
    <w:uiPriority w:val="99"/>
    <w:semiHidden/>
    <w:unhideWhenUsed/>
    <w:rsid w:val="00E965BA"/>
    <w:rPr>
      <w:color w:val="605E5C"/>
      <w:shd w:val="clear" w:color="auto" w:fill="E1DFDD"/>
    </w:rPr>
  </w:style>
  <w:style w:type="paragraph" w:styleId="Tekstprzypisudolnego">
    <w:name w:val="footnote text"/>
    <w:basedOn w:val="Normalny"/>
    <w:link w:val="TekstprzypisudolnegoZnak"/>
    <w:uiPriority w:val="99"/>
    <w:semiHidden/>
    <w:unhideWhenUsed/>
    <w:rsid w:val="005438B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438BA"/>
    <w:rPr>
      <w:sz w:val="20"/>
      <w:szCs w:val="20"/>
    </w:rPr>
  </w:style>
  <w:style w:type="character" w:styleId="Odwoanieprzypisudolnego">
    <w:name w:val="footnote reference"/>
    <w:basedOn w:val="Domylnaczcionkaakapitu"/>
    <w:uiPriority w:val="99"/>
    <w:semiHidden/>
    <w:unhideWhenUsed/>
    <w:rsid w:val="005438BA"/>
    <w:rPr>
      <w:vertAlign w:val="superscript"/>
    </w:rPr>
  </w:style>
  <w:style w:type="table" w:styleId="Tabela-Siatka">
    <w:name w:val="Table Grid"/>
    <w:basedOn w:val="Standardowy"/>
    <w:uiPriority w:val="59"/>
    <w:rsid w:val="007540C8"/>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7630068">
      <w:bodyDiv w:val="1"/>
      <w:marLeft w:val="0"/>
      <w:marRight w:val="0"/>
      <w:marTop w:val="0"/>
      <w:marBottom w:val="0"/>
      <w:divBdr>
        <w:top w:val="none" w:sz="0" w:space="0" w:color="auto"/>
        <w:left w:val="none" w:sz="0" w:space="0" w:color="auto"/>
        <w:bottom w:val="none" w:sz="0" w:space="0" w:color="auto"/>
        <w:right w:val="none" w:sz="0" w:space="0" w:color="auto"/>
      </w:divBdr>
    </w:div>
    <w:div w:id="197290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7878"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5509</Words>
  <Characters>33059</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Magdalena Nerling</cp:lastModifiedBy>
  <cp:revision>11</cp:revision>
  <cp:lastPrinted>2020-02-11T13:09:00Z</cp:lastPrinted>
  <dcterms:created xsi:type="dcterms:W3CDTF">2024-05-31T08:23:00Z</dcterms:created>
  <dcterms:modified xsi:type="dcterms:W3CDTF">2024-06-04T05:12:00Z</dcterms:modified>
</cp:coreProperties>
</file>