
<file path=[Content_Types].xml><?xml version="1.0" encoding="utf-8"?>
<Types xmlns="http://schemas.openxmlformats.org/package/2006/content-types">
  <Default Extension="jpeg" ContentType="image/jpe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F27E6EB" w14:textId="77777777" w:rsidR="00BD5A34" w:rsidRPr="0063592D" w:rsidRDefault="00BD5A34" w:rsidP="00BD5A34">
      <w:pPr>
        <w:spacing w:after="0" w:line="240" w:lineRule="auto"/>
        <w:ind w:right="5668"/>
        <w:jc w:val="center"/>
        <w:rPr>
          <w:rFonts w:cstheme="minorHAnsi"/>
          <w:bCs/>
          <w:sz w:val="28"/>
          <w:szCs w:val="28"/>
        </w:rPr>
      </w:pPr>
    </w:p>
    <w:p w14:paraId="5D0C37BD" w14:textId="75029555"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Burmistrz Śremu</w:t>
      </w:r>
    </w:p>
    <w:p w14:paraId="38C3318A"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ul. Plac 20 Października 1</w:t>
      </w:r>
    </w:p>
    <w:p w14:paraId="335059D8" w14:textId="77777777" w:rsidR="00BD5A34" w:rsidRPr="0063592D" w:rsidRDefault="00BD5A34" w:rsidP="00BD5A34">
      <w:pPr>
        <w:spacing w:after="0" w:line="240" w:lineRule="auto"/>
        <w:ind w:right="5668"/>
        <w:jc w:val="center"/>
        <w:rPr>
          <w:rFonts w:cstheme="minorHAnsi"/>
          <w:bCs/>
          <w:sz w:val="28"/>
          <w:szCs w:val="28"/>
        </w:rPr>
      </w:pPr>
      <w:r w:rsidRPr="0063592D">
        <w:rPr>
          <w:rFonts w:cstheme="minorHAnsi"/>
          <w:bCs/>
          <w:sz w:val="28"/>
          <w:szCs w:val="28"/>
        </w:rPr>
        <w:t>63-100 Śrem</w:t>
      </w:r>
    </w:p>
    <w:p w14:paraId="2C937DB9" w14:textId="38B9A206" w:rsidR="00BD5A34" w:rsidRPr="0063592D" w:rsidRDefault="00BD5A34" w:rsidP="00BD5A34">
      <w:pPr>
        <w:spacing w:after="120" w:line="240" w:lineRule="auto"/>
        <w:jc w:val="right"/>
        <w:rPr>
          <w:rFonts w:cstheme="minorHAnsi"/>
          <w:sz w:val="28"/>
          <w:szCs w:val="28"/>
        </w:rPr>
      </w:pPr>
      <w:r w:rsidRPr="0063592D">
        <w:rPr>
          <w:rFonts w:cstheme="minorHAnsi"/>
          <w:sz w:val="28"/>
          <w:szCs w:val="28"/>
        </w:rPr>
        <w:t xml:space="preserve">Śrem, </w:t>
      </w:r>
      <w:r w:rsidR="00934866">
        <w:rPr>
          <w:rFonts w:cstheme="minorHAnsi"/>
          <w:sz w:val="28"/>
          <w:szCs w:val="28"/>
        </w:rPr>
        <w:t>11</w:t>
      </w:r>
      <w:r w:rsidR="00F80DB4">
        <w:rPr>
          <w:rFonts w:cstheme="minorHAnsi"/>
          <w:sz w:val="28"/>
          <w:szCs w:val="28"/>
        </w:rPr>
        <w:t xml:space="preserve"> grudnia</w:t>
      </w:r>
      <w:r w:rsidR="00B81AFE">
        <w:rPr>
          <w:rFonts w:cstheme="minorHAnsi"/>
          <w:sz w:val="28"/>
          <w:szCs w:val="28"/>
        </w:rPr>
        <w:t xml:space="preserve"> </w:t>
      </w:r>
      <w:r w:rsidR="00566AC2">
        <w:rPr>
          <w:rFonts w:cstheme="minorHAnsi"/>
          <w:sz w:val="28"/>
          <w:szCs w:val="28"/>
        </w:rPr>
        <w:t>2024</w:t>
      </w:r>
      <w:r w:rsidRPr="0063592D">
        <w:rPr>
          <w:rFonts w:cstheme="minorHAnsi"/>
          <w:sz w:val="28"/>
          <w:szCs w:val="28"/>
        </w:rPr>
        <w:t xml:space="preserve"> roku</w:t>
      </w:r>
    </w:p>
    <w:p w14:paraId="314AFC46" w14:textId="59CFBDD5" w:rsidR="00BD5A34" w:rsidRPr="0063592D" w:rsidRDefault="00BD5A34" w:rsidP="00BD5A34">
      <w:pPr>
        <w:spacing w:after="120" w:line="240" w:lineRule="auto"/>
        <w:rPr>
          <w:rFonts w:cstheme="minorHAnsi"/>
          <w:sz w:val="28"/>
          <w:szCs w:val="28"/>
        </w:rPr>
      </w:pPr>
      <w:r w:rsidRPr="0063592D">
        <w:rPr>
          <w:rFonts w:cstheme="minorHAnsi"/>
          <w:sz w:val="28"/>
          <w:szCs w:val="28"/>
        </w:rPr>
        <w:t>PPSOŚ.6220.</w:t>
      </w:r>
      <w:r w:rsidR="00F80DB4">
        <w:rPr>
          <w:rFonts w:cstheme="minorHAnsi"/>
          <w:sz w:val="28"/>
          <w:szCs w:val="28"/>
        </w:rPr>
        <w:t>16</w:t>
      </w:r>
      <w:r w:rsidR="00C552DF">
        <w:rPr>
          <w:rFonts w:cstheme="minorHAnsi"/>
          <w:sz w:val="28"/>
          <w:szCs w:val="28"/>
        </w:rPr>
        <w:t>.2024</w:t>
      </w:r>
      <w:r w:rsidRPr="0063592D">
        <w:rPr>
          <w:rFonts w:cstheme="minorHAnsi"/>
          <w:sz w:val="28"/>
          <w:szCs w:val="28"/>
        </w:rPr>
        <w:t>.BM</w:t>
      </w:r>
    </w:p>
    <w:p w14:paraId="24BCC9A5"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Obwieszczenie</w:t>
      </w:r>
    </w:p>
    <w:p w14:paraId="79908BF7" w14:textId="77777777" w:rsidR="00BD5A34" w:rsidRPr="0063592D" w:rsidRDefault="00BD5A34" w:rsidP="00BD5A34">
      <w:pPr>
        <w:keepNext/>
        <w:keepLines/>
        <w:spacing w:after="120" w:line="240" w:lineRule="auto"/>
        <w:jc w:val="center"/>
        <w:outlineLvl w:val="0"/>
        <w:rPr>
          <w:rFonts w:eastAsia="Times New Roman" w:cstheme="minorHAnsi"/>
          <w:sz w:val="28"/>
          <w:szCs w:val="28"/>
        </w:rPr>
      </w:pPr>
      <w:r w:rsidRPr="0063592D">
        <w:rPr>
          <w:rFonts w:eastAsia="Times New Roman" w:cstheme="minorHAnsi"/>
          <w:sz w:val="28"/>
          <w:szCs w:val="28"/>
        </w:rPr>
        <w:t>o wydaniu decyzji o środowiskowych uwarunkowaniach</w:t>
      </w:r>
    </w:p>
    <w:p w14:paraId="45576EAD" w14:textId="509DF991" w:rsidR="00BD5A34" w:rsidRPr="00D54DF8" w:rsidRDefault="00D0263E" w:rsidP="00F80DB4">
      <w:pPr>
        <w:spacing w:after="120" w:line="240" w:lineRule="auto"/>
        <w:ind w:firstLine="708"/>
        <w:rPr>
          <w:rFonts w:eastAsia="Times New Roman" w:cstheme="minorHAnsi"/>
          <w:b/>
          <w:bCs/>
          <w:sz w:val="28"/>
          <w:szCs w:val="28"/>
          <w:lang w:eastAsia="pl-PL"/>
        </w:rPr>
      </w:pPr>
      <w:r>
        <w:rPr>
          <w:rFonts w:eastAsia="Times New Roman" w:cstheme="minorHAnsi"/>
          <w:sz w:val="28"/>
          <w:szCs w:val="28"/>
          <w:lang w:eastAsia="pl-PL"/>
        </w:rPr>
        <w:t>Z</w:t>
      </w:r>
      <w:r w:rsidR="00BD5A34" w:rsidRPr="0063592D">
        <w:rPr>
          <w:rFonts w:eastAsia="Times New Roman" w:cstheme="minorHAnsi"/>
          <w:sz w:val="28"/>
          <w:szCs w:val="28"/>
          <w:lang w:eastAsia="pl-PL"/>
        </w:rPr>
        <w:t>awiadamiam</w:t>
      </w:r>
      <w:r>
        <w:rPr>
          <w:rFonts w:eastAsia="Times New Roman" w:cstheme="minorHAnsi"/>
          <w:sz w:val="28"/>
          <w:szCs w:val="28"/>
          <w:vertAlign w:val="superscript"/>
          <w:lang w:eastAsia="pl-PL"/>
        </w:rPr>
        <w:t>1</w:t>
      </w:r>
      <w:r w:rsidR="00BD5A34" w:rsidRPr="0063592D">
        <w:rPr>
          <w:rFonts w:eastAsia="Times New Roman" w:cstheme="minorHAnsi"/>
          <w:sz w:val="28"/>
          <w:szCs w:val="28"/>
          <w:lang w:eastAsia="pl-PL"/>
        </w:rPr>
        <w:t xml:space="preserve"> strony postępowania, że </w:t>
      </w:r>
      <w:r w:rsidR="00F80DB4">
        <w:rPr>
          <w:rFonts w:eastAsia="Times New Roman" w:cstheme="minorHAnsi"/>
          <w:sz w:val="28"/>
          <w:szCs w:val="28"/>
          <w:lang w:eastAsia="pl-PL"/>
        </w:rPr>
        <w:t>10 grudnia</w:t>
      </w:r>
      <w:r w:rsidR="00566AC2">
        <w:rPr>
          <w:rFonts w:eastAsia="Times New Roman" w:cstheme="minorHAnsi"/>
          <w:sz w:val="28"/>
          <w:szCs w:val="28"/>
          <w:lang w:eastAsia="pl-PL"/>
        </w:rPr>
        <w:t xml:space="preserve"> 2024</w:t>
      </w:r>
      <w:r w:rsidR="00BD5A34" w:rsidRPr="0063592D">
        <w:rPr>
          <w:rFonts w:eastAsia="Times New Roman" w:cstheme="minorHAnsi"/>
          <w:sz w:val="28"/>
          <w:szCs w:val="28"/>
          <w:lang w:eastAsia="pl-PL"/>
        </w:rPr>
        <w:t xml:space="preserve"> r. Burmistrz Śremu wydał, na rzecz </w:t>
      </w:r>
      <w:r w:rsidR="00F80DB4" w:rsidRPr="00F80DB4">
        <w:rPr>
          <w:rFonts w:ascii="Calibri" w:eastAsia="Times New Roman" w:hAnsi="Calibri" w:cs="Calibri"/>
          <w:sz w:val="28"/>
          <w:szCs w:val="28"/>
          <w:lang w:eastAsia="pl-PL"/>
        </w:rPr>
        <w:t>spółki PCWO Energy PV 3250 Spółka z ograniczoną odpowiedzialnością, ul. Świętego Leonarda 9, 25-311 Kielce</w:t>
      </w:r>
      <w:r w:rsidR="00BD5A34" w:rsidRPr="0063592D">
        <w:rPr>
          <w:rFonts w:eastAsia="Times New Roman" w:cstheme="minorHAnsi"/>
          <w:sz w:val="28"/>
          <w:szCs w:val="28"/>
          <w:lang w:eastAsia="pl-PL"/>
        </w:rPr>
        <w:t xml:space="preserve">, decyzję </w:t>
      </w:r>
      <w:r w:rsidR="00F80DB4">
        <w:rPr>
          <w:rFonts w:eastAsia="Times New Roman" w:cstheme="minorHAnsi"/>
          <w:sz w:val="28"/>
          <w:szCs w:val="28"/>
          <w:lang w:eastAsia="pl-PL"/>
        </w:rPr>
        <w:t>o</w:t>
      </w:r>
      <w:r w:rsidR="00D10EFD">
        <w:rPr>
          <w:rFonts w:eastAsia="Times New Roman" w:cstheme="minorHAnsi"/>
          <w:sz w:val="28"/>
          <w:szCs w:val="28"/>
          <w:lang w:eastAsia="pl-PL"/>
        </w:rPr>
        <w:t> </w:t>
      </w:r>
      <w:r w:rsidR="00F80DB4">
        <w:rPr>
          <w:rFonts w:eastAsia="Times New Roman" w:cstheme="minorHAnsi"/>
          <w:sz w:val="28"/>
          <w:szCs w:val="28"/>
          <w:lang w:eastAsia="pl-PL"/>
        </w:rPr>
        <w:t xml:space="preserve">zmianie </w:t>
      </w:r>
      <w:r w:rsidR="00F80DB4" w:rsidRPr="00F80DB4">
        <w:rPr>
          <w:rFonts w:eastAsia="Times New Roman" w:cstheme="minorHAnsi"/>
          <w:sz w:val="28"/>
          <w:szCs w:val="28"/>
          <w:lang w:eastAsia="pl-PL"/>
        </w:rPr>
        <w:t>ostateczn</w:t>
      </w:r>
      <w:r w:rsidR="00F80DB4">
        <w:rPr>
          <w:rFonts w:eastAsia="Times New Roman" w:cstheme="minorHAnsi"/>
          <w:sz w:val="28"/>
          <w:szCs w:val="28"/>
          <w:lang w:eastAsia="pl-PL"/>
        </w:rPr>
        <w:t>ej</w:t>
      </w:r>
      <w:r w:rsidR="00F80DB4" w:rsidRPr="00F80DB4">
        <w:rPr>
          <w:rFonts w:eastAsia="Times New Roman" w:cstheme="minorHAnsi"/>
          <w:sz w:val="28"/>
          <w:szCs w:val="28"/>
          <w:lang w:eastAsia="pl-PL"/>
        </w:rPr>
        <w:t xml:space="preserve"> decyzj</w:t>
      </w:r>
      <w:r w:rsidR="00F80DB4">
        <w:rPr>
          <w:rFonts w:eastAsia="Times New Roman" w:cstheme="minorHAnsi"/>
          <w:sz w:val="28"/>
          <w:szCs w:val="28"/>
          <w:lang w:eastAsia="pl-PL"/>
        </w:rPr>
        <w:t>i</w:t>
      </w:r>
      <w:r w:rsidR="00F80DB4" w:rsidRPr="00F80DB4">
        <w:rPr>
          <w:rFonts w:eastAsia="Times New Roman" w:cstheme="minorHAnsi"/>
          <w:sz w:val="28"/>
          <w:szCs w:val="28"/>
          <w:lang w:eastAsia="pl-PL"/>
        </w:rPr>
        <w:t xml:space="preserve"> Burmistrza Śremu z 12.10.2020 r. znak PPSOŚ.6220.32.2019.BM o środowiskowych uwarunkowaniach, zmienion</w:t>
      </w:r>
      <w:r w:rsidR="00F80DB4">
        <w:rPr>
          <w:rFonts w:eastAsia="Times New Roman" w:cstheme="minorHAnsi"/>
          <w:sz w:val="28"/>
          <w:szCs w:val="28"/>
          <w:lang w:eastAsia="pl-PL"/>
        </w:rPr>
        <w:t xml:space="preserve">ej </w:t>
      </w:r>
      <w:r w:rsidR="00F80DB4" w:rsidRPr="00F80DB4">
        <w:rPr>
          <w:rFonts w:eastAsia="Times New Roman" w:cstheme="minorHAnsi"/>
          <w:sz w:val="28"/>
          <w:szCs w:val="28"/>
          <w:lang w:eastAsia="pl-PL"/>
        </w:rPr>
        <w:t>decyzją Burmistrza Śremu z 22.12.2021 r. znak PPSOŚ.6220.33.2021.BM</w:t>
      </w:r>
      <w:r w:rsidR="00D10EFD">
        <w:rPr>
          <w:rFonts w:eastAsia="Times New Roman" w:cstheme="minorHAnsi"/>
          <w:sz w:val="28"/>
          <w:szCs w:val="28"/>
          <w:lang w:eastAsia="pl-PL"/>
        </w:rPr>
        <w:t>,</w:t>
      </w:r>
      <w:r w:rsidR="00F80DB4" w:rsidRPr="00F80DB4">
        <w:rPr>
          <w:rFonts w:eastAsia="Times New Roman" w:cstheme="minorHAnsi"/>
          <w:sz w:val="28"/>
          <w:szCs w:val="28"/>
          <w:lang w:eastAsia="pl-PL"/>
        </w:rPr>
        <w:t xml:space="preserve"> </w:t>
      </w:r>
      <w:r w:rsidR="00BD5A34" w:rsidRPr="0063592D">
        <w:rPr>
          <w:rFonts w:eastAsia="Times New Roman" w:cstheme="minorHAnsi"/>
          <w:sz w:val="28"/>
          <w:szCs w:val="28"/>
          <w:lang w:eastAsia="pl-PL"/>
        </w:rPr>
        <w:t xml:space="preserve">dla planowanego przedsięwzięcia polegającego na </w:t>
      </w:r>
      <w:r w:rsidR="00F80DB4" w:rsidRPr="00F80DB4">
        <w:rPr>
          <w:rFonts w:ascii="Calibri" w:eastAsia="Times New Roman" w:hAnsi="Calibri" w:cs="Calibri"/>
          <w:b/>
          <w:sz w:val="28"/>
          <w:szCs w:val="28"/>
          <w:lang w:eastAsia="pl-PL"/>
        </w:rPr>
        <w:t xml:space="preserve">budowie farmy fotowoltaicznej </w:t>
      </w:r>
      <w:r w:rsidR="00F80DB4" w:rsidRPr="00F80DB4">
        <w:rPr>
          <w:rFonts w:ascii="Calibri" w:eastAsia="Times New Roman" w:hAnsi="Calibri" w:cs="Calibri"/>
          <w:bCs/>
          <w:sz w:val="28"/>
          <w:szCs w:val="28"/>
          <w:lang w:eastAsia="pl-PL"/>
        </w:rPr>
        <w:t>na działce o numerze ewidencyjnym 257, obręb</w:t>
      </w:r>
      <w:r w:rsidR="00F80DB4" w:rsidRPr="00F80DB4">
        <w:rPr>
          <w:rFonts w:ascii="Calibri" w:eastAsia="Times New Roman" w:hAnsi="Calibri" w:cs="Calibri"/>
          <w:b/>
          <w:sz w:val="28"/>
          <w:szCs w:val="28"/>
          <w:lang w:eastAsia="pl-PL"/>
        </w:rPr>
        <w:t xml:space="preserve"> </w:t>
      </w:r>
      <w:r w:rsidR="00F80DB4" w:rsidRPr="00F80DB4">
        <w:rPr>
          <w:rFonts w:ascii="Calibri" w:eastAsia="Times New Roman" w:hAnsi="Calibri" w:cs="Calibri"/>
          <w:bCs/>
          <w:sz w:val="28"/>
          <w:szCs w:val="28"/>
          <w:lang w:eastAsia="pl-PL"/>
        </w:rPr>
        <w:t>Błociszewo</w:t>
      </w:r>
      <w:r w:rsidR="00F80DB4">
        <w:rPr>
          <w:rFonts w:ascii="Calibri" w:eastAsia="Times New Roman" w:hAnsi="Calibri" w:cs="Calibri"/>
          <w:bCs/>
          <w:sz w:val="28"/>
          <w:szCs w:val="28"/>
          <w:lang w:eastAsia="pl-PL"/>
        </w:rPr>
        <w:t xml:space="preserve"> (przy ulicy Lipowej przed zabudowaniami)</w:t>
      </w:r>
      <w:r w:rsidR="005968A5">
        <w:rPr>
          <w:rFonts w:eastAsia="Times New Roman" w:cstheme="minorHAnsi"/>
          <w:sz w:val="28"/>
          <w:szCs w:val="28"/>
          <w:lang w:eastAsia="pl-PL"/>
        </w:rPr>
        <w:t>.</w:t>
      </w:r>
      <w:r w:rsidR="00BD5A34" w:rsidRPr="0063592D">
        <w:rPr>
          <w:rFonts w:eastAsia="Times New Roman" w:cstheme="minorHAnsi"/>
          <w:sz w:val="28"/>
          <w:szCs w:val="28"/>
          <w:lang w:eastAsia="pl-PL"/>
        </w:rPr>
        <w:t xml:space="preserve"> Od decyzji służy stronie prawo wniesienia odwołania do Samorządowego Kolegium Odwoławczego w Poznaniu, za pośrednictwem Burmistrza Śremu, w terminie 14 dni od dnia doręczenia. </w:t>
      </w:r>
      <w:r w:rsidRPr="00D0263E">
        <w:rPr>
          <w:rFonts w:eastAsia="Times New Roman" w:cstheme="minorHAnsi"/>
          <w:sz w:val="28"/>
          <w:szCs w:val="28"/>
          <w:lang w:eastAsia="pl-PL"/>
        </w:rPr>
        <w:t xml:space="preserve">Przed upływem terminu do wniesienia odwołania </w:t>
      </w:r>
      <w:r>
        <w:rPr>
          <w:rFonts w:eastAsia="Times New Roman" w:cstheme="minorHAnsi"/>
          <w:sz w:val="28"/>
          <w:szCs w:val="28"/>
          <w:lang w:eastAsia="pl-PL"/>
        </w:rPr>
        <w:t>s</w:t>
      </w:r>
      <w:r w:rsidRPr="00D0263E">
        <w:rPr>
          <w:rFonts w:eastAsia="Times New Roman" w:cstheme="minorHAnsi"/>
          <w:sz w:val="28"/>
          <w:szCs w:val="28"/>
          <w:lang w:eastAsia="pl-PL"/>
        </w:rPr>
        <w:t>trona może zrzec się prawa do wniesienia odwołania wobec organu administracji publicznej, który wydał decyzję</w:t>
      </w:r>
      <w:r>
        <w:rPr>
          <w:rFonts w:eastAsia="Times New Roman" w:cstheme="minorHAnsi"/>
          <w:sz w:val="28"/>
          <w:szCs w:val="28"/>
          <w:lang w:eastAsia="pl-PL"/>
        </w:rPr>
        <w:t>,</w:t>
      </w:r>
      <w:r w:rsidRPr="00D0263E">
        <w:rPr>
          <w:rFonts w:eastAsia="Times New Roman" w:cstheme="minorHAnsi"/>
          <w:sz w:val="28"/>
          <w:szCs w:val="28"/>
          <w:lang w:eastAsia="pl-PL"/>
        </w:rPr>
        <w:t xml:space="preserve"> zgodnie z art. 127a § 1 ustawy z dnia 14</w:t>
      </w:r>
      <w:r>
        <w:rPr>
          <w:rFonts w:eastAsia="Times New Roman" w:cstheme="minorHAnsi"/>
          <w:sz w:val="28"/>
          <w:szCs w:val="28"/>
          <w:lang w:eastAsia="pl-PL"/>
        </w:rPr>
        <w:t> </w:t>
      </w:r>
      <w:r w:rsidRPr="00D0263E">
        <w:rPr>
          <w:rFonts w:eastAsia="Times New Roman" w:cstheme="minorHAnsi"/>
          <w:sz w:val="28"/>
          <w:szCs w:val="28"/>
          <w:lang w:eastAsia="pl-PL"/>
        </w:rPr>
        <w:t>czerwca 1960 r. – Kodeks postępowania administracyjnego (Dz. U. z</w:t>
      </w:r>
      <w:r>
        <w:rPr>
          <w:rFonts w:eastAsia="Times New Roman" w:cstheme="minorHAnsi"/>
          <w:sz w:val="28"/>
          <w:szCs w:val="28"/>
          <w:lang w:eastAsia="pl-PL"/>
        </w:rPr>
        <w:t> </w:t>
      </w:r>
      <w:r w:rsidR="00C552DF">
        <w:rPr>
          <w:rFonts w:eastAsia="Times New Roman" w:cstheme="minorHAnsi"/>
          <w:sz w:val="28"/>
          <w:szCs w:val="28"/>
          <w:lang w:eastAsia="pl-PL"/>
        </w:rPr>
        <w:t>2024 r. poz. 572</w:t>
      </w:r>
      <w:r w:rsidRPr="00D0263E">
        <w:rPr>
          <w:rFonts w:eastAsia="Times New Roman" w:cstheme="minorHAnsi"/>
          <w:sz w:val="28"/>
          <w:szCs w:val="28"/>
          <w:lang w:eastAsia="pl-PL"/>
        </w:rPr>
        <w:t xml:space="preserve">). Z dniem doręczenia organowi administracji publicznej oświadczenia o zrzeczeniu się prawa do wniesienia odwołania przez ostatnią ze </w:t>
      </w:r>
      <w:r>
        <w:rPr>
          <w:rFonts w:eastAsia="Times New Roman" w:cstheme="minorHAnsi"/>
          <w:sz w:val="28"/>
          <w:szCs w:val="28"/>
          <w:lang w:eastAsia="pl-PL"/>
        </w:rPr>
        <w:t>s</w:t>
      </w:r>
      <w:r w:rsidRPr="00D0263E">
        <w:rPr>
          <w:rFonts w:eastAsia="Times New Roman" w:cstheme="minorHAnsi"/>
          <w:sz w:val="28"/>
          <w:szCs w:val="28"/>
          <w:lang w:eastAsia="pl-PL"/>
        </w:rPr>
        <w:t>tron postępowania, decyzja staje się ostateczna i</w:t>
      </w:r>
      <w:r>
        <w:rPr>
          <w:rFonts w:eastAsia="Times New Roman" w:cstheme="minorHAnsi"/>
          <w:sz w:val="28"/>
          <w:szCs w:val="28"/>
          <w:lang w:eastAsia="pl-PL"/>
        </w:rPr>
        <w:t> </w:t>
      </w:r>
      <w:r w:rsidRPr="00D0263E">
        <w:rPr>
          <w:rFonts w:eastAsia="Times New Roman" w:cstheme="minorHAnsi"/>
          <w:sz w:val="28"/>
          <w:szCs w:val="28"/>
          <w:lang w:eastAsia="pl-PL"/>
        </w:rPr>
        <w:t>prawomocna.</w:t>
      </w:r>
      <w:r>
        <w:rPr>
          <w:rFonts w:eastAsia="Times New Roman" w:cstheme="minorHAnsi"/>
          <w:sz w:val="28"/>
          <w:szCs w:val="28"/>
          <w:lang w:eastAsia="pl-PL"/>
        </w:rPr>
        <w:t xml:space="preserve"> </w:t>
      </w:r>
      <w:r w:rsidR="00BD5A34" w:rsidRPr="0063592D">
        <w:rPr>
          <w:rFonts w:eastAsia="Times New Roman" w:cstheme="minorHAnsi"/>
          <w:sz w:val="28"/>
          <w:szCs w:val="28"/>
          <w:lang w:eastAsia="pl-PL"/>
        </w:rPr>
        <w:t>Doręczenie przez obwieszczenie uważa się za dokonane po 14</w:t>
      </w:r>
      <w:r w:rsidR="008A1C0E">
        <w:rPr>
          <w:rFonts w:eastAsia="Times New Roman" w:cstheme="minorHAnsi"/>
          <w:sz w:val="28"/>
          <w:szCs w:val="28"/>
          <w:lang w:eastAsia="pl-PL"/>
        </w:rPr>
        <w:t> </w:t>
      </w:r>
      <w:r w:rsidR="00BD5A34" w:rsidRPr="0063592D">
        <w:rPr>
          <w:rFonts w:eastAsia="Times New Roman" w:cstheme="minorHAnsi"/>
          <w:sz w:val="28"/>
          <w:szCs w:val="28"/>
          <w:lang w:eastAsia="pl-PL"/>
        </w:rPr>
        <w:t xml:space="preserve">dniach od dnia publicznego ogłoszenia stosownie do art. 49 </w:t>
      </w:r>
      <w:r>
        <w:rPr>
          <w:rFonts w:eastAsia="Times New Roman" w:cstheme="minorHAnsi"/>
          <w:sz w:val="28"/>
          <w:szCs w:val="28"/>
          <w:lang w:eastAsia="pl-PL"/>
        </w:rPr>
        <w:t>przywołanej ustawy</w:t>
      </w:r>
      <w:r w:rsidR="00BD5A34" w:rsidRPr="0063592D">
        <w:rPr>
          <w:rFonts w:eastAsia="Times New Roman" w:cstheme="minorHAnsi"/>
          <w:sz w:val="28"/>
          <w:szCs w:val="28"/>
          <w:lang w:eastAsia="pl-PL"/>
        </w:rPr>
        <w:t xml:space="preserve">. </w:t>
      </w:r>
    </w:p>
    <w:p w14:paraId="0D2146EB" w14:textId="77F093FE" w:rsidR="00DC053D" w:rsidRDefault="00BD5A34" w:rsidP="00F80DB4">
      <w:pPr>
        <w:spacing w:after="120" w:line="240" w:lineRule="auto"/>
        <w:ind w:firstLine="708"/>
        <w:rPr>
          <w:rFonts w:eastAsia="Times New Roman" w:cstheme="minorHAnsi"/>
          <w:sz w:val="28"/>
          <w:szCs w:val="28"/>
          <w:lang w:eastAsia="pl-PL"/>
        </w:rPr>
      </w:pPr>
      <w:r w:rsidRPr="0063592D">
        <w:rPr>
          <w:rFonts w:eastAsia="Times New Roman" w:cstheme="minorHAnsi"/>
          <w:sz w:val="28"/>
          <w:szCs w:val="28"/>
          <w:lang w:eastAsia="pl-PL"/>
        </w:rPr>
        <w:t>Jednocześnie, podaję do publicznej wiadomości informację, że z treścią decyzji oraz z dokumentacją sprawy, w tym z opiniami organów współdziałających, można zapoznać się w Urzędzie Miejskim w Śremie (ul.</w:t>
      </w:r>
      <w:r w:rsidR="00DB7313">
        <w:rPr>
          <w:rFonts w:eastAsia="Times New Roman" w:cstheme="minorHAnsi"/>
          <w:sz w:val="28"/>
          <w:szCs w:val="28"/>
          <w:lang w:eastAsia="pl-PL"/>
        </w:rPr>
        <w:t> </w:t>
      </w:r>
      <w:r w:rsidRPr="0063592D">
        <w:rPr>
          <w:rFonts w:eastAsia="Times New Roman" w:cstheme="minorHAnsi"/>
          <w:sz w:val="28"/>
          <w:szCs w:val="28"/>
          <w:lang w:eastAsia="pl-PL"/>
        </w:rPr>
        <w:t>Plac 20 Października</w:t>
      </w:r>
      <w:r w:rsidR="00265CEF" w:rsidRPr="0063592D">
        <w:rPr>
          <w:rFonts w:eastAsia="Times New Roman" w:cstheme="minorHAnsi"/>
          <w:sz w:val="28"/>
          <w:szCs w:val="28"/>
          <w:lang w:eastAsia="pl-PL"/>
        </w:rPr>
        <w:t xml:space="preserve"> </w:t>
      </w:r>
      <w:r w:rsidRPr="0063592D">
        <w:rPr>
          <w:rFonts w:eastAsia="Times New Roman" w:cstheme="minorHAnsi"/>
          <w:sz w:val="28"/>
          <w:szCs w:val="28"/>
          <w:lang w:eastAsia="pl-PL"/>
        </w:rPr>
        <w:t>1, pok. 33), w godzinach od 7:00 do 15:00.</w:t>
      </w:r>
    </w:p>
    <w:p w14:paraId="5F59E55C" w14:textId="0484254F" w:rsidR="00BD5A34" w:rsidRPr="00B81AFE" w:rsidRDefault="00BD5A34" w:rsidP="00F80DB4">
      <w:pPr>
        <w:spacing w:after="120" w:line="240" w:lineRule="auto"/>
        <w:ind w:firstLine="709"/>
        <w:rPr>
          <w:rFonts w:eastAsia="Times New Roman" w:cstheme="minorHAnsi"/>
          <w:sz w:val="28"/>
          <w:szCs w:val="28"/>
          <w:lang w:eastAsia="pl-PL"/>
        </w:rPr>
      </w:pPr>
      <w:r w:rsidRPr="0063592D">
        <w:rPr>
          <w:rFonts w:eastAsia="Times New Roman" w:cstheme="minorHAnsi"/>
          <w:sz w:val="28"/>
          <w:szCs w:val="28"/>
          <w:lang w:eastAsia="pl-PL"/>
        </w:rPr>
        <w:t xml:space="preserve">Z treścią decyzji można zapoznać się również w Biuletynie Informacji Publicznej Urzędu Miejskiego w Śremie </w:t>
      </w:r>
      <w:hyperlink r:id="rId8" w:history="1">
        <w:r w:rsidR="00F80DB4" w:rsidRPr="00F80DB4">
          <w:rPr>
            <w:rStyle w:val="Hipercze"/>
            <w:sz w:val="28"/>
            <w:szCs w:val="28"/>
          </w:rPr>
          <w:t>https://bip.srem.pl/public/?id=232106</w:t>
        </w:r>
      </w:hyperlink>
      <w:r w:rsidRPr="00F80DB4">
        <w:rPr>
          <w:rFonts w:cstheme="minorHAnsi"/>
          <w:sz w:val="28"/>
          <w:szCs w:val="28"/>
        </w:rPr>
        <w:t>.</w:t>
      </w:r>
    </w:p>
    <w:p w14:paraId="16C0F0BD" w14:textId="2FDAC8FB" w:rsidR="00BD5A34" w:rsidRPr="0063592D" w:rsidRDefault="00C552DF" w:rsidP="00F80DB4">
      <w:pPr>
        <w:spacing w:after="120" w:line="240" w:lineRule="auto"/>
        <w:ind w:left="4247"/>
        <w:jc w:val="center"/>
        <w:rPr>
          <w:rFonts w:eastAsia="Times New Roman" w:cstheme="minorHAnsi"/>
          <w:sz w:val="28"/>
          <w:szCs w:val="28"/>
          <w:lang w:eastAsia="pl-PL"/>
        </w:rPr>
      </w:pPr>
      <w:r>
        <w:rPr>
          <w:rFonts w:eastAsia="Times New Roman" w:cstheme="minorHAnsi"/>
          <w:sz w:val="28"/>
          <w:szCs w:val="28"/>
          <w:lang w:eastAsia="pl-PL"/>
        </w:rPr>
        <w:t>Grzegorz Wiśniewski</w:t>
      </w:r>
    </w:p>
    <w:p w14:paraId="02E02EDF" w14:textId="77777777" w:rsidR="00BD5A34" w:rsidRPr="0063592D" w:rsidRDefault="00BD5A34" w:rsidP="00F80DB4">
      <w:pPr>
        <w:spacing w:after="120" w:line="240" w:lineRule="auto"/>
        <w:ind w:left="4248"/>
        <w:jc w:val="center"/>
        <w:rPr>
          <w:rFonts w:eastAsia="Times New Roman" w:cstheme="minorHAnsi"/>
          <w:sz w:val="28"/>
          <w:szCs w:val="28"/>
          <w:lang w:eastAsia="pl-PL"/>
        </w:rPr>
      </w:pPr>
      <w:r w:rsidRPr="0063592D">
        <w:rPr>
          <w:rFonts w:eastAsia="Times New Roman" w:cstheme="minorHAnsi"/>
          <w:sz w:val="28"/>
          <w:szCs w:val="28"/>
          <w:lang w:eastAsia="pl-PL"/>
        </w:rPr>
        <w:t>Burmistrz Śremu</w:t>
      </w:r>
    </w:p>
    <w:p w14:paraId="6A45C5F6" w14:textId="57A6696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lastRenderedPageBreak/>
        <w:t xml:space="preserve">Wywieszono: </w:t>
      </w:r>
      <w:r w:rsidR="00F80DB4">
        <w:rPr>
          <w:rFonts w:eastAsia="Times New Roman" w:cstheme="minorHAnsi"/>
          <w:sz w:val="28"/>
          <w:szCs w:val="28"/>
          <w:lang w:eastAsia="pl-PL"/>
        </w:rPr>
        <w:t>12.12</w:t>
      </w:r>
      <w:r w:rsidR="00566AC2">
        <w:rPr>
          <w:rFonts w:eastAsia="Times New Roman" w:cstheme="minorHAnsi"/>
          <w:sz w:val="28"/>
          <w:szCs w:val="28"/>
          <w:lang w:eastAsia="pl-PL"/>
        </w:rPr>
        <w:t>.2024</w:t>
      </w:r>
      <w:r w:rsidRPr="0063592D">
        <w:rPr>
          <w:rFonts w:eastAsia="Times New Roman" w:cstheme="minorHAnsi"/>
          <w:sz w:val="28"/>
          <w:szCs w:val="28"/>
          <w:lang w:eastAsia="pl-PL"/>
        </w:rPr>
        <w:t xml:space="preserve"> r.</w:t>
      </w:r>
    </w:p>
    <w:p w14:paraId="11C855B2" w14:textId="77777777" w:rsidR="00BD5A34" w:rsidRPr="0063592D" w:rsidRDefault="00BD5A34" w:rsidP="00F80DB4">
      <w:pPr>
        <w:spacing w:after="120" w:line="240" w:lineRule="auto"/>
        <w:rPr>
          <w:rFonts w:eastAsia="Times New Roman" w:cstheme="minorHAnsi"/>
          <w:sz w:val="28"/>
          <w:szCs w:val="28"/>
          <w:lang w:eastAsia="pl-PL"/>
        </w:rPr>
      </w:pPr>
      <w:r w:rsidRPr="0063592D">
        <w:rPr>
          <w:rFonts w:eastAsia="Times New Roman" w:cstheme="minorHAnsi"/>
          <w:sz w:val="28"/>
          <w:szCs w:val="28"/>
          <w:lang w:eastAsia="pl-PL"/>
        </w:rPr>
        <w:t>Zdjęto:</w:t>
      </w:r>
    </w:p>
    <w:p w14:paraId="3F186F67" w14:textId="179D57FD" w:rsidR="00D0263E" w:rsidRDefault="00D0263E" w:rsidP="00F80DB4">
      <w:pPr>
        <w:spacing w:after="120" w:line="240" w:lineRule="auto"/>
        <w:rPr>
          <w:rFonts w:eastAsia="Times New Roman" w:cstheme="minorHAnsi"/>
          <w:sz w:val="28"/>
          <w:szCs w:val="28"/>
          <w:lang w:eastAsia="pl-PL"/>
        </w:rPr>
      </w:pPr>
      <w:r w:rsidRPr="00DB7313">
        <w:rPr>
          <w:rFonts w:eastAsia="Times New Roman" w:cstheme="minorHAnsi"/>
          <w:sz w:val="28"/>
          <w:szCs w:val="28"/>
          <w:vertAlign w:val="superscript"/>
          <w:lang w:eastAsia="pl-PL"/>
        </w:rPr>
        <w:t>1</w:t>
      </w:r>
      <w:r>
        <w:rPr>
          <w:rFonts w:eastAsia="Times New Roman" w:cstheme="minorHAnsi"/>
          <w:sz w:val="28"/>
          <w:szCs w:val="28"/>
          <w:lang w:eastAsia="pl-PL"/>
        </w:rPr>
        <w:t xml:space="preserve">Podstawa prawna: </w:t>
      </w:r>
      <w:r w:rsidRPr="0063592D">
        <w:rPr>
          <w:rFonts w:eastAsia="Times New Roman" w:cstheme="minorHAnsi"/>
          <w:sz w:val="28"/>
          <w:szCs w:val="28"/>
          <w:lang w:eastAsia="pl-PL"/>
        </w:rPr>
        <w:t>art. 73 ust. 1</w:t>
      </w:r>
      <w:r>
        <w:rPr>
          <w:rFonts w:eastAsia="Times New Roman" w:cstheme="minorHAnsi"/>
          <w:sz w:val="28"/>
          <w:szCs w:val="28"/>
          <w:lang w:eastAsia="pl-PL"/>
        </w:rPr>
        <w:t xml:space="preserve">, </w:t>
      </w:r>
      <w:r w:rsidRPr="0063592D">
        <w:rPr>
          <w:rFonts w:eastAsia="Times New Roman" w:cstheme="minorHAnsi"/>
          <w:sz w:val="28"/>
          <w:szCs w:val="28"/>
          <w:lang w:eastAsia="pl-PL"/>
        </w:rPr>
        <w:t>art. 74 ust. 3</w:t>
      </w:r>
      <w:r>
        <w:rPr>
          <w:rFonts w:eastAsia="Times New Roman" w:cstheme="minorHAnsi"/>
          <w:sz w:val="28"/>
          <w:szCs w:val="28"/>
          <w:lang w:eastAsia="pl-PL"/>
        </w:rPr>
        <w:t xml:space="preserve"> oraz art. 85 ust. 3</w:t>
      </w:r>
      <w:r w:rsidRPr="0063592D">
        <w:rPr>
          <w:rFonts w:eastAsia="Times New Roman" w:cstheme="minorHAnsi"/>
          <w:sz w:val="28"/>
          <w:szCs w:val="28"/>
          <w:lang w:eastAsia="pl-PL"/>
        </w:rPr>
        <w:t xml:space="preserve"> ustawy z</w:t>
      </w:r>
      <w:r w:rsidR="00DB7313">
        <w:rPr>
          <w:rFonts w:eastAsia="Times New Roman" w:cstheme="minorHAnsi"/>
          <w:sz w:val="28"/>
          <w:szCs w:val="28"/>
          <w:lang w:eastAsia="pl-PL"/>
        </w:rPr>
        <w:t> </w:t>
      </w:r>
      <w:r w:rsidRPr="0063592D">
        <w:rPr>
          <w:rFonts w:eastAsia="Times New Roman" w:cstheme="minorHAnsi"/>
          <w:sz w:val="28"/>
          <w:szCs w:val="28"/>
          <w:lang w:eastAsia="pl-PL"/>
        </w:rPr>
        <w:t xml:space="preserve">dnia 3 października 2008 r. o udostępnianiu informacji o środowisku i jego ochronie, udziale społeczeństwa w ochronie środowiska oraz o ocenach oddziaływania na środowisko </w:t>
      </w:r>
      <w:r w:rsidRPr="00BD5A34">
        <w:rPr>
          <w:rFonts w:eastAsia="Times New Roman" w:cstheme="minorHAnsi"/>
          <w:sz w:val="28"/>
          <w:szCs w:val="28"/>
          <w:lang w:eastAsia="pl-PL"/>
        </w:rPr>
        <w:t>(</w:t>
      </w:r>
      <w:r w:rsidR="00566AC2" w:rsidRPr="00566AC2">
        <w:rPr>
          <w:rFonts w:eastAsia="Times New Roman" w:cstheme="minorHAnsi"/>
          <w:sz w:val="28"/>
          <w:szCs w:val="28"/>
          <w:lang w:eastAsia="pl-PL"/>
        </w:rPr>
        <w:t xml:space="preserve">Dz. U. z </w:t>
      </w:r>
      <w:r w:rsidR="00C552DF">
        <w:rPr>
          <w:rFonts w:eastAsia="Times New Roman" w:cstheme="minorHAnsi"/>
          <w:sz w:val="28"/>
          <w:szCs w:val="28"/>
          <w:lang w:eastAsia="pl-PL"/>
        </w:rPr>
        <w:t>2024 r. poz. 1112</w:t>
      </w:r>
      <w:r w:rsidRPr="00BD5A34">
        <w:rPr>
          <w:rFonts w:eastAsia="Times New Roman" w:cstheme="minorHAnsi"/>
          <w:sz w:val="28"/>
          <w:szCs w:val="28"/>
          <w:lang w:eastAsia="pl-PL"/>
        </w:rPr>
        <w:t>)</w:t>
      </w:r>
      <w:r w:rsidR="00DB7313">
        <w:rPr>
          <w:rFonts w:eastAsia="Times New Roman" w:cstheme="minorHAnsi"/>
          <w:sz w:val="28"/>
          <w:szCs w:val="28"/>
          <w:lang w:eastAsia="pl-PL"/>
        </w:rPr>
        <w:t>.</w:t>
      </w:r>
    </w:p>
    <w:p w14:paraId="0D525645" w14:textId="77777777" w:rsidR="00D0263E" w:rsidRPr="0063592D" w:rsidRDefault="00D0263E" w:rsidP="00F80DB4">
      <w:pPr>
        <w:spacing w:after="120" w:line="240" w:lineRule="auto"/>
        <w:ind w:firstLine="708"/>
        <w:rPr>
          <w:rFonts w:eastAsia="Times New Roman" w:cstheme="minorHAnsi"/>
          <w:sz w:val="28"/>
          <w:szCs w:val="28"/>
          <w:lang w:eastAsia="pl-PL"/>
        </w:rPr>
      </w:pPr>
    </w:p>
    <w:p w14:paraId="1B71D3CF" w14:textId="77777777" w:rsidR="00BD5A34" w:rsidRPr="0063592D" w:rsidRDefault="00BD5A34" w:rsidP="00BD5A34">
      <w:pPr>
        <w:rPr>
          <w:rFonts w:eastAsia="Times New Roman" w:cstheme="minorHAnsi"/>
          <w:bCs/>
          <w:sz w:val="28"/>
          <w:szCs w:val="28"/>
          <w:lang w:eastAsia="pl-PL"/>
        </w:rPr>
      </w:pPr>
      <w:r w:rsidRPr="0063592D">
        <w:rPr>
          <w:rFonts w:eastAsia="Times New Roman" w:cstheme="minorHAnsi"/>
          <w:bCs/>
          <w:sz w:val="28"/>
          <w:szCs w:val="28"/>
          <w:lang w:eastAsia="pl-PL"/>
        </w:rPr>
        <w:br w:type="page"/>
      </w:r>
    </w:p>
    <w:p w14:paraId="607DEE27" w14:textId="77777777" w:rsidR="00C26DEC" w:rsidRPr="00C26DEC" w:rsidRDefault="00C26DEC" w:rsidP="00C26DEC">
      <w:pPr>
        <w:spacing w:after="0" w:line="240" w:lineRule="auto"/>
        <w:ind w:right="5668"/>
        <w:jc w:val="center"/>
        <w:rPr>
          <w:rFonts w:ascii="Calibri" w:eastAsia="Times New Roman" w:hAnsi="Calibri" w:cs="Calibri"/>
          <w:sz w:val="28"/>
          <w:szCs w:val="28"/>
          <w:lang w:eastAsia="pl-PL"/>
        </w:rPr>
      </w:pPr>
      <w:r w:rsidRPr="00C26DEC">
        <w:rPr>
          <w:rFonts w:ascii="Calibri" w:eastAsia="Times New Roman" w:hAnsi="Calibri" w:cs="Calibri"/>
          <w:sz w:val="28"/>
          <w:szCs w:val="28"/>
          <w:lang w:eastAsia="pl-PL"/>
        </w:rPr>
        <w:lastRenderedPageBreak/>
        <w:t>Burmistrz Śremu</w:t>
      </w:r>
    </w:p>
    <w:p w14:paraId="5A262C0D" w14:textId="77777777" w:rsidR="00C26DEC" w:rsidRPr="00C26DEC" w:rsidRDefault="00C26DEC" w:rsidP="00C26DEC">
      <w:pPr>
        <w:spacing w:after="0" w:line="240" w:lineRule="auto"/>
        <w:ind w:right="5668"/>
        <w:jc w:val="center"/>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ul. Plac 20 Października 1</w:t>
      </w:r>
    </w:p>
    <w:p w14:paraId="0574DF6B" w14:textId="77777777" w:rsidR="00C26DEC" w:rsidRPr="00C26DEC" w:rsidRDefault="00C26DEC" w:rsidP="00C26DEC">
      <w:pPr>
        <w:spacing w:after="0" w:line="240" w:lineRule="auto"/>
        <w:ind w:right="5668"/>
        <w:jc w:val="center"/>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63-100 Śrem</w:t>
      </w:r>
    </w:p>
    <w:p w14:paraId="6FABC68A" w14:textId="77777777" w:rsidR="00C26DEC" w:rsidRPr="00C26DEC" w:rsidRDefault="00C26DEC" w:rsidP="00C26DEC">
      <w:pPr>
        <w:spacing w:after="0" w:line="240" w:lineRule="auto"/>
        <w:jc w:val="right"/>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Śrem, 10 grudnia 2024 roku</w:t>
      </w:r>
    </w:p>
    <w:p w14:paraId="2BEC7E97" w14:textId="77777777" w:rsidR="00C26DEC" w:rsidRPr="00C26DEC" w:rsidRDefault="00C26DEC" w:rsidP="00C26DEC">
      <w:pPr>
        <w:spacing w:after="0" w:line="240" w:lineRule="auto"/>
        <w:jc w:val="both"/>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PPSOŚ.6220.16.2024.BM</w:t>
      </w:r>
    </w:p>
    <w:p w14:paraId="2AC13468" w14:textId="77777777" w:rsidR="00C26DEC" w:rsidRPr="00C26DEC" w:rsidRDefault="00C26DEC" w:rsidP="00C26DEC">
      <w:pPr>
        <w:spacing w:after="120" w:line="240" w:lineRule="auto"/>
        <w:jc w:val="center"/>
        <w:rPr>
          <w:rFonts w:ascii="Calibri" w:eastAsia="Times New Roman" w:hAnsi="Calibri" w:cs="Calibri"/>
          <w:bCs/>
          <w:sz w:val="28"/>
          <w:szCs w:val="28"/>
          <w:lang w:eastAsia="pl-PL"/>
        </w:rPr>
      </w:pPr>
      <w:r w:rsidRPr="00C26DEC">
        <w:rPr>
          <w:rFonts w:ascii="Calibri" w:eastAsia="Times New Roman" w:hAnsi="Calibri" w:cs="Calibri"/>
          <w:bCs/>
          <w:sz w:val="28"/>
          <w:szCs w:val="28"/>
          <w:lang w:eastAsia="pl-PL"/>
        </w:rPr>
        <w:t>Decyzja</w:t>
      </w:r>
    </w:p>
    <w:p w14:paraId="5104538B" w14:textId="77777777" w:rsidR="00C26DEC" w:rsidRPr="00C26DEC" w:rsidRDefault="00C26DEC" w:rsidP="00C26DEC">
      <w:pPr>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ab/>
        <w:t xml:space="preserve">Na podstawie art. 71 ust. 2 pkt 2, art. 75 ust. 1 pkt 4, art. 84, art. 85 oraz art. 87 ustawy z dnia 3 października 2008 r. </w:t>
      </w:r>
      <w:bookmarkStart w:id="0" w:name="_Hlk90644863"/>
      <w:r w:rsidRPr="00C26DEC">
        <w:rPr>
          <w:rFonts w:ascii="Calibri" w:eastAsia="Times New Roman" w:hAnsi="Calibri" w:cs="Calibri"/>
          <w:sz w:val="28"/>
          <w:szCs w:val="28"/>
          <w:lang w:eastAsia="pl-PL"/>
        </w:rPr>
        <w:t>o udostępnianiu informacji o środowisku i jego ochronie, udziale społeczeństwa w ochronie środowiska oraz o ocenach oddziaływania na środowisko</w:t>
      </w:r>
      <w:bookmarkEnd w:id="0"/>
      <w:r w:rsidRPr="00C26DEC">
        <w:rPr>
          <w:rFonts w:ascii="Calibri" w:eastAsia="Times New Roman" w:hAnsi="Calibri" w:cs="Calibri"/>
          <w:sz w:val="28"/>
          <w:szCs w:val="28"/>
          <w:lang w:eastAsia="pl-PL"/>
        </w:rPr>
        <w:t xml:space="preserve"> (Dz. U. z 2024 r. poz. 1112), zwanej dalej u.o.o.ś., § 3 ust. 1 pkt 54a lit. a rozporządzenia Rady Ministrów z dnia 10 września 2019 r. w sprawie przedsięwzięć mogących znacząco oddziaływać na środowisko (Dz. U. poz. 1839, z 2022 r. poz. 1071 i z 2023 r. poz. 1724) oraz art. 104 i art. 155 ustawy z dnia 14 czerwca 1960 r. – Kodeks postępowania administracyjnego (Dz. U. z 2024 r. poz. 572), zwanej dalej K.p.a.,</w:t>
      </w:r>
    </w:p>
    <w:p w14:paraId="2E05EC90" w14:textId="77777777" w:rsidR="00C26DEC" w:rsidRPr="00C26DEC" w:rsidRDefault="00C26DEC" w:rsidP="00C26DEC">
      <w:pPr>
        <w:spacing w:after="120" w:line="240" w:lineRule="auto"/>
        <w:jc w:val="center"/>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po rozpatrzeniu</w:t>
      </w:r>
    </w:p>
    <w:p w14:paraId="34512DD3" w14:textId="77777777" w:rsidR="00C26DEC" w:rsidRPr="00C26DEC" w:rsidRDefault="00C26DEC" w:rsidP="00C26DEC">
      <w:pPr>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wniosku </w:t>
      </w:r>
      <w:bookmarkStart w:id="1" w:name="_Hlk180394548"/>
      <w:r w:rsidRPr="00C26DEC">
        <w:rPr>
          <w:rFonts w:ascii="Calibri" w:eastAsia="Calibri" w:hAnsi="Calibri" w:cs="Calibri"/>
          <w:sz w:val="28"/>
          <w:szCs w:val="28"/>
        </w:rPr>
        <w:t>spółki PCWO Energy PV 3250 Spółka z ograniczoną odpowiedzialnością, ul. Świętego Leonarda 9, 25-311 Kielce</w:t>
      </w:r>
      <w:bookmarkEnd w:id="1"/>
      <w:r w:rsidRPr="00C26DEC">
        <w:rPr>
          <w:rFonts w:ascii="Calibri" w:eastAsia="Calibri" w:hAnsi="Calibri" w:cs="Calibri"/>
          <w:sz w:val="28"/>
          <w:szCs w:val="28"/>
        </w:rPr>
        <w:t xml:space="preserve">, </w:t>
      </w:r>
      <w:r w:rsidRPr="00C26DEC">
        <w:rPr>
          <w:rFonts w:ascii="Calibri" w:eastAsia="Times New Roman" w:hAnsi="Calibri" w:cs="Calibri"/>
          <w:kern w:val="2"/>
          <w:sz w:val="28"/>
          <w:szCs w:val="28"/>
          <w:lang w:eastAsia="pl-PL"/>
        </w:rPr>
        <w:t>o zmianę ostatecznej decyzji Burmistrza Śremu z 12.10.2020 r. znak PPSOŚ.6220.32.2019.BM o środowiskowych uwarunkowaniach dla planowanego przedsięwzięcia polegającego na budowie farmy fotowoltaicznej na działce o numerze ewidencyjnym 257, obręb Błociszewo, wydanej na rzecz spółki PCWO Energy Projekt Spółka z ograniczoną odpowiedzialnością, ul. Świętego Leonarda 9, 25-311 Kielce, przeniesionej decyzją Burmistrza Śremu z 17.08.2021 r. znak PPSOŚ.6220.28.2021.BM na rzecz spółki PCWO Energy PV 3250 Spółka z ograniczoną odpowiedzialnością, ul. Świętego Leonarda 9, 25-311 Kielce, a następnie zmienionej decyzją Burmistrza Śremu z 22.12.2021 r. znak PPSOŚ.6220.33.2021.BM</w:t>
      </w:r>
      <w:r w:rsidRPr="00C26DEC">
        <w:rPr>
          <w:rFonts w:ascii="Calibri" w:eastAsia="Times New Roman" w:hAnsi="Calibri" w:cs="Calibri"/>
          <w:sz w:val="28"/>
          <w:szCs w:val="28"/>
          <w:lang w:eastAsia="pl-PL"/>
        </w:rPr>
        <w:t xml:space="preserve">, w zakresie zmiany kąta nachylenia modułów fotowoltaicznych z „od 20° do 45°” na „od 10° do 45°”, parametrów technicznych stacji transformatorowej wyposażonej w transformator z napięcia „0,4/15 kV” na „nN/Sn” oraz głębokości wbijania konstrukcji wsporczej z „do 2,0 m p.p.t.” na „do 6,0 m p.p.t.”, </w:t>
      </w:r>
    </w:p>
    <w:p w14:paraId="2957C581" w14:textId="77777777" w:rsidR="00C26DEC" w:rsidRPr="00C26DEC" w:rsidRDefault="00C26DEC" w:rsidP="00C26DEC">
      <w:pPr>
        <w:spacing w:after="120" w:line="240" w:lineRule="auto"/>
        <w:jc w:val="center"/>
        <w:rPr>
          <w:rFonts w:ascii="Calibri" w:eastAsia="Times New Roman" w:hAnsi="Calibri" w:cs="Calibri"/>
          <w:b/>
          <w:sz w:val="28"/>
          <w:szCs w:val="28"/>
          <w:lang w:eastAsia="pl-PL"/>
        </w:rPr>
      </w:pPr>
      <w:r w:rsidRPr="00C26DEC">
        <w:rPr>
          <w:rFonts w:ascii="Calibri" w:eastAsia="Times New Roman" w:hAnsi="Calibri" w:cs="Calibri"/>
          <w:b/>
          <w:sz w:val="28"/>
          <w:szCs w:val="28"/>
          <w:lang w:eastAsia="pl-PL"/>
        </w:rPr>
        <w:t>zmieniam</w:t>
      </w:r>
    </w:p>
    <w:p w14:paraId="2740B524" w14:textId="77777777" w:rsidR="00C26DEC" w:rsidRPr="00C26DEC" w:rsidRDefault="00C26DEC" w:rsidP="00C26DEC">
      <w:pPr>
        <w:spacing w:after="12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ostateczną decyzję</w:t>
      </w:r>
      <w:r w:rsidRPr="00C26DEC">
        <w:rPr>
          <w:rFonts w:ascii="Calibri" w:eastAsia="Times New Roman" w:hAnsi="Calibri" w:cs="Calibri"/>
          <w:b/>
          <w:sz w:val="28"/>
          <w:szCs w:val="28"/>
          <w:lang w:eastAsia="pl-PL"/>
        </w:rPr>
        <w:t xml:space="preserve"> </w:t>
      </w:r>
      <w:r w:rsidRPr="00C26DEC">
        <w:rPr>
          <w:rFonts w:ascii="Calibri" w:eastAsia="Times New Roman" w:hAnsi="Calibri" w:cs="Calibri"/>
          <w:sz w:val="28"/>
          <w:szCs w:val="28"/>
          <w:lang w:eastAsia="pl-PL"/>
        </w:rPr>
        <w:t xml:space="preserve">Burmistrza Śremu </w:t>
      </w:r>
      <w:r w:rsidRPr="00C26DEC">
        <w:rPr>
          <w:rFonts w:ascii="Calibri" w:eastAsia="Calibri" w:hAnsi="Calibri" w:cs="Calibri"/>
          <w:sz w:val="28"/>
          <w:szCs w:val="28"/>
        </w:rPr>
        <w:t>z 12.10.2020 r. znak PPSOŚ.6220.32.2019.BM</w:t>
      </w:r>
      <w:r w:rsidRPr="00C26DEC">
        <w:rPr>
          <w:rFonts w:ascii="Calibri" w:eastAsia="Times New Roman" w:hAnsi="Calibri" w:cs="Calibri"/>
          <w:sz w:val="28"/>
          <w:szCs w:val="28"/>
          <w:lang w:eastAsia="pl-PL"/>
        </w:rPr>
        <w:t xml:space="preserve"> o środowiskowych uwarunkowaniach, zmienioną decyzją Burmistrza Śremu z 22.12.2021 r. znak PPSOŚ.6220.33.2021.BM w następujący sposób:</w:t>
      </w:r>
    </w:p>
    <w:p w14:paraId="7871E04B" w14:textId="77777777" w:rsidR="00C26DEC" w:rsidRPr="00C26DEC" w:rsidRDefault="00C26DEC" w:rsidP="00C26DEC">
      <w:pPr>
        <w:numPr>
          <w:ilvl w:val="0"/>
          <w:numId w:val="16"/>
        </w:numPr>
        <w:spacing w:after="120" w:line="240" w:lineRule="auto"/>
        <w:ind w:left="284" w:hanging="284"/>
        <w:jc w:val="both"/>
        <w:rPr>
          <w:rFonts w:ascii="Calibri" w:eastAsia="Times New Roman" w:hAnsi="Calibri" w:cs="Calibri"/>
          <w:sz w:val="28"/>
          <w:szCs w:val="28"/>
          <w:lang w:eastAsia="pl-PL"/>
        </w:rPr>
      </w:pPr>
      <w:r w:rsidRPr="00C26DEC">
        <w:rPr>
          <w:rFonts w:ascii="Calibri" w:eastAsia="Times New Roman" w:hAnsi="Calibri" w:cs="Calibri"/>
          <w:sz w:val="28"/>
          <w:szCs w:val="28"/>
          <w:lang w:eastAsia="pl-PL"/>
        </w:rPr>
        <w:lastRenderedPageBreak/>
        <w:t>ust. 1 pkt 1 otrzymuje brzmienie:</w:t>
      </w:r>
    </w:p>
    <w:p w14:paraId="43B6A29E" w14:textId="77777777" w:rsidR="00C26DEC" w:rsidRPr="00C26DEC" w:rsidRDefault="00C26DEC" w:rsidP="00C26DEC">
      <w:pPr>
        <w:spacing w:after="120" w:line="240" w:lineRule="auto"/>
        <w:ind w:left="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„1) planowane przedsięwzięcie polegać będzie na budowie elektrowni fotowoltaicznej o łącznej mocy do 1 MW, na działce o numerze ewidencyjnym 257, obręb Błociszewo. Elektrownia fotowoltaiczna zajmować będzie powierzchnię ca 2,06 ha. W ramach realizacji przedsięwzięcia planowany jest montaż do 4 000 sztuk paneli fotowoltaicznych o mocy pojedynczego modułu od 350 Wp do 700 Wp. Moduły zostaną zamontowane w kierunku południowym na konstrukcji wsporczej, pod kątem od 10° do 45°. Panele fotowoltaiczne będą pokryte powłoką antyrefleksyjną;”;</w:t>
      </w:r>
    </w:p>
    <w:p w14:paraId="50896D86" w14:textId="77777777" w:rsidR="00C26DEC" w:rsidRPr="00C26DEC" w:rsidRDefault="00C26DEC" w:rsidP="00C26DEC">
      <w:pPr>
        <w:numPr>
          <w:ilvl w:val="0"/>
          <w:numId w:val="16"/>
        </w:numPr>
        <w:spacing w:after="120" w:line="240" w:lineRule="auto"/>
        <w:ind w:left="284" w:hanging="284"/>
        <w:jc w:val="both"/>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załącznik nr 1 do decyzji z 12.10.2020 r. otrzymuje brzmienie zgodne z załącznikiem nr 1 do niniejszej decyzji,</w:t>
      </w:r>
    </w:p>
    <w:p w14:paraId="433B9D9F" w14:textId="77777777" w:rsidR="00C26DEC" w:rsidRPr="00C26DEC" w:rsidRDefault="00C26DEC" w:rsidP="00C26DEC">
      <w:pPr>
        <w:spacing w:after="120" w:line="240" w:lineRule="auto"/>
        <w:jc w:val="center"/>
        <w:rPr>
          <w:rFonts w:ascii="Calibri" w:eastAsia="Times New Roman" w:hAnsi="Calibri" w:cs="Calibri"/>
          <w:bCs/>
          <w:sz w:val="28"/>
          <w:szCs w:val="28"/>
          <w:lang w:eastAsia="pl-PL"/>
        </w:rPr>
      </w:pPr>
      <w:r w:rsidRPr="00C26DEC">
        <w:rPr>
          <w:rFonts w:ascii="Calibri" w:eastAsia="Times New Roman" w:hAnsi="Calibri" w:cs="Calibri"/>
          <w:bCs/>
          <w:sz w:val="28"/>
          <w:szCs w:val="28"/>
          <w:lang w:eastAsia="pl-PL"/>
        </w:rPr>
        <w:t>oraz</w:t>
      </w:r>
    </w:p>
    <w:p w14:paraId="611AC4D6" w14:textId="77777777" w:rsidR="00C26DEC" w:rsidRPr="00C26DEC" w:rsidRDefault="00C26DEC" w:rsidP="00C26DEC">
      <w:pPr>
        <w:spacing w:after="120" w:line="240" w:lineRule="auto"/>
        <w:jc w:val="center"/>
        <w:rPr>
          <w:rFonts w:ascii="Calibri" w:eastAsia="Times New Roman" w:hAnsi="Calibri" w:cs="Calibri"/>
          <w:b/>
          <w:sz w:val="28"/>
          <w:szCs w:val="28"/>
          <w:lang w:eastAsia="pl-PL"/>
        </w:rPr>
      </w:pPr>
      <w:r w:rsidRPr="00C26DEC">
        <w:rPr>
          <w:rFonts w:ascii="Calibri" w:eastAsia="Times New Roman" w:hAnsi="Calibri" w:cs="Calibri"/>
          <w:b/>
          <w:sz w:val="28"/>
          <w:szCs w:val="28"/>
          <w:lang w:eastAsia="pl-PL"/>
        </w:rPr>
        <w:t>stwierdzam</w:t>
      </w:r>
    </w:p>
    <w:p w14:paraId="5AFE2B0B" w14:textId="77777777" w:rsidR="00C26DEC" w:rsidRPr="00C26DEC" w:rsidRDefault="00C26DEC" w:rsidP="00C26DEC">
      <w:pPr>
        <w:spacing w:after="120" w:line="240" w:lineRule="auto"/>
        <w:rPr>
          <w:rFonts w:ascii="Calibri" w:eastAsia="Times New Roman" w:hAnsi="Calibri" w:cs="Calibri"/>
          <w:sz w:val="28"/>
          <w:szCs w:val="28"/>
          <w:lang w:eastAsia="pl-PL"/>
        </w:rPr>
      </w:pPr>
      <w:r w:rsidRPr="00C26DEC">
        <w:rPr>
          <w:rFonts w:ascii="Calibri" w:eastAsia="Times New Roman" w:hAnsi="Calibri" w:cs="Calibri"/>
          <w:b/>
          <w:sz w:val="28"/>
          <w:szCs w:val="28"/>
          <w:lang w:eastAsia="pl-PL"/>
        </w:rPr>
        <w:t>brak potrzeby przeprowadzenia oceny oddziaływania na środowisko dla planowanego przedsięwzięcia</w:t>
      </w:r>
      <w:r w:rsidRPr="00C26DEC">
        <w:rPr>
          <w:rFonts w:ascii="Calibri" w:eastAsia="Times New Roman" w:hAnsi="Calibri" w:cs="Calibri"/>
          <w:sz w:val="28"/>
          <w:szCs w:val="28"/>
          <w:lang w:eastAsia="pl-PL"/>
        </w:rPr>
        <w:t xml:space="preserve"> polegającego na </w:t>
      </w:r>
      <w:r w:rsidRPr="00C26DEC">
        <w:rPr>
          <w:rFonts w:ascii="Calibri" w:eastAsia="Calibri" w:hAnsi="Calibri" w:cs="Calibri"/>
          <w:sz w:val="28"/>
          <w:szCs w:val="28"/>
        </w:rPr>
        <w:t>budowie farmy fotowoltaicznej na działce o numerze ewidencyjnym 257, obręb Błociszewo</w:t>
      </w:r>
      <w:r w:rsidRPr="00C26DEC">
        <w:rPr>
          <w:rFonts w:ascii="Calibri" w:eastAsia="Times New Roman" w:hAnsi="Calibri" w:cs="Calibri"/>
          <w:sz w:val="28"/>
          <w:szCs w:val="28"/>
          <w:lang w:eastAsia="pl-PL"/>
        </w:rPr>
        <w:t>, w zakresie wnioskowanej zmiany.</w:t>
      </w:r>
    </w:p>
    <w:p w14:paraId="63C63503" w14:textId="77777777" w:rsidR="00C26DEC" w:rsidRPr="00C26DEC" w:rsidRDefault="00C26DEC" w:rsidP="00C26DEC">
      <w:pPr>
        <w:spacing w:after="120" w:line="240" w:lineRule="auto"/>
        <w:jc w:val="center"/>
        <w:rPr>
          <w:rFonts w:ascii="Calibri" w:eastAsia="Times New Roman" w:hAnsi="Calibri" w:cs="Calibri"/>
          <w:b/>
          <w:sz w:val="28"/>
          <w:szCs w:val="28"/>
          <w:lang w:eastAsia="pl-PL"/>
        </w:rPr>
      </w:pPr>
      <w:r w:rsidRPr="00C26DEC">
        <w:rPr>
          <w:rFonts w:ascii="Calibri" w:eastAsia="Times New Roman" w:hAnsi="Calibri" w:cs="Calibri"/>
          <w:b/>
          <w:sz w:val="28"/>
          <w:szCs w:val="28"/>
          <w:lang w:eastAsia="pl-PL"/>
        </w:rPr>
        <w:t>Pozostałe warunki decyzji pozostają bez zmian.</w:t>
      </w:r>
    </w:p>
    <w:p w14:paraId="45ECA322" w14:textId="77777777" w:rsidR="00C26DEC" w:rsidRPr="00C26DEC" w:rsidRDefault="00C26DEC" w:rsidP="00C26DEC">
      <w:pPr>
        <w:spacing w:after="120" w:line="240" w:lineRule="auto"/>
        <w:jc w:val="center"/>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Uzasadnienie</w:t>
      </w:r>
    </w:p>
    <w:p w14:paraId="223B3089" w14:textId="77777777" w:rsidR="00C26DEC" w:rsidRPr="00C26DEC" w:rsidRDefault="00C26DEC" w:rsidP="00C26DEC">
      <w:pPr>
        <w:spacing w:after="120" w:line="240" w:lineRule="auto"/>
        <w:ind w:firstLine="709"/>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t xml:space="preserve">05.08.2024 r. do Burmistrza Śremu wpłynął wniosek spółki PCWO Energy PV 3250 Spółka z ograniczoną odpowiedzialnością, ul. Świętego Leonarda 9, 25-311 Kielce (KRS 0000888711), uzupełniony 04.10.2024 r. i 17.10.2024 r., o zmianę ostatecznej decyzji Burmistrza Śremu z 12.10.2020 r. znak PPSOŚ.6220.32.2019.BM o środowiskowych uwarunkowaniach dla planowanego przedsięwzięcia polegającego na budowie farmy fotowoltaicznej na działce o numerze ewidencyjnym 257, obręb Błociszewo, wydanej na rzecz spółki PCWO Energy Projekt Spółka z ograniczoną odpowiedzialnością, ul. Świętego Leonarda 9, 25-311 Kielce, przeniesionej decyzją Burmistrza Śremu z 17.08.2021 r. znak PPSOŚ.6220.28.2021.BM na rzecz spółki PCWO Energy PV 3250 Spółka z ograniczoną odpowiedzialnością, ul. Świętego Leonarda 9, 25-311 Kielce, a następnie zmienionej decyzją Burmistrza Śremu z 22.12.2021 r. znak PPSOŚ.6220.33.2021.BM. Do wniosku załączona została karta informacyjna przedsięwzięcia wraz z wymaganymi załącznikami. </w:t>
      </w:r>
    </w:p>
    <w:p w14:paraId="53C1C1CC" w14:textId="77777777" w:rsidR="00C26DEC" w:rsidRPr="00C26DEC" w:rsidRDefault="00C26DEC" w:rsidP="00C26DEC">
      <w:pPr>
        <w:spacing w:after="120" w:line="240" w:lineRule="auto"/>
        <w:ind w:firstLine="709"/>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lastRenderedPageBreak/>
        <w:t>Planowane przedsięwzięcie znajduje się w granicy Parku Krajobrazowego im. gen. Dezyderego Chłapowskiego [uchwała nr XLIV/858/14 Sejmiku Województwa Wielkopolskiego z dnia 28 kwietnia 2014 r. w sprawie utworzenia Parku Krajobrazowego im. gen. Dezyderego Chłapowskiego (Dz. Urz. Woj. Wielk. poz. 3258), zmieniona uchwałą nr XLVIII/1087/18 Sejmiku Województwa Wielkopolskiego z dnia 23 lipca 2018 r. (Dz. Urz. Woj. Wielk. poz. 6103)].</w:t>
      </w:r>
    </w:p>
    <w:p w14:paraId="4B349AA2" w14:textId="77777777" w:rsidR="00C26DEC" w:rsidRPr="00C26DEC" w:rsidRDefault="00C26DEC" w:rsidP="00C26DEC">
      <w:pPr>
        <w:spacing w:after="120" w:line="240" w:lineRule="auto"/>
        <w:ind w:firstLine="708"/>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t xml:space="preserve">W postępowaniu zakończonym ostateczną decyzją o środowiskowych uwarunkowaniach (11.11.2020 r.), </w:t>
      </w:r>
      <w:r w:rsidRPr="00C26DEC">
        <w:rPr>
          <w:rFonts w:ascii="Calibri" w:eastAsia="Times New Roman" w:hAnsi="Calibri" w:cs="Times New Roman"/>
          <w:b/>
          <w:bCs/>
          <w:sz w:val="28"/>
          <w:szCs w:val="24"/>
          <w:lang w:eastAsia="pl-PL"/>
        </w:rPr>
        <w:t>planowane przedsięwzięcie dotyczyło budowy farmy fotowoltaicznej wraz z towarzyszącą infrastrukturą na terenie o łącznej powierzchni zabudowy wynoszącej ca 2,06 ha</w:t>
      </w:r>
      <w:r w:rsidRPr="00C26DEC">
        <w:rPr>
          <w:rFonts w:ascii="Calibri" w:eastAsia="Times New Roman" w:hAnsi="Calibri" w:cs="Times New Roman"/>
          <w:sz w:val="28"/>
          <w:szCs w:val="24"/>
          <w:lang w:eastAsia="pl-PL"/>
        </w:rPr>
        <w:t>, rozumianej zgodnie z § 1 ust. 2 pkt 2 rozporządzenia Rady Ministrów z dnia 10 września 2019 r. w sprawie przedsięwzięć mogących znacząco oddziaływać na środowisko (</w:t>
      </w:r>
      <w:r w:rsidRPr="00C26DEC">
        <w:rPr>
          <w:rFonts w:ascii="Calibri" w:eastAsia="Times New Roman" w:hAnsi="Calibri" w:cs="Calibri"/>
          <w:bCs/>
          <w:sz w:val="28"/>
          <w:szCs w:val="28"/>
          <w:lang w:eastAsia="pl-PL"/>
        </w:rPr>
        <w:t>Dz. U. poz. 1839</w:t>
      </w:r>
      <w:r w:rsidRPr="00C26DEC">
        <w:rPr>
          <w:rFonts w:ascii="Calibri" w:eastAsia="Times New Roman" w:hAnsi="Calibri" w:cs="Times New Roman"/>
          <w:sz w:val="28"/>
          <w:szCs w:val="24"/>
          <w:lang w:eastAsia="pl-PL"/>
        </w:rPr>
        <w:t>), jako powierzchnię terenu zajętą przez obiekty budowlane oraz pozostałą powierzchnię przeznaczoną do przekształcenia, w tym tymczasowego, w celu realizacji przedsięwzięcia.</w:t>
      </w:r>
    </w:p>
    <w:p w14:paraId="3C1D056E" w14:textId="77777777" w:rsidR="00C26DEC" w:rsidRPr="00C26DEC" w:rsidRDefault="00C26DEC" w:rsidP="00C26DEC">
      <w:pPr>
        <w:spacing w:after="120" w:line="240" w:lineRule="auto"/>
        <w:ind w:firstLine="708"/>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t xml:space="preserve">Z uwagi na wskazaną powierzchnię zabudowy planowane przedsięwzięcie zakwalifikowane zostało do przedsięwzięć mogących potencjalnie znacząco oddziaływać na środowisko, dla których obowiązek przeprowadzenia oceny oddziaływania na środowisko może być stwierdzony, wymienionych </w:t>
      </w:r>
      <w:bookmarkStart w:id="2" w:name="_Hlk184370634"/>
      <w:r w:rsidRPr="00C26DEC">
        <w:rPr>
          <w:rFonts w:ascii="Calibri" w:eastAsia="Times New Roman" w:hAnsi="Calibri" w:cs="Times New Roman"/>
          <w:sz w:val="28"/>
          <w:szCs w:val="24"/>
          <w:lang w:eastAsia="pl-PL"/>
        </w:rPr>
        <w:t xml:space="preserve">w przywołanym rozporządzeniu, </w:t>
      </w:r>
      <w:bookmarkEnd w:id="2"/>
      <w:r w:rsidRPr="00C26DEC">
        <w:rPr>
          <w:rFonts w:ascii="Calibri" w:eastAsia="Times New Roman" w:hAnsi="Calibri" w:cs="Times New Roman"/>
          <w:sz w:val="28"/>
          <w:szCs w:val="24"/>
          <w:lang w:eastAsia="pl-PL"/>
        </w:rPr>
        <w:t xml:space="preserve">w </w:t>
      </w:r>
      <w:r w:rsidRPr="00C26DEC">
        <w:rPr>
          <w:rFonts w:ascii="Calibri" w:eastAsia="Times New Roman" w:hAnsi="Calibri" w:cs="Times New Roman"/>
          <w:b/>
          <w:bCs/>
          <w:sz w:val="28"/>
          <w:szCs w:val="24"/>
          <w:lang w:eastAsia="pl-PL"/>
        </w:rPr>
        <w:t>§ 3 ust. 1 pkt 54 lit. a</w:t>
      </w:r>
      <w:r w:rsidRPr="00C26DEC">
        <w:rPr>
          <w:rFonts w:ascii="Calibri" w:eastAsia="Times New Roman" w:hAnsi="Calibri" w:cs="Times New Roman"/>
          <w:sz w:val="28"/>
          <w:szCs w:val="24"/>
          <w:lang w:eastAsia="pl-PL"/>
        </w:rPr>
        <w:t xml:space="preserve">: „zabudowa przemysłowa, w tym </w:t>
      </w:r>
      <w:r w:rsidRPr="00C26DEC">
        <w:rPr>
          <w:rFonts w:ascii="Calibri" w:eastAsia="Times New Roman" w:hAnsi="Calibri" w:cs="Times New Roman"/>
          <w:b/>
          <w:bCs/>
          <w:sz w:val="28"/>
          <w:szCs w:val="24"/>
          <w:lang w:eastAsia="pl-PL"/>
        </w:rPr>
        <w:t>zabudowa systemami fotowoltaicznymi</w:t>
      </w:r>
      <w:r w:rsidRPr="00C26DEC">
        <w:rPr>
          <w:rFonts w:ascii="Calibri" w:eastAsia="Times New Roman" w:hAnsi="Calibri" w:cs="Times New Roman"/>
          <w:sz w:val="28"/>
          <w:szCs w:val="24"/>
          <w:lang w:eastAsia="pl-PL"/>
        </w:rPr>
        <w:t xml:space="preserve">, lub magazynowa, </w:t>
      </w:r>
      <w:r w:rsidRPr="00C26DEC">
        <w:rPr>
          <w:rFonts w:ascii="Calibri" w:eastAsia="Times New Roman" w:hAnsi="Calibri" w:cs="Times New Roman"/>
          <w:b/>
          <w:bCs/>
          <w:sz w:val="28"/>
          <w:szCs w:val="24"/>
          <w:lang w:eastAsia="pl-PL"/>
        </w:rPr>
        <w:t xml:space="preserve">wraz z towarzyszącą jej infrastrukturą, o powierzchni zabudowy nie mniejszej niż </w:t>
      </w:r>
      <w:bookmarkStart w:id="3" w:name="_Hlk184643786"/>
      <w:r w:rsidRPr="00C26DEC">
        <w:rPr>
          <w:rFonts w:ascii="Calibri" w:eastAsia="Times New Roman" w:hAnsi="Calibri" w:cs="Times New Roman"/>
          <w:b/>
          <w:bCs/>
          <w:sz w:val="28"/>
          <w:szCs w:val="24"/>
          <w:lang w:eastAsia="pl-PL"/>
        </w:rPr>
        <w:t>0,5 ha na obszarach objętych formami ochrony przyrody</w:t>
      </w:r>
      <w:r w:rsidRPr="00C26DEC">
        <w:rPr>
          <w:rFonts w:ascii="Calibri" w:eastAsia="Times New Roman" w:hAnsi="Calibri" w:cs="Times New Roman"/>
          <w:sz w:val="28"/>
          <w:szCs w:val="24"/>
          <w:lang w:eastAsia="pl-PL"/>
        </w:rPr>
        <w:t>, o których mowa w art. 6 ust. 1 pkt 1-5, 8 i 9 ustawy z dnia 16 kwietnia 2004 r. o ochronie przyrody, lub w otulinach form ochrony przyrody, o których mowa w art. 6 ust. 1 pkt 1-3 tej ustawy</w:t>
      </w:r>
      <w:bookmarkEnd w:id="3"/>
      <w:r w:rsidRPr="00C26DEC">
        <w:rPr>
          <w:rFonts w:ascii="Calibri" w:eastAsia="Times New Roman" w:hAnsi="Calibri" w:cs="Times New Roman"/>
          <w:sz w:val="28"/>
          <w:szCs w:val="24"/>
          <w:lang w:eastAsia="pl-PL"/>
        </w:rPr>
        <w:t xml:space="preserve">”. </w:t>
      </w:r>
    </w:p>
    <w:p w14:paraId="406618DD" w14:textId="77777777" w:rsidR="00C26DEC" w:rsidRPr="00C26DEC" w:rsidRDefault="00C26DEC" w:rsidP="00C26DEC">
      <w:pPr>
        <w:spacing w:after="120" w:line="240" w:lineRule="auto"/>
        <w:ind w:firstLine="709"/>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t>Wnioskodawca wskazał, że zmiana decyzji o środowiskowych uwarunkowaniach jest niezbędna do uzyskania między innymi decyzji o pozwoleniu na budowę.</w:t>
      </w:r>
    </w:p>
    <w:p w14:paraId="27D4B033" w14:textId="77777777" w:rsidR="00C26DEC" w:rsidRPr="00C26DEC" w:rsidRDefault="00C26DEC" w:rsidP="00C26DEC">
      <w:pPr>
        <w:spacing w:after="120" w:line="240" w:lineRule="auto"/>
        <w:ind w:firstLine="708"/>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t>Jak wynika z wniosku zmiana przedmiotowej decyzji dotyczy zmiany parametrów przedsięwzięcia określonych w ust. 1 pkt 1 decyzji oraz w załączniku nr 1 do decyzji, to jest:</w:t>
      </w:r>
    </w:p>
    <w:p w14:paraId="25786D2B" w14:textId="77777777" w:rsidR="00C26DEC" w:rsidRPr="00C26DEC" w:rsidRDefault="00C26DEC" w:rsidP="00C26DEC">
      <w:pPr>
        <w:numPr>
          <w:ilvl w:val="0"/>
          <w:numId w:val="18"/>
        </w:numPr>
        <w:spacing w:after="120" w:line="240" w:lineRule="auto"/>
        <w:ind w:left="284" w:hanging="284"/>
        <w:contextualSpacing/>
        <w:jc w:val="both"/>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t>kąta nachylenia modułów fotowoltaicznych z „od 20° do 45°” na „od 10° do 45°”;</w:t>
      </w:r>
    </w:p>
    <w:p w14:paraId="1800DFE4" w14:textId="77777777" w:rsidR="00C26DEC" w:rsidRPr="00C26DEC" w:rsidRDefault="00C26DEC" w:rsidP="00C26DEC">
      <w:pPr>
        <w:numPr>
          <w:ilvl w:val="0"/>
          <w:numId w:val="18"/>
        </w:numPr>
        <w:spacing w:after="120" w:line="240" w:lineRule="auto"/>
        <w:ind w:left="284" w:hanging="284"/>
        <w:contextualSpacing/>
        <w:jc w:val="both"/>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t>parametrów technicznych stacji transformatorowej wyposażonej w transformator z napięcia „0,4/15 kV” na „nN/Sn”;</w:t>
      </w:r>
    </w:p>
    <w:p w14:paraId="7499FC6D" w14:textId="77777777" w:rsidR="00C26DEC" w:rsidRPr="00C26DEC" w:rsidRDefault="00C26DEC" w:rsidP="00C26DEC">
      <w:pPr>
        <w:numPr>
          <w:ilvl w:val="0"/>
          <w:numId w:val="18"/>
        </w:numPr>
        <w:spacing w:after="120" w:line="240" w:lineRule="auto"/>
        <w:ind w:left="284" w:hanging="284"/>
        <w:jc w:val="both"/>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lastRenderedPageBreak/>
        <w:t xml:space="preserve">głębokości wbijania konstrukcji wsporczej z „do 2,0 m p.p.t.” na „do 6,0 m p.p.t.”. </w:t>
      </w:r>
    </w:p>
    <w:p w14:paraId="5275D031" w14:textId="77777777" w:rsidR="00C26DEC" w:rsidRPr="00C26DEC" w:rsidRDefault="00C26DEC" w:rsidP="00C26DEC">
      <w:pPr>
        <w:spacing w:after="120" w:line="240" w:lineRule="auto"/>
        <w:ind w:firstLine="708"/>
        <w:rPr>
          <w:rFonts w:ascii="Calibri" w:eastAsia="Times New Roman" w:hAnsi="Calibri" w:cs="Times New Roman"/>
          <w:kern w:val="2"/>
          <w:sz w:val="28"/>
          <w:szCs w:val="28"/>
          <w:lang w:eastAsia="pl-PL"/>
          <w14:ligatures w14:val="standardContextual"/>
        </w:rPr>
      </w:pPr>
      <w:r w:rsidRPr="00C26DEC">
        <w:rPr>
          <w:rFonts w:ascii="Calibri" w:eastAsia="Times New Roman" w:hAnsi="Calibri" w:cs="Times New Roman"/>
          <w:kern w:val="2"/>
          <w:sz w:val="28"/>
          <w:szCs w:val="28"/>
          <w:lang w:eastAsia="pl-PL"/>
          <w14:ligatures w14:val="standardContextual"/>
        </w:rPr>
        <w:t xml:space="preserve">Zgodnie </w:t>
      </w:r>
      <w:bookmarkStart w:id="4" w:name="_Hlk170815424"/>
      <w:r w:rsidRPr="00C26DEC">
        <w:rPr>
          <w:rFonts w:ascii="Calibri" w:eastAsia="Times New Roman" w:hAnsi="Calibri" w:cs="Times New Roman"/>
          <w:kern w:val="2"/>
          <w:sz w:val="28"/>
          <w:szCs w:val="28"/>
          <w:lang w:eastAsia="pl-PL"/>
          <w14:ligatures w14:val="standardContextual"/>
        </w:rPr>
        <w:t>z art. 87 u.o</w:t>
      </w:r>
      <w:bookmarkEnd w:id="4"/>
      <w:r w:rsidRPr="00C26DEC">
        <w:rPr>
          <w:rFonts w:ascii="Calibri" w:eastAsia="Times New Roman" w:hAnsi="Calibri" w:cs="Times New Roman"/>
          <w:kern w:val="2"/>
          <w:sz w:val="28"/>
          <w:szCs w:val="28"/>
          <w:lang w:eastAsia="pl-PL"/>
          <w14:ligatures w14:val="standardContextual"/>
        </w:rPr>
        <w:t>.o.ś. w przypadku zmiany decyzji o środowiskowych uwarunkowaniach stosuje się odpowiednio przepisy wymagane przy wydawaniu decyzji o środowiskowych uwarunkowaniach. Przepis art. 155 K.p.a. stosuje się odpowiednio, z zastrzeżeniem, że zgodę wyraża wyłącznie strona, która złożyła wniosek o wydanie decyzji o środowiskowych uwarunkowaniach, lub podmiot, na którego została przeniesiona decyzja o środowiskowych uwarunkowaniach.</w:t>
      </w:r>
    </w:p>
    <w:p w14:paraId="0CC0C58A" w14:textId="77777777" w:rsidR="00C26DEC" w:rsidRPr="00C26DEC" w:rsidRDefault="00C26DEC" w:rsidP="00C26DEC">
      <w:pPr>
        <w:spacing w:after="120" w:line="240" w:lineRule="auto"/>
        <w:ind w:firstLine="708"/>
        <w:rPr>
          <w:rFonts w:ascii="Calibri" w:eastAsia="Calibri" w:hAnsi="Calibri" w:cs="Times New Roman"/>
          <w:kern w:val="2"/>
          <w:sz w:val="28"/>
          <w14:ligatures w14:val="standardContextual"/>
        </w:rPr>
      </w:pPr>
      <w:r w:rsidRPr="00C26DEC">
        <w:rPr>
          <w:rFonts w:ascii="Calibri" w:eastAsia="Calibri" w:hAnsi="Calibri" w:cs="Times New Roman"/>
          <w:kern w:val="2"/>
          <w:sz w:val="28"/>
          <w14:ligatures w14:val="standardContextual"/>
        </w:rPr>
        <w:t xml:space="preserve">Zgodnie z art. 155 </w:t>
      </w:r>
      <w:r w:rsidRPr="00C26DEC">
        <w:rPr>
          <w:rFonts w:ascii="Calibri" w:eastAsia="Times New Roman" w:hAnsi="Calibri" w:cs="Times New Roman"/>
          <w:kern w:val="2"/>
          <w:sz w:val="28"/>
          <w:szCs w:val="28"/>
          <w:lang w:eastAsia="pl-PL"/>
          <w14:ligatures w14:val="standardContextual"/>
        </w:rPr>
        <w:t>K.p.a.</w:t>
      </w:r>
      <w:r w:rsidRPr="00C26DEC">
        <w:rPr>
          <w:rFonts w:ascii="Calibri" w:eastAsia="Calibri" w:hAnsi="Calibri" w:cs="Times New Roman"/>
          <w:kern w:val="2"/>
          <w:sz w:val="28"/>
          <w14:ligatures w14:val="standardContextual"/>
        </w:rPr>
        <w:t xml:space="preserve"> decyzja ostateczna, na mocy której strona nabyła prawo, może być w każdym czasie za zgodą strony uchylona lub zmieniona przez organ administracji publicznej, który ją wydał, jeżeli przepisy szczególne nie sprzeciwiają się uchyleniu lub zmianie takiej decyzji i przemawia za tym interes społeczny lub słuszny interes strony; przepis art. 154 § 2 stosuje się odpowiednio.</w:t>
      </w:r>
    </w:p>
    <w:p w14:paraId="5A66FB86" w14:textId="77777777" w:rsidR="00C26DEC" w:rsidRPr="00C26DEC" w:rsidRDefault="00C26DEC" w:rsidP="00C26DEC">
      <w:pPr>
        <w:spacing w:after="120" w:line="240" w:lineRule="auto"/>
        <w:ind w:firstLine="567"/>
        <w:rPr>
          <w:rFonts w:ascii="Calibri" w:eastAsia="Times New Roman" w:hAnsi="Calibri" w:cs="Times New Roman"/>
          <w:kern w:val="2"/>
          <w:sz w:val="28"/>
          <w:szCs w:val="28"/>
          <w:lang w:eastAsia="pl-PL"/>
          <w14:ligatures w14:val="standardContextual"/>
        </w:rPr>
      </w:pPr>
      <w:r w:rsidRPr="00C26DEC">
        <w:rPr>
          <w:rFonts w:ascii="Calibri" w:eastAsia="Times New Roman" w:hAnsi="Calibri" w:cs="Times New Roman"/>
          <w:kern w:val="2"/>
          <w:sz w:val="28"/>
          <w:szCs w:val="28"/>
          <w:lang w:eastAsia="pl-PL"/>
          <w14:ligatures w14:val="standardContextual"/>
        </w:rPr>
        <w:t>Zgodnie z art. 73 ust.1 u.o.o.ś. postępowanie w sprawie wydania decyzji o środowiskowych uwarunkowaniach wszczyna się na wniosek podmiotu planującego podjęcie realizacji przedsięwzięcia.</w:t>
      </w:r>
    </w:p>
    <w:p w14:paraId="3BCC2CF4" w14:textId="77777777" w:rsidR="00C26DEC" w:rsidRPr="00C26DEC" w:rsidRDefault="00C26DEC" w:rsidP="00C26DEC">
      <w:pPr>
        <w:spacing w:after="120" w:line="240" w:lineRule="auto"/>
        <w:ind w:firstLine="567"/>
        <w:rPr>
          <w:rFonts w:ascii="Calibri" w:eastAsia="Times New Roman" w:hAnsi="Calibri" w:cs="Times New Roman"/>
          <w:kern w:val="2"/>
          <w:sz w:val="28"/>
          <w:szCs w:val="28"/>
          <w:lang w:eastAsia="pl-PL"/>
          <w14:ligatures w14:val="standardContextual"/>
        </w:rPr>
      </w:pPr>
      <w:r w:rsidRPr="00C26DEC">
        <w:rPr>
          <w:rFonts w:ascii="Calibri" w:eastAsia="Times New Roman" w:hAnsi="Calibri" w:cs="Times New Roman"/>
          <w:kern w:val="2"/>
          <w:sz w:val="28"/>
          <w:szCs w:val="28"/>
          <w:lang w:eastAsia="pl-PL"/>
          <w14:ligatures w14:val="standardContextual"/>
        </w:rPr>
        <w:t>Na podstawie art. 75 ust. 1 pkt 4 u.o.o.ś., w przypadku przedmiotowego przedsięwzięcia, właściwym organem do wydania decyzji o środowiskowych uwarunkowaniach jest Burmistrz Śremu.</w:t>
      </w:r>
    </w:p>
    <w:p w14:paraId="22E56E59" w14:textId="77777777" w:rsidR="00C26DEC" w:rsidRPr="00C26DEC" w:rsidRDefault="00C26DEC" w:rsidP="00066A1E">
      <w:pPr>
        <w:spacing w:after="120" w:line="240" w:lineRule="auto"/>
        <w:ind w:firstLine="708"/>
        <w:rPr>
          <w:rFonts w:ascii="Calibri" w:eastAsia="Calibri" w:hAnsi="Calibri" w:cs="Calibri"/>
          <w:sz w:val="28"/>
          <w:szCs w:val="28"/>
        </w:rPr>
      </w:pPr>
      <w:r w:rsidRPr="00C26DEC">
        <w:rPr>
          <w:rFonts w:ascii="Calibri" w:eastAsia="Calibri" w:hAnsi="Calibri" w:cs="Calibri"/>
          <w:sz w:val="28"/>
          <w:szCs w:val="28"/>
        </w:rPr>
        <w:t>Planowane przedsięwzięcie będzie obejmować w szczególności montaż paneli fotowoltaicznych, stacji transformatorowej, inwerterów, linii kablowych, na terenie o łącznej powierzchni 2,06 ha. Zabudowa systemami fotowoltaicznymi realizowana będzie na powierzchni nie większej niż 1,7 ha wyznaczonej po obrysie zewnętrznych skrajnych paneli fotowoltaicznych.</w:t>
      </w:r>
      <w:r w:rsidRPr="00C26DEC">
        <w:rPr>
          <w:rFonts w:ascii="Times New Roman" w:eastAsia="Calibri" w:hAnsi="Times New Roman" w:cs="Times New Roman"/>
          <w:sz w:val="28"/>
          <w:szCs w:val="28"/>
        </w:rPr>
        <w:t xml:space="preserve"> </w:t>
      </w:r>
    </w:p>
    <w:p w14:paraId="56C720C6" w14:textId="77777777" w:rsidR="00C26DEC" w:rsidRPr="00C26DEC" w:rsidRDefault="00C26DEC" w:rsidP="00C26DEC">
      <w:pPr>
        <w:spacing w:after="0" w:line="240" w:lineRule="auto"/>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br w:type="page"/>
      </w:r>
    </w:p>
    <w:p w14:paraId="304140F8" w14:textId="77777777" w:rsidR="00C26DEC" w:rsidRPr="00C26DEC" w:rsidRDefault="00C26DEC" w:rsidP="00C26DEC">
      <w:pPr>
        <w:spacing w:after="120" w:line="240" w:lineRule="auto"/>
        <w:ind w:firstLine="709"/>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lastRenderedPageBreak/>
        <w:t xml:space="preserve">Wnioskodawca zakwalifikował planowane przedsięwzięcie do przedsięwzięć mogących potencjalnie znacząco oddziaływać na środowisko, dla których obowiązek przeprowadzenia oceny oddziaływania na środowisko może być stwierdzony, wymienionych w rozporządzeniu Rady Ministrów z dnia 10 września 2019 r. w sprawie przedsięwzięć mogących znacząco oddziaływać na środowisko </w:t>
      </w:r>
      <w:bookmarkStart w:id="5" w:name="_Hlk168921897"/>
      <w:r w:rsidRPr="00C26DEC">
        <w:rPr>
          <w:rFonts w:ascii="Calibri" w:eastAsia="Times New Roman" w:hAnsi="Calibri" w:cs="Times New Roman"/>
          <w:sz w:val="28"/>
          <w:szCs w:val="24"/>
          <w:lang w:eastAsia="pl-PL"/>
        </w:rPr>
        <w:t>(</w:t>
      </w:r>
      <w:bookmarkStart w:id="6" w:name="_Hlk184371187"/>
      <w:r w:rsidRPr="00C26DEC">
        <w:rPr>
          <w:rFonts w:ascii="Calibri" w:eastAsia="Times New Roman" w:hAnsi="Calibri" w:cs="Calibri"/>
          <w:bCs/>
          <w:sz w:val="28"/>
          <w:szCs w:val="28"/>
          <w:lang w:eastAsia="pl-PL"/>
        </w:rPr>
        <w:t>Dz. U. poz. 1839, z 2022 r. poz. 1071 i z 2023 r. poz. 1724</w:t>
      </w:r>
      <w:bookmarkEnd w:id="6"/>
      <w:r w:rsidRPr="00C26DEC">
        <w:rPr>
          <w:rFonts w:ascii="Calibri" w:eastAsia="Times New Roman" w:hAnsi="Calibri" w:cs="Calibri"/>
          <w:bCs/>
          <w:sz w:val="28"/>
          <w:szCs w:val="28"/>
          <w:lang w:eastAsia="pl-PL"/>
        </w:rPr>
        <w:t xml:space="preserve">), </w:t>
      </w:r>
      <w:r w:rsidRPr="00C26DEC">
        <w:rPr>
          <w:rFonts w:ascii="Calibri" w:eastAsia="Times New Roman" w:hAnsi="Calibri" w:cs="Times New Roman"/>
          <w:sz w:val="28"/>
          <w:szCs w:val="24"/>
          <w:lang w:eastAsia="pl-PL"/>
        </w:rPr>
        <w:t xml:space="preserve">w </w:t>
      </w:r>
      <w:bookmarkStart w:id="7" w:name="_Hlk170804293"/>
      <w:r w:rsidRPr="00C26DEC">
        <w:rPr>
          <w:rFonts w:ascii="Calibri" w:eastAsia="Times New Roman" w:hAnsi="Calibri" w:cs="Times New Roman"/>
          <w:b/>
          <w:bCs/>
          <w:sz w:val="28"/>
          <w:szCs w:val="24"/>
          <w:lang w:eastAsia="pl-PL"/>
        </w:rPr>
        <w:t xml:space="preserve">§ 3 ust. 1 pkt 54a lit. </w:t>
      </w:r>
      <w:bookmarkEnd w:id="7"/>
      <w:r w:rsidRPr="00C26DEC">
        <w:rPr>
          <w:rFonts w:ascii="Calibri" w:eastAsia="Times New Roman" w:hAnsi="Calibri" w:cs="Times New Roman"/>
          <w:b/>
          <w:bCs/>
          <w:sz w:val="28"/>
          <w:szCs w:val="24"/>
          <w:lang w:eastAsia="pl-PL"/>
        </w:rPr>
        <w:t>a</w:t>
      </w:r>
      <w:r w:rsidRPr="00C26DEC">
        <w:rPr>
          <w:rFonts w:ascii="Calibri" w:eastAsia="Times New Roman" w:hAnsi="Calibri" w:cs="Times New Roman"/>
          <w:sz w:val="28"/>
          <w:szCs w:val="24"/>
          <w:lang w:eastAsia="pl-PL"/>
        </w:rPr>
        <w:t xml:space="preserve">: </w:t>
      </w:r>
      <w:bookmarkEnd w:id="5"/>
      <w:r w:rsidRPr="00C26DEC">
        <w:rPr>
          <w:rFonts w:ascii="Calibri" w:eastAsia="Times New Roman" w:hAnsi="Calibri" w:cs="Calibri"/>
          <w:kern w:val="2"/>
          <w:sz w:val="28"/>
          <w:szCs w:val="28"/>
          <w:lang w:eastAsia="pl-PL"/>
          <w14:ligatures w14:val="standardContextual"/>
        </w:rPr>
        <w:t>„</w:t>
      </w:r>
      <w:r w:rsidRPr="00C26DEC">
        <w:rPr>
          <w:rFonts w:ascii="Calibri" w:eastAsia="Times New Roman" w:hAnsi="Calibri" w:cs="Calibri"/>
          <w:b/>
          <w:bCs/>
          <w:kern w:val="2"/>
          <w:sz w:val="28"/>
          <w:szCs w:val="28"/>
          <w:lang w:eastAsia="pl-PL"/>
          <w14:ligatures w14:val="standardContextual"/>
        </w:rPr>
        <w:t>zabudowa systemami fotowoltaicznymi o powierzchni wyznaczonej po obrysie zewnętrznych skrajnych modułów paneli nie mniejszej niż 0,5 ha na obszarach objętych formami ochrony przyrody</w:t>
      </w:r>
      <w:r w:rsidRPr="00C26DEC">
        <w:rPr>
          <w:rFonts w:ascii="Calibri" w:eastAsia="Times New Roman" w:hAnsi="Calibri" w:cs="Calibri"/>
          <w:kern w:val="2"/>
          <w:sz w:val="28"/>
          <w:szCs w:val="28"/>
          <w:lang w:eastAsia="pl-PL"/>
          <w14:ligatures w14:val="standardContextual"/>
        </w:rPr>
        <w:t>, o których mowa w art. 6 ust. 1 pkt 1-5, 8 i 9 ustawy z dnia 16 kwietnia 2004 r. o ochronie przyrody, lub w otulinach form ochrony przyrody, o których mowa w art., 6 ust. 1 pkt 1-3 tej ustawy, z wyłączeniem zabudowy systemami fotowoltaicznymi lokalizowanej na dachach i elewacjach obiektów budowlanych”.</w:t>
      </w:r>
      <w:r w:rsidRPr="00C26DEC">
        <w:rPr>
          <w:rFonts w:ascii="Calibri" w:eastAsia="Times New Roman" w:hAnsi="Calibri" w:cs="Times New Roman"/>
          <w:sz w:val="28"/>
          <w:szCs w:val="24"/>
          <w:lang w:eastAsia="pl-PL"/>
        </w:rPr>
        <w:t xml:space="preserve"> </w:t>
      </w:r>
    </w:p>
    <w:p w14:paraId="5266394B" w14:textId="77777777" w:rsidR="00C26DEC" w:rsidRPr="00C26DEC" w:rsidRDefault="00C26DEC" w:rsidP="00C26DEC">
      <w:pPr>
        <w:spacing w:after="120" w:line="240" w:lineRule="auto"/>
        <w:ind w:firstLine="709"/>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t xml:space="preserve">Jednocześnie wnioskodawca oświadczył, że dla planowanego przedsięwzięcia nie wszczęto i nie zakończono żadnego z postępowań w sprawie decyzji, zgłoszeń lub uchwał, o których mowa w art. 71 ust. 1 oraz art. 72 ust. 1-1b u.o.o.ś. W związku z powyższym w niniejszej sprawie nie ma zastosowania przepis § 4 przywołanego rozporządzenia, zgodnie z którym do przedsięwzięć, w przypadku których przed dniem wejścia w życie rozporządzenia wszczęto i nie zakończono przynajmniej jednego z postępowań w sprawie decyzji, zgłoszeń lub uchwał, o których mowa w art. 71 ust. 1 oraz art. 72 ust. 1-1 b u.o.o.ś., stosuje się przepisy dotychczasowe. </w:t>
      </w:r>
    </w:p>
    <w:p w14:paraId="36B0CBDC" w14:textId="77777777" w:rsidR="00C26DEC" w:rsidRPr="00C26DEC" w:rsidRDefault="00C26DEC" w:rsidP="00C26DEC">
      <w:pPr>
        <w:spacing w:after="120" w:line="240" w:lineRule="auto"/>
        <w:ind w:firstLine="709"/>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t>Stosownie do art. 74 ust. 3a u.o.o.ś. Burmistrz Śremu ustalił krąg podmiotów, którym przysługuje przymiot strony. Przymiot strony postępowania otrzymali: wnioskodawca i właściciel terenu, na którym realizowane będzie przedsięwzięcie (działka o numerze ewidencyjnym 257, obręb Błociszewo) oraz podmioty, którym przysługuje prawo rzeczowe do nieruchomości znajdujących się w obszarze wyznaczonym w odległości 100 m od granic terenu przedsięwzięcia. Obszar ten objął więc działki o numerach ewidencyjnych: 241/2; 255; 350/6; 350/7; 260; 233; 370; 235; 256; 258; 350/4; 350/3; 350/5; 350/2; 234; 236; 228; 240; 259; 350/1, obręb Błociszewo.</w:t>
      </w:r>
    </w:p>
    <w:p w14:paraId="37899A0E" w14:textId="77777777" w:rsidR="00C26DEC" w:rsidRPr="00C26DEC" w:rsidRDefault="00C26DEC" w:rsidP="00C26DEC">
      <w:pPr>
        <w:spacing w:after="0" w:line="240" w:lineRule="auto"/>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br w:type="page"/>
      </w:r>
    </w:p>
    <w:p w14:paraId="34E7CA7A" w14:textId="77777777" w:rsidR="00C26DEC" w:rsidRPr="00C26DEC" w:rsidRDefault="00C26DEC" w:rsidP="00C26DEC">
      <w:pPr>
        <w:spacing w:after="120" w:line="240" w:lineRule="auto"/>
        <w:ind w:firstLine="709"/>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lastRenderedPageBreak/>
        <w:t>Zgodnie z art. 74 ust. 3 u.o.o.ś., strony postępowania zostały powiadomione o wszczęciu postępowania w formie obwieszczenia z 21.10.2024 r. Obwieszczenie zamieszczono w Biuletynie Informacji Publicznej Urzędu Miejskiego w Śremie (</w:t>
      </w:r>
      <w:hyperlink r:id="rId9" w:history="1">
        <w:r w:rsidRPr="00C26DEC">
          <w:rPr>
            <w:rFonts w:ascii="Calibri" w:eastAsia="Times New Roman" w:hAnsi="Calibri" w:cs="Times New Roman"/>
            <w:color w:val="0000FF"/>
            <w:sz w:val="28"/>
            <w:szCs w:val="24"/>
            <w:u w:val="single"/>
            <w:lang w:eastAsia="pl-PL"/>
          </w:rPr>
          <w:t>https://bip.srem.pl/public/?id=232106</w:t>
        </w:r>
      </w:hyperlink>
      <w:r w:rsidRPr="00C26DEC">
        <w:rPr>
          <w:rFonts w:ascii="Calibri" w:eastAsia="Times New Roman" w:hAnsi="Calibri" w:cs="Times New Roman"/>
          <w:sz w:val="28"/>
          <w:szCs w:val="24"/>
          <w:lang w:eastAsia="pl-PL"/>
        </w:rPr>
        <w:t>), w gablotach informacyjnych Urzędu oraz na tablicach ogłoszeniowych w Błociszewie.</w:t>
      </w:r>
    </w:p>
    <w:p w14:paraId="3B4F776C" w14:textId="77777777" w:rsidR="00C26DEC" w:rsidRPr="00C26DEC" w:rsidRDefault="00C26DEC" w:rsidP="00C26DEC">
      <w:pPr>
        <w:spacing w:after="120" w:line="240" w:lineRule="auto"/>
        <w:ind w:firstLine="709"/>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t xml:space="preserve">Zgodnie z art. 64 ust. 1 pkt 1, pkt 2 i pkt 4 u.o.o.ś. Burmistrz Śremu, pismem z 21.10.2024 r., wystąpił do Regionalnego Dyrektora Ochrony Środowiska w Poznaniu, Dyrektora Zarządu Zlewni Państwowego Gospodarstwa Wodnego Wody Polskie w Poznaniu, Wielkopolskiego Państwowego Wojewódzkiego Inspektora Sanitarnego oraz Państwowego Powiatowego Inspektora Sanitarnego w Śremie, o opinię w sprawie obowiązku przeprowadzenia oceny oddziaływania przedmiotowego przedsięwzięcia na środowisko i określenia zakresu ewentualnego raportu. </w:t>
      </w:r>
    </w:p>
    <w:p w14:paraId="72A5408D" w14:textId="77777777" w:rsidR="00C26DEC" w:rsidRPr="00C26DEC" w:rsidRDefault="00C26DEC" w:rsidP="00C26DEC">
      <w:pPr>
        <w:spacing w:after="120" w:line="240" w:lineRule="auto"/>
        <w:ind w:firstLine="708"/>
        <w:rPr>
          <w:rFonts w:ascii="Calibri" w:eastAsia="Times New Roman" w:hAnsi="Calibri" w:cs="Calibri"/>
          <w:sz w:val="28"/>
          <w:szCs w:val="28"/>
          <w:lang w:eastAsia="pl-PL"/>
        </w:rPr>
      </w:pPr>
      <w:r w:rsidRPr="00C26DEC">
        <w:rPr>
          <w:rFonts w:ascii="Calibri" w:eastAsia="Times New Roman" w:hAnsi="Calibri" w:cs="Calibri"/>
          <w:b/>
          <w:bCs/>
          <w:sz w:val="28"/>
          <w:szCs w:val="28"/>
          <w:lang w:eastAsia="pl-PL"/>
        </w:rPr>
        <w:t>Państwowy Powiatowy Inspektor Sanitarny w Śremie,</w:t>
      </w:r>
      <w:r w:rsidRPr="00C26DEC">
        <w:rPr>
          <w:rFonts w:ascii="Calibri" w:eastAsia="Times New Roman" w:hAnsi="Calibri" w:cs="Calibri"/>
          <w:sz w:val="28"/>
          <w:szCs w:val="28"/>
          <w:lang w:eastAsia="pl-PL"/>
        </w:rPr>
        <w:t xml:space="preserve"> w piśmie z 31.10.2024 r. znak ON-NS.9011.18.41.2024, </w:t>
      </w:r>
      <w:r w:rsidRPr="00C26DEC">
        <w:rPr>
          <w:rFonts w:ascii="Calibri" w:eastAsia="Times New Roman" w:hAnsi="Calibri" w:cs="Calibri"/>
          <w:b/>
          <w:bCs/>
          <w:sz w:val="28"/>
          <w:szCs w:val="28"/>
          <w:lang w:eastAsia="pl-PL"/>
        </w:rPr>
        <w:t>wyraził opinię, że przeprowadzenie oceny oddziaływania na środowisko nie jest wymagane</w:t>
      </w:r>
      <w:r w:rsidRPr="00C26DEC">
        <w:rPr>
          <w:rFonts w:ascii="Calibri" w:eastAsia="Times New Roman" w:hAnsi="Calibri" w:cs="Calibri"/>
          <w:sz w:val="28"/>
          <w:szCs w:val="28"/>
          <w:lang w:eastAsia="pl-PL"/>
        </w:rPr>
        <w:t>, oraz wskazał między innymi, co następuje: „W związku z planowanym przedsięwzięciem nieuniknione jest wystąpienie emisji gazów i pyłów do powietrza, która będzie miała charakter czasowy i lokalny, a związana będzie jedynie z prowadzeniem prac montażowych oraz eksploatacji maszyn budowlanych i środków transportu. Ponadto prace inwestycyjne w czasie budowy będą źródłem emisji hałasu. Mając na uwadze ograniczenia wszelkich prac wyłącznie do pory dziennej, przestrzeganiu reżimu techniczno-technologicznego, przestrzeganiu zasad bezpieczeństwa i higieny pracy oraz przeciwpożarowych, a także przy wykorzystaniu sprawnego sprzętu uznać należy, że niedogodności te będą miały charakter krótkotrwały i przejściowy.”.</w:t>
      </w:r>
    </w:p>
    <w:p w14:paraId="48AA44A7" w14:textId="77777777" w:rsidR="00C26DEC" w:rsidRPr="00C26DEC" w:rsidRDefault="00C26DEC" w:rsidP="00C26DEC">
      <w:pPr>
        <w:spacing w:after="0" w:line="240" w:lineRule="auto"/>
        <w:rPr>
          <w:rFonts w:ascii="Calibri" w:eastAsia="Times New Roman" w:hAnsi="Calibri" w:cs="Calibri"/>
          <w:b/>
          <w:bCs/>
          <w:sz w:val="28"/>
          <w:szCs w:val="28"/>
          <w:lang w:eastAsia="pl-PL"/>
        </w:rPr>
      </w:pPr>
      <w:r w:rsidRPr="00C26DEC">
        <w:rPr>
          <w:rFonts w:ascii="Calibri" w:eastAsia="Times New Roman" w:hAnsi="Calibri" w:cs="Calibri"/>
          <w:b/>
          <w:bCs/>
          <w:sz w:val="28"/>
          <w:szCs w:val="28"/>
          <w:lang w:eastAsia="pl-PL"/>
        </w:rPr>
        <w:br w:type="page"/>
      </w:r>
    </w:p>
    <w:p w14:paraId="47189601" w14:textId="77777777" w:rsidR="00C26DEC" w:rsidRPr="00C26DEC" w:rsidRDefault="00C26DEC" w:rsidP="00C26DEC">
      <w:pPr>
        <w:spacing w:after="120" w:line="240" w:lineRule="auto"/>
        <w:ind w:firstLine="708"/>
        <w:rPr>
          <w:rFonts w:ascii="Calibri" w:eastAsia="Times New Roman" w:hAnsi="Calibri" w:cs="Calibri"/>
          <w:bCs/>
          <w:sz w:val="28"/>
          <w:szCs w:val="28"/>
          <w:lang w:eastAsia="pl-PL"/>
        </w:rPr>
      </w:pPr>
      <w:r w:rsidRPr="00C26DEC">
        <w:rPr>
          <w:rFonts w:ascii="Calibri" w:eastAsia="Times New Roman" w:hAnsi="Calibri" w:cs="Calibri"/>
          <w:b/>
          <w:bCs/>
          <w:sz w:val="28"/>
          <w:szCs w:val="28"/>
          <w:lang w:eastAsia="pl-PL"/>
        </w:rPr>
        <w:lastRenderedPageBreak/>
        <w:t>Dyrektor Zarządu Zlewni Państwowego Gospodarstwa Wodnego Wody Polskie w Poznaniu,</w:t>
      </w:r>
      <w:r w:rsidRPr="00C26DEC">
        <w:rPr>
          <w:rFonts w:ascii="Calibri" w:eastAsia="Times New Roman" w:hAnsi="Calibri" w:cs="Calibri"/>
          <w:sz w:val="28"/>
          <w:szCs w:val="28"/>
          <w:lang w:eastAsia="pl-PL"/>
        </w:rPr>
        <w:t xml:space="preserve"> w piśmie z 04.11.2024 r. znak PO.ZZŚ.4901.454.2024.MS.1, </w:t>
      </w:r>
      <w:r w:rsidRPr="00C26DEC">
        <w:rPr>
          <w:rFonts w:ascii="Calibri" w:eastAsia="Times New Roman" w:hAnsi="Calibri" w:cs="Calibri"/>
          <w:b/>
          <w:bCs/>
          <w:sz w:val="28"/>
          <w:szCs w:val="28"/>
          <w:lang w:eastAsia="pl-PL"/>
        </w:rPr>
        <w:t xml:space="preserve">nie stwierdził potrzeby przeprowadzenia oceny oddziaływania planowanego przedsięwzięcia na środowisko. </w:t>
      </w:r>
      <w:r w:rsidRPr="00C26DEC">
        <w:rPr>
          <w:rFonts w:ascii="Calibri" w:eastAsia="Times New Roman" w:hAnsi="Calibri" w:cs="Calibri"/>
          <w:bCs/>
          <w:sz w:val="28"/>
          <w:szCs w:val="28"/>
          <w:lang w:eastAsia="pl-PL"/>
        </w:rPr>
        <w:t>W uzasadnieniu Organ opiniujący wskazał między innymi, co następuje: „Mając na względzie charakter i skalę oddziaływania, proponowane do zastosowania rozwiązania i technologie podczas realizacji przedmiotowego przedsięwzięcia, nie przewiduje się jego negatywnego oddziaływania na stan jednolitych części wód oraz na realizację celów środowiskowych, o których mowa w art. 56, art. 57, art. 59 i art. 61 ustawy Prawo wodne, a określonych dla tych części wód w „Planie gospodarowania wodami na obszarze dorzecza Odry”, przyjętym rozporządzeniem Ministra Infrastruktury z dnia 16 listopada 2022 r. (Dz.U. z 2023 r. poz. 335).”.</w:t>
      </w:r>
    </w:p>
    <w:p w14:paraId="153F8E51" w14:textId="77777777" w:rsidR="00C26DEC" w:rsidRPr="00C26DEC" w:rsidRDefault="00C26DEC" w:rsidP="00C26DEC">
      <w:pPr>
        <w:spacing w:after="120" w:line="240" w:lineRule="auto"/>
        <w:ind w:firstLine="708"/>
        <w:rPr>
          <w:rFonts w:ascii="Calibri" w:eastAsia="Times New Roman" w:hAnsi="Calibri" w:cs="Calibri"/>
          <w:sz w:val="28"/>
          <w:szCs w:val="28"/>
          <w:lang w:eastAsia="pl-PL"/>
        </w:rPr>
      </w:pPr>
      <w:r w:rsidRPr="00C26DEC">
        <w:rPr>
          <w:rFonts w:ascii="Calibri" w:eastAsia="Times New Roman" w:hAnsi="Calibri" w:cs="Calibri"/>
          <w:b/>
          <w:bCs/>
          <w:sz w:val="28"/>
          <w:szCs w:val="28"/>
          <w:lang w:eastAsia="pl-PL"/>
        </w:rPr>
        <w:t xml:space="preserve">Regionalny Dyrektor Ochrony Środowiska w Poznaniu </w:t>
      </w:r>
      <w:r w:rsidRPr="00C26DEC">
        <w:rPr>
          <w:rFonts w:ascii="Calibri" w:eastAsia="Times New Roman" w:hAnsi="Calibri" w:cs="Calibri"/>
          <w:sz w:val="28"/>
          <w:szCs w:val="28"/>
          <w:lang w:eastAsia="pl-PL"/>
        </w:rPr>
        <w:t xml:space="preserve">w postanowieniu z 04.11.2024 r. znak WOO-IV.4220.1324.2024.KL.1, </w:t>
      </w:r>
      <w:r w:rsidRPr="00C26DEC">
        <w:rPr>
          <w:rFonts w:ascii="Calibri" w:eastAsia="Times New Roman" w:hAnsi="Calibri" w:cs="Calibri"/>
          <w:b/>
          <w:bCs/>
          <w:sz w:val="28"/>
          <w:szCs w:val="28"/>
          <w:lang w:eastAsia="pl-PL"/>
        </w:rPr>
        <w:t>wyraził opinię, że dla planowanego przedsięwzięcia nie ma potrzeby przeprowadzenia oceny oddziaływania na środowisko</w:t>
      </w:r>
      <w:r w:rsidRPr="00C26DEC">
        <w:rPr>
          <w:rFonts w:ascii="Calibri" w:eastAsia="Times New Roman" w:hAnsi="Calibri" w:cs="Calibri"/>
          <w:sz w:val="28"/>
          <w:szCs w:val="28"/>
          <w:lang w:eastAsia="pl-PL"/>
        </w:rPr>
        <w:t xml:space="preserve">, wskazując co następuje: „Dla przedmiotowego przedsięwzięcia została przeprowadzona ocena oddziaływania na środowisko w toku postępowania w sprawie wydania decyzji o środowiskowych uwarunkowaniach podlegającej zmianie. Regionalny Dyrektor Ochrony Środowiska postanowieniem z dnia 21.07.2021 r., znak: WOO-I.4221.88.2020.KB uzgodnił warunki realizacji przedsięwzięcia. Analiza przedłożonych dokumentów w tym postępowaniu nie wykazała negatywnego oddziaływania na przyrodę i krajobraz Parku Krajobrazowego im. gen. Dezyderego Chłapowskiego. W związku z tym, że przedmiotowa zmiana planowanej elektrowni w stosunku do ocenionego przez tutejszy organ przedsięwzięcia nie będzie się wiązać z dodatkową ingerencją w środowisko przyrodnicze, w opinii Regionalnego Dyrektora nie zachodzi konieczność ponownej oceny na środowisko niniejszego przedsięwzięcia.”. </w:t>
      </w:r>
    </w:p>
    <w:p w14:paraId="424366C2" w14:textId="77777777" w:rsidR="00C26DEC" w:rsidRPr="00C26DEC" w:rsidRDefault="00C26DEC" w:rsidP="00C26DEC">
      <w:pPr>
        <w:spacing w:after="120" w:line="240" w:lineRule="auto"/>
        <w:ind w:firstLine="709"/>
        <w:rPr>
          <w:rFonts w:ascii="Calibri" w:eastAsia="Times New Roman" w:hAnsi="Calibri" w:cs="Times New Roman"/>
          <w:sz w:val="28"/>
          <w:szCs w:val="24"/>
          <w:lang w:eastAsia="pl-PL"/>
        </w:rPr>
      </w:pPr>
      <w:r w:rsidRPr="00C26DEC">
        <w:rPr>
          <w:rFonts w:ascii="Calibri" w:eastAsia="Times New Roman" w:hAnsi="Calibri" w:cs="Times New Roman"/>
          <w:b/>
          <w:bCs/>
          <w:sz w:val="28"/>
          <w:szCs w:val="24"/>
          <w:lang w:eastAsia="pl-PL"/>
        </w:rPr>
        <w:t>Wielkopolski Państwowy Wojewódzki Inspektor Sanitarny</w:t>
      </w:r>
      <w:r w:rsidRPr="00C26DEC">
        <w:rPr>
          <w:rFonts w:ascii="Calibri" w:eastAsia="Times New Roman" w:hAnsi="Calibri" w:cs="Times New Roman"/>
          <w:sz w:val="28"/>
          <w:szCs w:val="24"/>
          <w:lang w:eastAsia="pl-PL"/>
        </w:rPr>
        <w:t xml:space="preserve">, w piśmie z 06.11.2024 r. znak DN-NS.9011.1766.2024, poinformował, że podtrzymuje swoje stanowisko zawarte w piśmie z 05.11.2021 r. znak DN-NS.9011.1461.2021, w którym </w:t>
      </w:r>
      <w:r w:rsidRPr="00C26DEC">
        <w:rPr>
          <w:rFonts w:ascii="Calibri" w:eastAsia="Times New Roman" w:hAnsi="Calibri" w:cs="Times New Roman"/>
          <w:b/>
          <w:bCs/>
          <w:sz w:val="28"/>
          <w:szCs w:val="24"/>
          <w:lang w:eastAsia="pl-PL"/>
        </w:rPr>
        <w:t xml:space="preserve">wyraził opinię </w:t>
      </w:r>
      <w:r w:rsidRPr="00C26DEC">
        <w:rPr>
          <w:rFonts w:ascii="Calibri" w:eastAsia="Times New Roman" w:hAnsi="Calibri" w:cs="Times New Roman"/>
          <w:b/>
          <w:bCs/>
          <w:kern w:val="2"/>
          <w:sz w:val="28"/>
          <w:szCs w:val="28"/>
          <w:lang w:eastAsia="pl-PL"/>
          <w14:ligatures w14:val="standardContextual"/>
        </w:rPr>
        <w:t>o braku konieczności przeprowadzenia oceny oddziaływania</w:t>
      </w:r>
      <w:r w:rsidRPr="00C26DEC">
        <w:rPr>
          <w:rFonts w:ascii="Calibri" w:eastAsia="Times New Roman" w:hAnsi="Calibri" w:cs="Times New Roman"/>
          <w:kern w:val="2"/>
          <w:sz w:val="28"/>
          <w:szCs w:val="28"/>
          <w:lang w:eastAsia="pl-PL"/>
          <w14:ligatures w14:val="standardContextual"/>
        </w:rPr>
        <w:t xml:space="preserve"> </w:t>
      </w:r>
      <w:r w:rsidRPr="00C26DEC">
        <w:rPr>
          <w:rFonts w:ascii="Calibri" w:eastAsia="Times New Roman" w:hAnsi="Calibri" w:cs="Times New Roman"/>
          <w:b/>
          <w:bCs/>
          <w:kern w:val="2"/>
          <w:sz w:val="28"/>
          <w:szCs w:val="28"/>
          <w:lang w:eastAsia="pl-PL"/>
          <w14:ligatures w14:val="standardContextual"/>
        </w:rPr>
        <w:t>przedsięwzięcia na środowisko</w:t>
      </w:r>
      <w:r w:rsidRPr="00C26DEC">
        <w:rPr>
          <w:rFonts w:ascii="Calibri" w:eastAsia="Times New Roman" w:hAnsi="Calibri" w:cs="Times New Roman"/>
          <w:kern w:val="2"/>
          <w:sz w:val="28"/>
          <w:szCs w:val="28"/>
          <w:lang w:eastAsia="pl-PL"/>
          <w14:ligatures w14:val="standardContextual"/>
        </w:rPr>
        <w:t>.</w:t>
      </w:r>
    </w:p>
    <w:p w14:paraId="2EC9F632" w14:textId="77777777" w:rsidR="00C26DEC" w:rsidRPr="00C26DEC" w:rsidRDefault="00C26DEC" w:rsidP="00C26DEC">
      <w:pPr>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br w:type="page"/>
      </w:r>
    </w:p>
    <w:p w14:paraId="14F6AE37" w14:textId="77777777" w:rsidR="00C26DEC" w:rsidRPr="00C26DEC" w:rsidRDefault="00C26DEC" w:rsidP="00C26DEC">
      <w:pPr>
        <w:spacing w:after="120" w:line="240" w:lineRule="auto"/>
        <w:ind w:firstLine="708"/>
        <w:rPr>
          <w:rFonts w:ascii="Calibri" w:eastAsia="Times New Roman" w:hAnsi="Calibri" w:cs="Calibri"/>
          <w:sz w:val="28"/>
          <w:szCs w:val="28"/>
          <w:lang w:eastAsia="pl-PL"/>
        </w:rPr>
      </w:pPr>
      <w:r w:rsidRPr="00C26DEC">
        <w:rPr>
          <w:rFonts w:ascii="Calibri" w:eastAsia="Times New Roman" w:hAnsi="Calibri" w:cs="Calibri"/>
          <w:sz w:val="28"/>
          <w:szCs w:val="28"/>
          <w:lang w:eastAsia="pl-PL"/>
        </w:rPr>
        <w:lastRenderedPageBreak/>
        <w:t>Zgodnie z art. 74 ust. 3 u.o.o.ś. strony postępowania zostały powiadomione, w formie obwieszczenia z 12.11.2024 r., o możliwości zapoznania się i wypowiedzenia co do zebranych dowodów i materiałów oraz zgłoszonych żądań w sprawie, w terminie pięciu dni od dnia dokonania zawiadomienia. Obwieszczenie zamieszczono w Biuletynie Informacji Publicznej Urzędu Miejskiego w Śremie (</w:t>
      </w:r>
      <w:hyperlink r:id="rId10" w:history="1">
        <w:r w:rsidRPr="00C26DEC">
          <w:rPr>
            <w:rFonts w:ascii="Calibri" w:eastAsia="Times New Roman" w:hAnsi="Calibri" w:cs="Calibri"/>
            <w:color w:val="467886"/>
            <w:sz w:val="28"/>
            <w:szCs w:val="28"/>
            <w:u w:val="single"/>
            <w:lang w:eastAsia="pl-PL"/>
          </w:rPr>
          <w:t>https://bip.srem.pl/public/?id=232106</w:t>
        </w:r>
      </w:hyperlink>
      <w:r w:rsidRPr="00C26DEC">
        <w:rPr>
          <w:rFonts w:ascii="Calibri" w:eastAsia="Times New Roman" w:hAnsi="Calibri" w:cs="Calibri"/>
          <w:sz w:val="28"/>
          <w:szCs w:val="28"/>
          <w:lang w:eastAsia="pl-PL"/>
        </w:rPr>
        <w:t xml:space="preserve">) w gablotach informacyjnych Urzędu oraz na tablicy ogłoszeniowej w Błociszewie. Żadna ze stron postępowania nie skorzystała z możliwości zapoznania się i wypowiedzenia co do materiałów zgromadzonych w sprawie. </w:t>
      </w:r>
    </w:p>
    <w:p w14:paraId="5686237C" w14:textId="77777777" w:rsidR="00C26DEC" w:rsidRPr="00C26DEC" w:rsidRDefault="00C26DEC" w:rsidP="00C26DEC">
      <w:pPr>
        <w:spacing w:after="120" w:line="240" w:lineRule="auto"/>
        <w:ind w:firstLine="708"/>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Stosownie do art. 63 ust. 1 i art. 65 u.o.o.ś. właściwy organ do wydania decyzji o środowiskowych uwarunkowaniach, po zasięgnięciu opinii organów współdziałających wymienionych w art. 64 ust. 1 u.o.o.ś., wydaje postanowienie o obowiązku przeprowadzenia oceny oddziaływania przedsięwzięcia na środowisko dla planowanego przedsięwzięcia mogącego potencjalnie znacząco oddziaływać na środowisko i określa jednocześnie zakres raportu o oddziaływaniu przedsięwzięcia na środowisko, zgodnie z art. 63 ust. 4 u.o.o.ś. Natomiast zgodnie z art. 84 ust. 1 u.o.o.ś., w przypadku gdy nie została przeprowadzona ocena oddziaływania przedsięwzięcia na środowisko, w decyzji o środowiskowych uwarunkowaniach właściwy organ stwierdza brak potrzeby przeprowadzenia oceny oddziaływania przedsięwzięcia na środowisko. </w:t>
      </w:r>
    </w:p>
    <w:p w14:paraId="730C2C07" w14:textId="77777777" w:rsidR="00C26DEC" w:rsidRPr="00C26DEC" w:rsidRDefault="00C26DEC" w:rsidP="00C26DEC">
      <w:pPr>
        <w:spacing w:after="120" w:line="240" w:lineRule="auto"/>
        <w:ind w:firstLine="708"/>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Po przeanalizowaniu stanowisk Organów opiniujących, informacji zawartych w karcie informacyjnej przedsięwzięcia oraz uwzględniając łącznie kryteria wskazane w art. 63 ust. 1 u.o.o.ś., zgodnie z art. 84 ust. 1 u.o.o.ś., w decyzji Burmistrz Śremu stwierdził brak potrzeby przeprowadzenia oceny oddziaływania przedsięwzięcia na środowisko. </w:t>
      </w:r>
    </w:p>
    <w:p w14:paraId="3501FC88" w14:textId="77777777" w:rsidR="00C26DEC" w:rsidRPr="00C26DEC" w:rsidRDefault="00C26DEC" w:rsidP="00C26DEC">
      <w:pPr>
        <w:spacing w:after="120" w:line="240" w:lineRule="auto"/>
        <w:ind w:firstLine="708"/>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Zgodnie z art. 84 ust. 2 u.o.o.ś., charakterystyka przedsięwzięcia stanowi załącznik do decyzji o środowiskowych uwarunkowaniach. </w:t>
      </w:r>
    </w:p>
    <w:p w14:paraId="2841CE24" w14:textId="77777777" w:rsidR="00C26DEC" w:rsidRPr="00C26DEC" w:rsidRDefault="00C26DEC" w:rsidP="00C26DEC">
      <w:pPr>
        <w:spacing w:after="120" w:line="240" w:lineRule="auto"/>
        <w:ind w:firstLine="708"/>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Biorąc pod uwagę informacje przedstawione w karcie informacyjnej przedsięwzięcia, w niniejszej sprawie nie zachodzi konieczność nałożenia obowiązku przeprowadzenia oceny oddziaływania na środowisko, na mocy art. 63 ust. 3 pkt 1 i 2 u.o.o.ś.</w:t>
      </w:r>
    </w:p>
    <w:p w14:paraId="7F8E01A8" w14:textId="77777777" w:rsidR="00C26DEC" w:rsidRPr="00C26DEC" w:rsidRDefault="00C26DEC" w:rsidP="00C26DEC">
      <w:pPr>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br w:type="page"/>
      </w:r>
    </w:p>
    <w:p w14:paraId="05E28E49" w14:textId="77777777" w:rsidR="00C26DEC" w:rsidRPr="00C26DEC" w:rsidRDefault="00C26DEC" w:rsidP="00C26DEC">
      <w:pPr>
        <w:spacing w:after="120" w:line="240" w:lineRule="auto"/>
        <w:ind w:firstLine="708"/>
        <w:rPr>
          <w:rFonts w:ascii="Calibri" w:eastAsia="Times New Roman" w:hAnsi="Calibri" w:cs="Calibri"/>
          <w:sz w:val="28"/>
          <w:szCs w:val="28"/>
          <w:lang w:eastAsia="pl-PL"/>
        </w:rPr>
      </w:pPr>
      <w:r w:rsidRPr="00C26DEC">
        <w:rPr>
          <w:rFonts w:ascii="Calibri" w:eastAsia="Times New Roman" w:hAnsi="Calibri" w:cs="Calibri"/>
          <w:sz w:val="28"/>
          <w:szCs w:val="28"/>
          <w:lang w:eastAsia="pl-PL"/>
        </w:rPr>
        <w:lastRenderedPageBreak/>
        <w:t>Zgodnie z art. 85 ust. 2 pkt 2 u.o.o.ś. w przypadku, gdy nie została przeprowadzona ocena oddziaływania przedsięwzięcia na środowisko, uzasadnienie decyzji o środowiskowych uwarunkowaniach powinno zawierać informacje o uwarunkowaniach, o których mowa w art. 63 ust. 1, uwzględnionych przy stwierdzaniu braku potrzeby przeprowadzenia oceny oddziaływania przedsięwzięcia na środowisko.</w:t>
      </w:r>
    </w:p>
    <w:p w14:paraId="5F792A8F" w14:textId="77777777" w:rsidR="00C26DEC" w:rsidRPr="00C26DEC" w:rsidRDefault="00C26DEC" w:rsidP="00C26DEC">
      <w:pPr>
        <w:spacing w:after="120" w:line="240" w:lineRule="auto"/>
        <w:ind w:firstLine="708"/>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Wobec powyższego na podstawie karty informacyjnej przedsięwzięcia oraz posiadanych przez Urząd materiałów kartograficznych, w związku z art. 63 ust. 1 u.o.o.ś., przedstawia się co następuje:</w:t>
      </w:r>
    </w:p>
    <w:p w14:paraId="466297F3" w14:textId="77777777" w:rsidR="00C26DEC" w:rsidRPr="00C26DEC" w:rsidRDefault="00C26DEC" w:rsidP="00D10EFD">
      <w:pPr>
        <w:numPr>
          <w:ilvl w:val="0"/>
          <w:numId w:val="17"/>
        </w:numPr>
        <w:spacing w:after="120" w:line="240" w:lineRule="auto"/>
        <w:ind w:left="284" w:hanging="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rodzaj i charakterystyka przedsięwzięcia, z uwzględnieniem skali przedsięwzięcia i wielkości zajmowanego terenu oraz ich wzajemnych proporcji, a także istotnych rozwiązań charakteryzujących przedsięwzięcie: </w:t>
      </w:r>
    </w:p>
    <w:p w14:paraId="4F6C239D" w14:textId="77777777" w:rsidR="00C26DEC" w:rsidRPr="00C26DEC" w:rsidRDefault="00C26DEC" w:rsidP="00C26DEC">
      <w:pPr>
        <w:spacing w:after="120" w:line="240" w:lineRule="auto"/>
        <w:ind w:left="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planowane przedsięwzięcie dotyczy budowy farmy fotowoltaicznej o mocy nie większej niż 1 MW, na działce o numerze ewidencyjnym 257, obręb Błociszewo. </w:t>
      </w:r>
      <w:bookmarkStart w:id="8" w:name="_Hlk184709540"/>
      <w:r w:rsidRPr="00C26DEC">
        <w:rPr>
          <w:rFonts w:ascii="Calibri" w:eastAsia="Times New Roman" w:hAnsi="Calibri" w:cs="Calibri"/>
          <w:sz w:val="28"/>
          <w:szCs w:val="28"/>
          <w:lang w:eastAsia="pl-PL"/>
        </w:rPr>
        <w:t xml:space="preserve">Przedmiotowa działka ma powierzchnię 2,41 ha. Farma fotowoltaiczna wraz z towarzyszącą infrastrukturą zajmować będzie łączną powierzchnię ca 2,06 ha. Zabudowa systemami fotowoltaicznymi zajmować będzie powierzchnię nie większą niż 1,7 ha. </w:t>
      </w:r>
      <w:bookmarkEnd w:id="8"/>
      <w:r w:rsidRPr="00C26DEC">
        <w:rPr>
          <w:rFonts w:ascii="Calibri" w:eastAsia="Times New Roman" w:hAnsi="Calibri" w:cs="Calibri"/>
          <w:sz w:val="28"/>
          <w:szCs w:val="28"/>
          <w:lang w:eastAsia="pl-PL"/>
        </w:rPr>
        <w:t xml:space="preserve">Teren przedsięwzięcia znajduje się w granicy Parku Krajobrazowego im. gen. Dezyderego Chłapowskiego. W ramach realizacji przedsięwzięcia planowany jest montaż nie więcej niż 4 000 sztuk paneli fotowoltaicznych o mocy pojedynczego modułu nie mniejszej niż 350 Wp i nie większej niż 700 Wp. Panele fotowoltaiczne zostaną zamontowane w kierunku południowym na konstrukcji wsporczej. Przewiduje się zastosowanie stalowej, ocynkowanej wolnostojącej konstrukcji montażowej, składającej się z ramy, pionowych i poziomych profili nośnych oraz elementów mocujących. Wszystkie elementy zostaną przytwierdzone do podłoża za pomocą pionowych pali. Panele fotowoltaiczne zostaną podłączone do oddzielnych przetwornic prądowych tak zwanych inwerterów o łącznej mocy nie większej niż 1,0 MWp, zamieniających prąd stały na przemienny. Przewiduje się zamontowanie nie więcej niż 50 sztuk inwerterów, które będą umieszczone w stacji kontenerowej, bądź bezpośrednio pod panelami oraz jednej stacji transformatorowej wyposażonej w transformator. Farma fotowoltaiczna będzie pracowała bez użycia systemu magazynowania energii elektrycznej oraz modułu automatycznego naprowadzania paneli fotowoltaicznych. Panele fotowoltaiczne będą pokryte powłoką antyrefleksyjną; </w:t>
      </w:r>
    </w:p>
    <w:p w14:paraId="029F0BD1" w14:textId="68E40983" w:rsidR="00C26DEC" w:rsidRPr="00C26DEC" w:rsidRDefault="00C26DEC" w:rsidP="00D10EFD">
      <w:pPr>
        <w:numPr>
          <w:ilvl w:val="0"/>
          <w:numId w:val="17"/>
        </w:numPr>
        <w:spacing w:after="120" w:line="240" w:lineRule="auto"/>
        <w:ind w:left="284" w:hanging="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lastRenderedPageBreak/>
        <w:t>rodzaj i charakterystyka przedsięwzięcia oraz rodzaj, cechy i skala możliwego oddziaływania rozważanego w odniesieniu do kryteriów wymienionych w art. 63 ust. 1 pkt 1 i 2 oraz w art. 62 ust. 1 pkt 1, z uwzględnieniem oraz wynikające z powiązań z innymi przedsięwzięciami, w szczególności kumulowania się oddziaływań przedsięwzięć realizowanych i zrealizowanych, dla których została wydana decyzja o środowiskowych uwarunkowaniach, znajdujących się na terenie, na którym planuje się realizację przedsięwzięcia, oraz w obszarze oddziaływania przedsięwzięcia lub których oddziaływania mieszczą się w</w:t>
      </w:r>
      <w:r w:rsidR="00D10EFD">
        <w:rPr>
          <w:rFonts w:ascii="Calibri" w:eastAsia="Times New Roman" w:hAnsi="Calibri" w:cs="Calibri"/>
          <w:sz w:val="28"/>
          <w:szCs w:val="28"/>
          <w:lang w:eastAsia="pl-PL"/>
        </w:rPr>
        <w:t> </w:t>
      </w:r>
      <w:r w:rsidRPr="00C26DEC">
        <w:rPr>
          <w:rFonts w:ascii="Calibri" w:eastAsia="Times New Roman" w:hAnsi="Calibri" w:cs="Calibri"/>
          <w:sz w:val="28"/>
          <w:szCs w:val="28"/>
          <w:lang w:eastAsia="pl-PL"/>
        </w:rPr>
        <w:t>obszarze oddziaływania planowanego przedsięwzięcia w zakresie, w</w:t>
      </w:r>
      <w:r w:rsidR="00D10EFD">
        <w:rPr>
          <w:rFonts w:ascii="Calibri" w:eastAsia="Times New Roman" w:hAnsi="Calibri" w:cs="Calibri"/>
          <w:sz w:val="28"/>
          <w:szCs w:val="28"/>
          <w:lang w:eastAsia="pl-PL"/>
        </w:rPr>
        <w:t> </w:t>
      </w:r>
      <w:r w:rsidRPr="00C26DEC">
        <w:rPr>
          <w:rFonts w:ascii="Calibri" w:eastAsia="Times New Roman" w:hAnsi="Calibri" w:cs="Calibri"/>
          <w:sz w:val="28"/>
          <w:szCs w:val="28"/>
          <w:lang w:eastAsia="pl-PL"/>
        </w:rPr>
        <w:t xml:space="preserve">jakim ich oddziaływania mogą prowadzić do skumulowania oddziaływań z planowanym przedsięwzięciem: </w:t>
      </w:r>
    </w:p>
    <w:p w14:paraId="2A94F2DF" w14:textId="77777777" w:rsidR="00C26DEC" w:rsidRPr="00C26DEC" w:rsidRDefault="00C26DEC" w:rsidP="00C26DEC">
      <w:pPr>
        <w:spacing w:after="120" w:line="240" w:lineRule="auto"/>
        <w:ind w:left="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w sąsiedztwie terenu przeznaczonego pod planowane przedsięwzięcie nie znajdują się inne farmy fotowoltaiczne, dla których Burmistrz Śremu wydał decyzję o środowiskowych uwarunkowaniach. Burmistrz Śremu ustalił, że najbliższa farma fotowoltaiczna, dla której została wydana decyzja o środowiskowych uwarunkowaniach, znajduje się w odległości około 1 500 m w kierunku północno-wschodnim (działka o numerze ewidencyjnym 166, obręb Krzyżanowo) od planowanego przedsięwzięcia. Biorąc pod uwagę planowane zmiany w zakresie przedsięwzięcia, nie przewiduje się wystąpienia znaczących powiązań ani ponadnormatywnego kumulowania oddziaływań planowanego przedsięwzięcia z innymi przedsięwzięciami;</w:t>
      </w:r>
    </w:p>
    <w:p w14:paraId="2F36135B" w14:textId="77777777" w:rsidR="00C26DEC" w:rsidRPr="00C26DEC" w:rsidRDefault="00C26DEC" w:rsidP="00D10EFD">
      <w:pPr>
        <w:numPr>
          <w:ilvl w:val="0"/>
          <w:numId w:val="17"/>
        </w:numPr>
        <w:spacing w:after="120" w:line="240" w:lineRule="auto"/>
        <w:ind w:left="284" w:hanging="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rodzaj i charakterystyka przedsięwzięcia z uwzględnieniem różnorodności biologicznej, wykorzystywania zasobów naturalnych, w tym gleby, wody i powierzchni ziemi: </w:t>
      </w:r>
    </w:p>
    <w:p w14:paraId="48915955" w14:textId="77777777" w:rsidR="00C26DEC" w:rsidRPr="00C26DEC" w:rsidRDefault="00C26DEC" w:rsidP="00C26DEC">
      <w:pPr>
        <w:spacing w:after="120" w:line="240" w:lineRule="auto"/>
        <w:ind w:left="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obecnie wnioskowany teren wykorzystywany jest rolniczo. W wyniku realizacji przedsięwzięcia nie będą usuwane żadne drzewa i krzewy. Pomiędzy rzędami paneli fotowoltaicznych, jak również pod nimi, znajdować się będzie powierzchnia biologicznie czynna. Eksploatacja przedsięwzięcia z uwzględnieniem planowanych zmian nie będzie wiązała się z nadmiernym wykorzystaniem zasobów naturalnych oraz znaczącym negatywnym wpływem na bioróżnorodność. Planowane zmiany nie wpłyną również na zmiany klimatu;</w:t>
      </w:r>
    </w:p>
    <w:p w14:paraId="0B1CF277" w14:textId="77777777" w:rsidR="00C26DEC" w:rsidRPr="00C26DEC" w:rsidRDefault="00C26DEC" w:rsidP="00C26DEC">
      <w:pPr>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br w:type="page"/>
      </w:r>
    </w:p>
    <w:p w14:paraId="708E77E0" w14:textId="354C2897" w:rsidR="00C26DEC" w:rsidRPr="00C26DEC" w:rsidRDefault="00C26DEC" w:rsidP="00D10EFD">
      <w:pPr>
        <w:numPr>
          <w:ilvl w:val="0"/>
          <w:numId w:val="17"/>
        </w:numPr>
        <w:spacing w:after="120" w:line="240" w:lineRule="auto"/>
        <w:ind w:left="284" w:hanging="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lastRenderedPageBreak/>
        <w:t>rodzaj i charakterystyka przedsięwzięcia z uwzględnieniem: emisji i występowania innych uciążliwości; zagrożenia dla zdrowia ludzi, w tym wynikającego z emisji oraz rodzaj, cechy i skala możliwego oddziaływania rozważanego w odniesieniu do kryteriów wymienionych w art. 63 ust. 1 pkt 1 i 2 oraz w art. 62 ust. 1 pkt 1, wynikające z: zasięgu oddziaływania - obszaru geograficznego i liczby ludności, na którą przedsięwzięcie może oddziaływać; charakteru, wielkości, intensywności i złożoności oddziaływania, z uwzględnieniem obciążenia istniejącej infrastruktury technicznej oraz przewidywanego momentu rozpoczęcia oddziaływania; prawdopodobieństwa oddziaływania; czasu trwania, częstotliwości i</w:t>
      </w:r>
      <w:r w:rsidR="00D10EFD">
        <w:rPr>
          <w:rFonts w:ascii="Calibri" w:eastAsia="Times New Roman" w:hAnsi="Calibri" w:cs="Calibri"/>
          <w:sz w:val="28"/>
          <w:szCs w:val="28"/>
          <w:lang w:eastAsia="pl-PL"/>
        </w:rPr>
        <w:t> </w:t>
      </w:r>
      <w:r w:rsidRPr="00C26DEC">
        <w:rPr>
          <w:rFonts w:ascii="Calibri" w:eastAsia="Times New Roman" w:hAnsi="Calibri" w:cs="Calibri"/>
          <w:sz w:val="28"/>
          <w:szCs w:val="28"/>
          <w:lang w:eastAsia="pl-PL"/>
        </w:rPr>
        <w:t xml:space="preserve">odwracalności oddziaływania; możliwości ograniczenia oddziaływania: </w:t>
      </w:r>
    </w:p>
    <w:p w14:paraId="2499B281" w14:textId="77777777" w:rsidR="00C26DEC" w:rsidRPr="00C26DEC" w:rsidRDefault="00C26DEC" w:rsidP="00C26DEC">
      <w:pPr>
        <w:spacing w:after="120" w:line="240" w:lineRule="auto"/>
        <w:ind w:left="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źródłem emisji hałasu do środowiska na etapie eksploatacji farmy fotowoltaicznej będą inwertery oraz transformator.</w:t>
      </w:r>
      <w:r w:rsidRPr="00C26DEC">
        <w:rPr>
          <w:rFonts w:ascii="Calibri" w:eastAsia="Times New Roman" w:hAnsi="Calibri" w:cs="Calibri"/>
          <w:iCs/>
          <w:sz w:val="28"/>
          <w:szCs w:val="28"/>
          <w:lang w:eastAsia="pl-PL"/>
        </w:rPr>
        <w:t xml:space="preserve"> Najbliższe tereny chronione akustycznie znajdują się w odległości około 75 m od terenu przedsięwzięcia i stanowią tereny zabudowy mieszkaniowej jednorodzinnej.</w:t>
      </w:r>
      <w:r w:rsidRPr="00C26DEC">
        <w:rPr>
          <w:rFonts w:ascii="Calibri" w:eastAsia="Times New Roman" w:hAnsi="Calibri" w:cs="Calibri"/>
          <w:sz w:val="28"/>
          <w:szCs w:val="28"/>
          <w:lang w:eastAsia="pl-PL"/>
        </w:rPr>
        <w:t xml:space="preserve"> </w:t>
      </w:r>
      <w:r w:rsidRPr="00C26DEC">
        <w:rPr>
          <w:rFonts w:ascii="Calibri" w:eastAsia="Times New Roman" w:hAnsi="Calibri" w:cs="Calibri"/>
          <w:iCs/>
          <w:sz w:val="28"/>
          <w:szCs w:val="28"/>
          <w:lang w:eastAsia="pl-PL"/>
        </w:rPr>
        <w:t>Planowane zmiany przedsięwzięcia nie spowodują zmiany oddziaływania przedsięwzięcia na klimat akustyczny. Planowane zmiany przedsięwzięcia nie są związane ze zwiększeniem liczby stacji transformatorowych, systemów wentylacji mechanicznej lub montażem systemów nadążnych.</w:t>
      </w:r>
      <w:r w:rsidRPr="00C26DEC">
        <w:rPr>
          <w:rFonts w:ascii="Calibri" w:eastAsia="Times New Roman" w:hAnsi="Calibri" w:cs="Calibri"/>
          <w:sz w:val="28"/>
          <w:szCs w:val="28"/>
          <w:lang w:eastAsia="pl-PL"/>
        </w:rPr>
        <w:t xml:space="preserve"> Na etapie eksploatacji przedsięwzięcia nie będzie powstawać emisja zanieczyszczeń do powietrza. Jedynie na etapie realizacji i likwidacji przedsięwzięcia będą powstawały uciążliwości związane z pracą i ruchem pojazdów oraz maszyn budowlanych. Biorąc pod uwagę przyjęte rozwiązania techniczne, w tym napięcia infrastruktury energetycznej charakterystyczne dla tego typu przedsięwzięcia, nie przewiduje się, aby eksploatacja przedsięwzięcia, w związku z planowanymi zmianami przedsięwzięcia, mogła powodować przekroczenie dopuszczalnych poziomów pól elektromagnetycznych w środowisku określonych w rozporządzeniu Ministra Zdrowia z dnia 17 grudnia 2019 r. w sprawie dopuszczalnych poziomów pól elektromagnetycznych w środowisku (Dz. U. poz. 2448). Nie przewiduje się znaczących zmian w zakresie emisji substancji i energii do środowiska w związku z projektowanymi zmianami w trakcie realizacji i eksploatacji planowanego przedsięwzięcia. Czyszczenie paneli fotowoltaicznych będzie odbywało się wodą bez użycia detergentów. Stacje transformatorowe wyposażone zostaną w misy olejowe, celem zapobieżenia zanieczyszczenia gruntu olejem. Zmiana decyzji o środowiskowych uwarunkowaniach nie będzie wiązać się ze zmianami przyjętych rozwiązań w zakresie gospodarki wodno-ściekowej; </w:t>
      </w:r>
    </w:p>
    <w:p w14:paraId="3761C885" w14:textId="77777777" w:rsidR="00C26DEC" w:rsidRPr="00C26DEC" w:rsidRDefault="00C26DEC" w:rsidP="00D10EFD">
      <w:pPr>
        <w:numPr>
          <w:ilvl w:val="0"/>
          <w:numId w:val="17"/>
        </w:numPr>
        <w:spacing w:after="120" w:line="240" w:lineRule="auto"/>
        <w:ind w:left="284" w:hanging="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br w:type="page"/>
      </w:r>
      <w:r w:rsidRPr="00C26DEC">
        <w:rPr>
          <w:rFonts w:ascii="Calibri" w:eastAsia="Times New Roman" w:hAnsi="Calibri" w:cs="Calibri"/>
          <w:sz w:val="28"/>
          <w:szCs w:val="28"/>
          <w:lang w:eastAsia="pl-PL"/>
        </w:rPr>
        <w:lastRenderedPageBreak/>
        <w:t xml:space="preserve">rodzaj i charakterystyka przedsięwzięcia z uwzględnieniem ocenionego w oparciu o wiedzę naukową ryzyka wystąpienia poważnych awarii lub katastrof naturalnych i budowlanych, przy uwzględnieniu używanych substancji i stosowanych technologii, w tym ryzyka związanego ze zmianą klimatu: </w:t>
      </w:r>
    </w:p>
    <w:p w14:paraId="3D565EFF" w14:textId="77777777" w:rsidR="00C26DEC" w:rsidRPr="00C26DEC" w:rsidRDefault="00C26DEC" w:rsidP="00C26DEC">
      <w:pPr>
        <w:spacing w:after="120" w:line="240" w:lineRule="auto"/>
        <w:ind w:left="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biorąc pod uwagę rodzaj planowanego przedsięwzięcia, w tym projektowaną zmianę parametrów, przy uwzględnieniu używanych substancji i stosowanych technologii należy stwierdzić, że przedsięwzięcie nie należy do zakładów o dużym lub zwiększonym ryzyku wystąpienia poważnej awarii określonych w Rozporządzeniu Ministra Rozwoju z dnia 29 stycznia 2016 r. w sprawie rodzajów i ilości znajdujących się w zakładzie substancji niebezpiecznych, decydujących o zaliczeniu zakładu do zakładu o zwiększonym lub dużym ryzyku wystąpienia poważnej awarii przemysłowej (Dz. U. poz. 138). Ponadto uwzględniając realizację i eksploatację przedsięwzięcia zgodnie z obowiązującymi normami i przepisami, ryzyko wystąpienia katastrof budowlanych będzie ograniczone. Ze względu na położenie geograficzne przedsięwzięcie nie jest zagrożone ryzykiem katastrofy naturalnej, w szczególności w wyniku wystąpienia trzęsień ziemi czy osuwisk;</w:t>
      </w:r>
    </w:p>
    <w:p w14:paraId="35873DD2" w14:textId="77777777" w:rsidR="00C26DEC" w:rsidRPr="00C26DEC" w:rsidRDefault="00C26DEC" w:rsidP="00D10EFD">
      <w:pPr>
        <w:numPr>
          <w:ilvl w:val="0"/>
          <w:numId w:val="17"/>
        </w:numPr>
        <w:spacing w:after="120" w:line="240" w:lineRule="auto"/>
        <w:ind w:left="284" w:hanging="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rodzaj i charakterystyka przedsięwzięcia z uwzględnieniem przewidywanych ilości i rodzaju wytwarzanych odpadów oraz ich wpływu na środowisko, w przypadkach gdy planuje się ich powstawanie: </w:t>
      </w:r>
    </w:p>
    <w:p w14:paraId="205B6B52" w14:textId="77777777" w:rsidR="00C26DEC" w:rsidRPr="00C26DEC" w:rsidRDefault="00C26DEC" w:rsidP="00C26DEC">
      <w:pPr>
        <w:spacing w:after="120" w:line="240" w:lineRule="auto"/>
        <w:ind w:left="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w wyniku realizacji planowanego przedsięwzięcia będą powstawać głównie odpady budowlane, związane z pracami inwestycyjnymi, które następnie będą przekazywane uprawnionym podmiotom do dalszego zagospodarowania. Na etapie eksploatacji farmy fotowoltaicznej będą powstawać odpady związane z utrzymaniem i funkcjonowaniem urządzeń technicznych, które będą na bieżąco przekazywane do dalszego zagospodarowania zgodnie z przepisami szczegółowymi w tym zakresie. Gospodarowanie odpadami na etapie likwidacji przedmiotowego przedsięwzięcia również winno odbywać się na zasadach określonych w obowiązujących przepisach szczegółowych w tym zakresie. Zmiana decyzji nie będzie wiązać się ze zmianami przyjętych rozwiązań w zakresie gospodarowania odpadami;</w:t>
      </w:r>
    </w:p>
    <w:p w14:paraId="6E30EDF2" w14:textId="77777777" w:rsidR="00C26DEC" w:rsidRPr="00C26DEC" w:rsidRDefault="00C26DEC" w:rsidP="00D10EFD">
      <w:pPr>
        <w:numPr>
          <w:ilvl w:val="0"/>
          <w:numId w:val="17"/>
        </w:numPr>
        <w:spacing w:after="120" w:line="240" w:lineRule="auto"/>
        <w:ind w:left="284" w:hanging="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br w:type="page"/>
      </w:r>
      <w:r w:rsidRPr="00C26DEC">
        <w:rPr>
          <w:rFonts w:ascii="Calibri" w:eastAsia="Times New Roman" w:hAnsi="Calibri" w:cs="Calibri"/>
          <w:sz w:val="28"/>
          <w:szCs w:val="28"/>
          <w:lang w:eastAsia="pl-PL"/>
        </w:rPr>
        <w:lastRenderedPageBreak/>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obszary wodno-błotne, inne obszary o płytkim zaleganiu wód podziemnych, w tym siedliska łęgowe oraz ujścia rzek, obszary wybrzeży i środowisko morskie, obszary górskie lub leśne, obszary objęte ochroną, w tym strefy ochronne ujęć wód i obszary ochronne zbiorników wód śródlądowych, obszary, na których standardy jakości środowiska zostały przekroczone lub istnieje prawdopodobieństwo ich przekroczenia, obszary o krajobrazie mającym znaczenie historyczne, kulturowe lub archeologiczne, gęstość zaludnienia, obszary przylegające do jezior, uzdrowiska i obszary ochrony uzdrowiskowej: </w:t>
      </w:r>
    </w:p>
    <w:p w14:paraId="66254FDA" w14:textId="77777777" w:rsidR="00C26DEC" w:rsidRPr="00C26DEC" w:rsidRDefault="00C26DEC" w:rsidP="00C26DEC">
      <w:pPr>
        <w:spacing w:after="120" w:line="240" w:lineRule="auto"/>
        <w:ind w:left="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w otoczeniu przedsięwzięcia znajdują się grunty rolne. Najbliższy zbiornik wodny znajduje się w odległości około 74 m w kierunku północno-wschodnim. Teren przedsięwzięcia nie jest zlokalizowany na obszarach wodno-błotnych, w tym obszarach siedlisk łęgowych oraz ujściach rzek, ani w strefach ochronnych ujęć wód i obszarach ochronnych zbiorników wód śródlądowych. Przedsięwzięcie realizowane będzie poza obszarami wybrzeży i środowiska morskiego, górskimi, leśnymi, przylegającymi do jezior. Przedsięwzięcie nie będzie znajdować się na obszarach o krajobrazie mającym znaczenie archeologiczne ani na obszarach o dużej gęstości zaludnienia oraz uzdrowiskowych i ochrony uzdrowiskowej. Planowana farma fotowoltaiczna znajdować się będzie poza obszarami, na których standardy środowiska zostały przekroczone. Teren przeznaczony pod przedsięwzięcie zlokalizowany jest w granicy Parku Krajobrazowego im. gen. Dezyderego Chłapowskiego.</w:t>
      </w:r>
      <w:r w:rsidRPr="00C26DEC">
        <w:rPr>
          <w:rFonts w:ascii="Calibri" w:eastAsia="Calibri" w:hAnsi="Calibri" w:cs="Calibri"/>
          <w:sz w:val="28"/>
          <w:szCs w:val="28"/>
        </w:rPr>
        <w:t xml:space="preserve"> </w:t>
      </w:r>
      <w:r w:rsidRPr="00C26DEC">
        <w:rPr>
          <w:rFonts w:ascii="Calibri" w:eastAsia="Times New Roman" w:hAnsi="Calibri" w:cs="Calibri"/>
          <w:sz w:val="28"/>
          <w:szCs w:val="28"/>
          <w:lang w:eastAsia="pl-PL"/>
        </w:rPr>
        <w:t xml:space="preserve">Zgodnie §4 ust. 1 pkt 1 uchwały nr XLIV/858/14 Sejmiku Województwa Wielkopolskiego z dnia 28 kwietnia 2014 r. w sprawie utworzenia Parku Krajobrazowego im. gen. Dezyderego Chłapowskiego, obowiązuje zakaz realizacji przedsięwzięć mogących znacząco oddziaływać na środowisko. Zgodnie z art. 17 ust. 3 ustawy z dnia 16 kwietnia 2004 r. o ochronie przyrody (Dz. U. z 2024 r. poz. 1478) zakaz ten nie dotyczy realizacji przedsięwzięć mogących znacząco oddziaływać na środowisko, dla których sporządzenie raportu o oddziaływaniu na środowisko nie jest obowiązkowe i przeprowadzona procedura oceny oddziaływania na środowisko wykazała brak niekorzystnego wpływu na przyrodę i krajobraz parku krajobrazowego. </w:t>
      </w:r>
    </w:p>
    <w:p w14:paraId="4075509C" w14:textId="77777777" w:rsidR="00C26DEC" w:rsidRPr="00C26DEC" w:rsidRDefault="00C26DEC" w:rsidP="00C26DEC">
      <w:pPr>
        <w:spacing w:after="120" w:line="240" w:lineRule="auto"/>
        <w:ind w:left="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lastRenderedPageBreak/>
        <w:t xml:space="preserve">Ponadto, zgodnie z uchwałą nr LI/1000/23 Sejmiku Województwa Wielkopolskiego z dnia 27 marca 2023 r. w sprawie uchwalenia Audytu krajobrazowego województwa wielkopolskiego, analizowany teren położony jest na obszarze krajobrazu priorytetowego o nazwie „Rejon Turwi”. Dla przedmiotowego przedsięwzięcia została przeprowadzona ocena oddziaływania na środowisko w toku postępowania zakończonego wydaną decyzją o środowiskowych uwarunkowaniach. Analiza dokumentów przedłożonych w tym postępowaniu nie wykazała negatywnego oddziaływania planowanego przedsięwzięcia na przyrodę i krajobraz parku krajobrazowego. Przedmiotowa zmiana parametrów planowanej farmy fotowoltaicznej nie będzie się wiązać z dodatkową ingerencją w środowisko przyrodnicze, w związku z czym </w:t>
      </w:r>
      <w:r w:rsidRPr="00C26DEC">
        <w:rPr>
          <w:rFonts w:ascii="Calibri" w:eastAsia="Calibri" w:hAnsi="Calibri" w:cs="Calibri"/>
          <w:sz w:val="28"/>
          <w:szCs w:val="28"/>
        </w:rPr>
        <w:t>nie zachodzi konieczność ponownej oceny oddziaływania na środowisko planowanego przedsięwzięcia</w:t>
      </w:r>
      <w:r w:rsidRPr="00C26DEC">
        <w:rPr>
          <w:rFonts w:ascii="Calibri" w:eastAsia="Times New Roman" w:hAnsi="Calibri" w:cs="Calibri"/>
          <w:sz w:val="28"/>
          <w:szCs w:val="28"/>
          <w:lang w:eastAsia="pl-PL"/>
        </w:rPr>
        <w:t>;</w:t>
      </w:r>
    </w:p>
    <w:p w14:paraId="6FA25885" w14:textId="77777777" w:rsidR="00C26DEC" w:rsidRPr="00C26DEC" w:rsidRDefault="00C26DEC" w:rsidP="00A568A2">
      <w:pPr>
        <w:numPr>
          <w:ilvl w:val="0"/>
          <w:numId w:val="17"/>
        </w:numPr>
        <w:spacing w:after="120" w:line="240" w:lineRule="auto"/>
        <w:ind w:left="284" w:hanging="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obszary wymagające specjalnej ochrony ze względu na występowanie gatunków roślin, grzybów i zwierząt lub ich siedlisk lub siedlisk przyrodniczych objętych ochroną, w tym obszary Natura 2000, oraz pozostałe formy ochrony przyrody: </w:t>
      </w:r>
    </w:p>
    <w:p w14:paraId="422ADD14" w14:textId="77777777" w:rsidR="00C26DEC" w:rsidRPr="00C26DEC" w:rsidRDefault="00C26DEC" w:rsidP="00C26DEC">
      <w:pPr>
        <w:spacing w:after="120" w:line="240" w:lineRule="auto"/>
        <w:ind w:left="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najbliżej położonymi obszarami Natura 2000 są: specjalny obszar ochrony siedlisk Rogalińska Dolina Warty PLH300012 i obszar specjalnej ochrony ptaków Ostoja Rogalińska PLB300017, oddalone o 6,9 km od przedsięwzięcia. Mając na względzie lokalizację planowanego przedsięwzięcia na gruncie ornym, planowany zakres zmiany przedsięwzięcia w stosunku do pierwotnego projektu nie wpływający na środowisko przyrodnicze oraz realizację przedsięwzięcia zgodnie z nałożonymi warunkami w decyzji o środowiskowych uwarunkowaniach,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w:t>
      </w:r>
    </w:p>
    <w:p w14:paraId="01701E5D" w14:textId="77777777" w:rsidR="00C26DEC" w:rsidRPr="00C26DEC" w:rsidRDefault="00C26DEC" w:rsidP="00C26DEC">
      <w:pPr>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br w:type="page"/>
      </w:r>
    </w:p>
    <w:p w14:paraId="45497DF2" w14:textId="77777777" w:rsidR="00C26DEC" w:rsidRPr="00C26DEC" w:rsidRDefault="00C26DEC" w:rsidP="00C26DEC">
      <w:pPr>
        <w:spacing w:after="120" w:line="240" w:lineRule="auto"/>
        <w:ind w:left="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lastRenderedPageBreak/>
        <w:t>Realizacja przedsięwzięcia nie wpłynie także na obszary chronione, a w szczególności na siedliska przyrodnicze, gatunki roślin i zwierząt oraz ich siedliska, dla których ochrony zostały wyznaczone obszary Natura 2000, a także nie spowoduje pogorszenia integralności poszczególnych obszarów Natura 2000 lub ich powiązań z innymi obszarami. Ponadto przedsięwzięcie nie spowoduje utraty i fragmentacji siedlisk oraz nie wpłynie na korytarze ekologiczne i funkcję ekosystemu;</w:t>
      </w:r>
    </w:p>
    <w:p w14:paraId="2F71948B" w14:textId="77777777" w:rsidR="00C26DEC" w:rsidRPr="00C26DEC" w:rsidRDefault="00C26DEC" w:rsidP="00A568A2">
      <w:pPr>
        <w:numPr>
          <w:ilvl w:val="0"/>
          <w:numId w:val="17"/>
        </w:numPr>
        <w:spacing w:after="120" w:line="240" w:lineRule="auto"/>
        <w:ind w:left="284" w:hanging="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usytuowanie przedsięwzięcia, z uwzględnieniem możliwego zagrożenia dla środowiska, w szczególności przy istniejącym i planowanym użytkowaniu terenu, zdolności samooczyszczania się środowiska i odnawiania się zasobów naturalnych, walorów przyrodniczych i krajobrazowych oraz uwarunkowań miejscowych planów zagospodarowania przestrzennego - uwzględniające: wody i obowiązujące dla nich cele środowiskowe: </w:t>
      </w:r>
    </w:p>
    <w:p w14:paraId="335C5F74" w14:textId="77777777" w:rsidR="00C26DEC" w:rsidRPr="00C26DEC" w:rsidRDefault="00C26DEC" w:rsidP="00C26DEC">
      <w:pPr>
        <w:spacing w:after="120" w:line="240" w:lineRule="auto"/>
        <w:ind w:left="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według charakterystyki jednolitych części wód planowane przedsięwzięcie zlokalizowane jest w granicach jednolitej części wód podziemnych (jcwpd) o kodzie GW600060 oraz jednolitej części wód powierzchniowych (jcwp) o kodzie RW600010185589 – Kanał Szymanowo-Grzybno. Zgodnie z obowiązującym „Planem gospodarowania wodami na obszarze dorzecza Odry” jcwpd o kodzie GW600060 charakteryzuje się dobrym stanem ilościowym oraz chemicznym i jest ona monitorowana, a w odniesieniu do ryzyka nieosiągnięcia celów środowiskowych została uznana za zagrożoną. Jcwp o kodzie RW600010185589 jest silnie zmienioną częścią wód, monitorowaną, a jej stan aktualnie jest zły i zgodnie z oceną ryzyka nieosiągnięcia celów środowiskowych uznana została za zagrożoną;</w:t>
      </w:r>
    </w:p>
    <w:p w14:paraId="79C6BF80" w14:textId="77777777" w:rsidR="00C26DEC" w:rsidRPr="00C26DEC" w:rsidRDefault="00C26DEC" w:rsidP="00A568A2">
      <w:pPr>
        <w:numPr>
          <w:ilvl w:val="0"/>
          <w:numId w:val="17"/>
        </w:numPr>
        <w:tabs>
          <w:tab w:val="left" w:pos="426"/>
        </w:tabs>
        <w:spacing w:after="120" w:line="240" w:lineRule="auto"/>
        <w:ind w:left="284" w:hanging="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rodzaj, cechy i skala możliwego oddziaływania rozważanego w odniesieniu do kryteriów wymienionych w art. 63 ust. 1 pkt 1 i 2 oraz w art. 62 ust. 1 pkt 1, wynikające z transgranicznego charakteru oddziaływania przedsięwzięcia na poszczególne elementy przyrodnicze:</w:t>
      </w:r>
    </w:p>
    <w:p w14:paraId="58AD93F3" w14:textId="77777777" w:rsidR="00C26DEC" w:rsidRPr="00C26DEC" w:rsidRDefault="00C26DEC" w:rsidP="00C26DEC">
      <w:pPr>
        <w:tabs>
          <w:tab w:val="left" w:pos="426"/>
        </w:tabs>
        <w:spacing w:after="120" w:line="240" w:lineRule="auto"/>
        <w:ind w:left="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realizacja planowanego przedsięwzięcia, z uwzględnieniem projektowanych zmian przedsięwzięcia, nie pociągnie za sobą zagrożeń dla środowiska naturalnego. Przedmiotowe przedsięwzięcie nie będzie transgranicznie oddziaływać na środowisko naturalne. </w:t>
      </w:r>
    </w:p>
    <w:p w14:paraId="1611B443" w14:textId="77777777" w:rsidR="00C26DEC" w:rsidRPr="00C26DEC" w:rsidRDefault="00C26DEC" w:rsidP="00C26DEC">
      <w:pPr>
        <w:widowControl w:val="0"/>
        <w:tabs>
          <w:tab w:val="left" w:pos="0"/>
        </w:tabs>
        <w:suppressAutoHyphens/>
        <w:spacing w:after="0" w:line="240" w:lineRule="auto"/>
        <w:jc w:val="both"/>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ab/>
      </w:r>
    </w:p>
    <w:p w14:paraId="403D1FCB" w14:textId="77777777" w:rsidR="00C26DEC" w:rsidRPr="00C26DEC" w:rsidRDefault="00C26DEC" w:rsidP="00C26DEC">
      <w:pPr>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br w:type="page"/>
      </w:r>
    </w:p>
    <w:p w14:paraId="03F98418" w14:textId="77777777" w:rsidR="00C26DEC" w:rsidRPr="00C26DEC" w:rsidRDefault="00C26DEC" w:rsidP="00C26DEC">
      <w:pPr>
        <w:widowControl w:val="0"/>
        <w:tabs>
          <w:tab w:val="left" w:pos="0"/>
        </w:tabs>
        <w:suppressAutoHyphens/>
        <w:spacing w:after="12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lastRenderedPageBreak/>
        <w:tab/>
        <w:t>Zgodnie z art. 80 ust. 2 u.o.o.ś. właściwy organ wydaje decyzję o środowiskowych uwarunkowaniach po stwierdzeniu zgodności lokalizacji przedsięwzięcia z ustaleniami miejscowego planu zagospodarowania przestrzennego, jeżeli plan ten został uchwalony. Natomiast zgodnie z art. 59a ust. 3 pkt 1 u.o.o.ś., w przypadku stwierdzenia niezgodności lokalizacji przedsięwzięcia z ustaleniami miejscowego planu zagospodarowania przestrzennego, organ właściwy do wydania decyzji o środowiskowych uwarunkowaniach odmawia zgody na realizację przedsięwzięcia. Burmistrz Śremu stwierdził, że planowane przedsięwzięcie nie znajduje się w obszarze objętym ustaleniami obowiązującego miejscowego planu zagospodarowania przestrzennego.</w:t>
      </w:r>
    </w:p>
    <w:p w14:paraId="164D3BED" w14:textId="77777777" w:rsidR="00C26DEC" w:rsidRPr="00C26DEC" w:rsidRDefault="00C26DEC" w:rsidP="00C26DEC">
      <w:pPr>
        <w:widowControl w:val="0"/>
        <w:tabs>
          <w:tab w:val="left" w:pos="0"/>
        </w:tabs>
        <w:suppressAutoHyphens/>
        <w:spacing w:after="120" w:line="240" w:lineRule="auto"/>
        <w:rPr>
          <w:rFonts w:ascii="Calibri" w:eastAsia="Times New Roman" w:hAnsi="Calibri" w:cs="Calibri"/>
          <w:b/>
          <w:bCs/>
          <w:sz w:val="28"/>
          <w:szCs w:val="28"/>
          <w:lang w:eastAsia="pl-PL"/>
        </w:rPr>
      </w:pPr>
      <w:r w:rsidRPr="00C26DEC">
        <w:rPr>
          <w:rFonts w:ascii="Calibri" w:eastAsia="Times New Roman" w:hAnsi="Calibri" w:cs="Calibri"/>
          <w:sz w:val="28"/>
          <w:szCs w:val="28"/>
          <w:lang w:eastAsia="pl-PL"/>
        </w:rPr>
        <w:tab/>
        <w:t xml:space="preserve">W związku z odstąpieniem od obowiązku przeprowadzenia oceny oddziaływania przedsięwzięcia na środowisko postępowanie w przedmiotowej sprawie nie wymagało zapewnienia możliwości udziału społeczeństwa. </w:t>
      </w:r>
    </w:p>
    <w:p w14:paraId="2C00B736" w14:textId="77777777" w:rsidR="00C26DEC" w:rsidRPr="00C26DEC" w:rsidRDefault="00C26DEC" w:rsidP="00C26DEC">
      <w:pPr>
        <w:widowControl w:val="0"/>
        <w:tabs>
          <w:tab w:val="left" w:pos="0"/>
        </w:tabs>
        <w:suppressAutoHyphens/>
        <w:spacing w:after="12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ab/>
        <w:t xml:space="preserve">Biorąc pod uwagę powyższe, w szczególności informacje przedstawione w karcie informacyjnej przedsięwzięcia, uwzględniając łącznie kryteria wymienione w art. 63 ust. 1 u.o.o.ś. oraz stanowiska Organów opiniujących, </w:t>
      </w:r>
      <w:r w:rsidRPr="00C26DEC">
        <w:rPr>
          <w:rFonts w:ascii="Calibri" w:eastAsia="Times New Roman" w:hAnsi="Calibri" w:cs="Calibri"/>
          <w:b/>
          <w:bCs/>
          <w:sz w:val="28"/>
          <w:szCs w:val="28"/>
          <w:lang w:eastAsia="pl-PL"/>
        </w:rPr>
        <w:t>Burmistrz Śremu stwierdził, że przedsięwzięcie będzie zgodne z wymaganiami ochrony środowiska, jeśli zostaną spełnione warunki określone w karcie informacyjnej przedsięwzięcia i w decyzji o środowiskowych uwarunkowaniach.</w:t>
      </w:r>
      <w:r w:rsidRPr="00C26DEC">
        <w:rPr>
          <w:rFonts w:ascii="Calibri" w:eastAsia="Times New Roman" w:hAnsi="Calibri" w:cs="Calibri"/>
          <w:sz w:val="28"/>
          <w:szCs w:val="28"/>
          <w:lang w:eastAsia="pl-PL"/>
        </w:rPr>
        <w:t xml:space="preserve"> </w:t>
      </w:r>
    </w:p>
    <w:p w14:paraId="32814A5D" w14:textId="77777777" w:rsidR="00C26DEC" w:rsidRPr="00C26DEC" w:rsidRDefault="00C26DEC" w:rsidP="00C26DEC">
      <w:pPr>
        <w:spacing w:after="120" w:line="240" w:lineRule="auto"/>
        <w:ind w:firstLine="708"/>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Ponadto, podmiot realizujący i eksploatujący przedsięwzięcie zobowiązany jest do dotrzymania standardów jakości środowiska określonych w przepisach odrębnych. </w:t>
      </w:r>
    </w:p>
    <w:p w14:paraId="250EB105" w14:textId="77777777" w:rsidR="00C26DEC" w:rsidRPr="00C26DEC" w:rsidRDefault="00C26DEC" w:rsidP="00C26DEC">
      <w:pPr>
        <w:spacing w:after="120" w:line="240" w:lineRule="auto"/>
        <w:ind w:firstLine="708"/>
        <w:rPr>
          <w:rFonts w:ascii="Calibri" w:eastAsia="Calibri" w:hAnsi="Calibri" w:cs="Calibri"/>
          <w:sz w:val="28"/>
          <w:szCs w:val="28"/>
        </w:rPr>
      </w:pPr>
      <w:r w:rsidRPr="00C26DEC">
        <w:rPr>
          <w:rFonts w:ascii="Calibri" w:eastAsia="Calibri" w:hAnsi="Calibri" w:cs="Calibri"/>
          <w:sz w:val="28"/>
          <w:szCs w:val="28"/>
        </w:rPr>
        <w:t>Następnie Burmistrz Śremu rozważył możliwość zastosowania trybu określonego w art. 155 K.p.a., celem ustalenia czy w niniejszej sprawie spełniły się wskazane w tym przepisie przesłanki, w tym czy występuje tożsamość sprawy administracyjnej w znaczeniu materialnym.</w:t>
      </w:r>
    </w:p>
    <w:p w14:paraId="3FA9E17C" w14:textId="77777777" w:rsidR="00C26DEC" w:rsidRPr="00C26DEC" w:rsidRDefault="00C26DEC" w:rsidP="00C26DEC">
      <w:pPr>
        <w:spacing w:after="120" w:line="240" w:lineRule="auto"/>
        <w:ind w:firstLine="708"/>
        <w:rPr>
          <w:rFonts w:ascii="Calibri" w:eastAsia="Calibri" w:hAnsi="Calibri" w:cs="Calibri"/>
          <w:sz w:val="28"/>
          <w:szCs w:val="28"/>
        </w:rPr>
      </w:pPr>
      <w:r w:rsidRPr="00C26DEC">
        <w:rPr>
          <w:rFonts w:ascii="Calibri" w:eastAsia="Calibri" w:hAnsi="Calibri" w:cs="Calibri"/>
          <w:sz w:val="28"/>
          <w:szCs w:val="28"/>
        </w:rPr>
        <w:t xml:space="preserve">Zgodnie z art. 155 </w:t>
      </w:r>
      <w:r w:rsidRPr="00C26DEC">
        <w:rPr>
          <w:rFonts w:ascii="Calibri" w:eastAsia="Times New Roman" w:hAnsi="Calibri" w:cs="Calibri"/>
          <w:sz w:val="28"/>
          <w:szCs w:val="28"/>
          <w:lang w:eastAsia="pl-PL"/>
        </w:rPr>
        <w:t>K.p.a.</w:t>
      </w:r>
      <w:r w:rsidRPr="00C26DEC">
        <w:rPr>
          <w:rFonts w:ascii="Calibri" w:eastAsia="Calibri" w:hAnsi="Calibri" w:cs="Calibri"/>
          <w:sz w:val="28"/>
          <w:szCs w:val="28"/>
        </w:rPr>
        <w:t xml:space="preserve"> decyzja ostateczna, na mocy której strona nabyła prawo, może być w każdym czasie za zgodą strony uchylona lub zmieniona przez organ administracji publicznej, który ją wydał, jeżeli przepisy szczególne nie sprzeciwiają się uchyleniu lub zmianie takiej decyzji i przemawia za tym interes społeczny lub słuszny interes strony; przepis art. 154 § 2 K.p.a. stosuje się odpowiednio.</w:t>
      </w:r>
    </w:p>
    <w:p w14:paraId="733C35A0" w14:textId="77777777" w:rsidR="00C26DEC" w:rsidRPr="00C26DEC" w:rsidRDefault="00C26DEC" w:rsidP="00C26DEC">
      <w:pPr>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br w:type="page"/>
      </w:r>
    </w:p>
    <w:p w14:paraId="67E22452" w14:textId="77777777" w:rsidR="00C26DEC" w:rsidRPr="00C26DEC" w:rsidRDefault="00C26DEC" w:rsidP="00C26DEC">
      <w:pPr>
        <w:spacing w:after="120" w:line="240" w:lineRule="auto"/>
        <w:ind w:firstLine="709"/>
        <w:rPr>
          <w:rFonts w:ascii="Calibri" w:eastAsia="Times New Roman" w:hAnsi="Calibri" w:cs="Times New Roman"/>
          <w:sz w:val="28"/>
          <w:szCs w:val="24"/>
          <w:lang w:eastAsia="pl-PL"/>
        </w:rPr>
      </w:pPr>
      <w:r w:rsidRPr="00C26DEC">
        <w:rPr>
          <w:rFonts w:ascii="Calibri" w:eastAsia="Times New Roman" w:hAnsi="Calibri" w:cs="Calibri"/>
          <w:sz w:val="28"/>
          <w:szCs w:val="28"/>
          <w:lang w:eastAsia="pl-PL"/>
        </w:rPr>
        <w:lastRenderedPageBreak/>
        <w:t>Zgodnie z art. 87 u.o.o.ś., w przypadku zmiany decyzji o środowiskowych uwarunkowaniach stosuje się odpowiednio przepisy wymagane przy wydawaniu decyzji o środowiskowych uwarunkowaniach. Przepis art. 155 K.p.a. stosuje się odpowiednio, z zastrzeżeniem, że zgodę wyraża wyłącznie strona, która złożyła wniosek o wydanie decyzji o środowiskowych uwarunkowaniach, lub podmiot, na którego została przeniesiona decyzja o środowiskowych uwarunkowaniach.</w:t>
      </w:r>
      <w:r w:rsidRPr="00C26DEC">
        <w:rPr>
          <w:rFonts w:ascii="Calibri" w:eastAsia="Times New Roman" w:hAnsi="Calibri" w:cs="Times New Roman"/>
          <w:sz w:val="28"/>
          <w:szCs w:val="24"/>
          <w:lang w:eastAsia="pl-PL"/>
        </w:rPr>
        <w:t xml:space="preserve"> </w:t>
      </w:r>
    </w:p>
    <w:p w14:paraId="69985EE3" w14:textId="77777777" w:rsidR="00C26DEC" w:rsidRPr="00C26DEC" w:rsidRDefault="00C26DEC" w:rsidP="00C26DEC">
      <w:pPr>
        <w:spacing w:after="120" w:line="240" w:lineRule="auto"/>
        <w:ind w:firstLine="709"/>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t xml:space="preserve">Zgodnie z prezentowanym w doktrynie i judykaturze stanowiskiem na sprawę administracyjną w znaczeniu materialnym składają się elementy podmiotowe i przedmiotowe. Tożsamość elementów podmiotowych, to tożsamość podmiotu będącego adresatem praw i obowiązków, a tożsamość przedmiotowa to tożsamość treści praw i obowiązków oraz ich podstawy faktycznej i prawnej (np. wyrok WSA w Poznaniu z 25.05.2022 r. sygn. akt III SA/Po 1642/21). </w:t>
      </w:r>
    </w:p>
    <w:p w14:paraId="157D2965" w14:textId="77777777" w:rsidR="00C26DEC" w:rsidRPr="00C26DEC" w:rsidRDefault="00C26DEC" w:rsidP="00C26DEC">
      <w:pPr>
        <w:spacing w:after="120" w:line="240" w:lineRule="auto"/>
        <w:ind w:firstLine="708"/>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t>Jak wskazał Naczelny Sąd Administracyjny w uchwale z 3.11.2009 r. sygn. II GPS 2/09 tożsamość sprawy ma miejsce, gdy występują te same podmioty, gdy dotyczy ona tego samego przedmiotu i tego samego stanu prawnego w niezmienionym stanie faktycznym sprawy. Dla ustalenia tożsamości przedmiotu sprawy decydujące znaczenie ma treść praw i obowiązków. O istnieniu tej tożsamości będzie można mówić wówczas, gdy zostanie zachowana identyczność skonkretyzowanych praw i obowiązków. Warunkiem ustalenia tożsamości sprawy jest także ciągłość regulacji prawnej. W powołanej wyżej uchwale Naczelny Sąd Administracyjny spostrzegł, że dopóki mamy do czynienia z tymi samymi prawami i obowiązkami tych samych podmiotów, ukształtowanymi obowiązującą decyzją, z tym samym lub zachowującym ciągłość regulacji stanem prawnym i niezmienionym w kwestiach prawnie istotnych stanem faktycznym, dopóty można mówić o tożsamości sprawy administracyjnej w znaczeniu materialnym.</w:t>
      </w:r>
    </w:p>
    <w:p w14:paraId="7DA9D5FD" w14:textId="77777777" w:rsidR="00C26DEC" w:rsidRPr="00C26DEC" w:rsidRDefault="00C26DEC" w:rsidP="00C26DEC">
      <w:pPr>
        <w:spacing w:after="120" w:line="240" w:lineRule="auto"/>
        <w:ind w:firstLine="708"/>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t>Przesłanki umożliwiające zmianę przedmiotowej decyzji są spełnione.</w:t>
      </w:r>
    </w:p>
    <w:p w14:paraId="778343FE" w14:textId="77777777" w:rsidR="00C26DEC" w:rsidRPr="00C26DEC" w:rsidRDefault="00C26DEC" w:rsidP="00C26DEC">
      <w:pPr>
        <w:spacing w:after="120" w:line="240" w:lineRule="auto"/>
        <w:ind w:firstLine="708"/>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t xml:space="preserve">W niniejszej sprawie z wnioskiem o zmianę decyzji ostatecznej wystąpiła strona, która nabyła na jej mocy prawo. Wniosek strony o zmianę decyzji należy uznać za jej zgodę na zmianę decyzji w zakresie wskazanym we wniosku. </w:t>
      </w:r>
    </w:p>
    <w:p w14:paraId="01D4557F" w14:textId="77777777" w:rsidR="00C26DEC" w:rsidRPr="00C26DEC" w:rsidRDefault="00C26DEC" w:rsidP="00C26DEC">
      <w:pPr>
        <w:spacing w:after="120" w:line="240" w:lineRule="auto"/>
        <w:ind w:firstLine="708"/>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t xml:space="preserve">Za zmianą decyzji przemawia słuszny interes strony. Strona zwróciła się o zmianę przedmiotowej decyzji w związku z ubieganiem się przez nią o decyzję o pozwoleniu na budowę. </w:t>
      </w:r>
    </w:p>
    <w:p w14:paraId="49E0A41B" w14:textId="77777777" w:rsidR="00C26DEC" w:rsidRPr="00C26DEC" w:rsidRDefault="00C26DEC" w:rsidP="00C26DEC">
      <w:pPr>
        <w:spacing w:after="0" w:line="240" w:lineRule="auto"/>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br w:type="page"/>
      </w:r>
    </w:p>
    <w:p w14:paraId="4A0477C7" w14:textId="77777777" w:rsidR="00C26DEC" w:rsidRPr="00C26DEC" w:rsidRDefault="00C26DEC" w:rsidP="00C26DEC">
      <w:pPr>
        <w:spacing w:after="120" w:line="240" w:lineRule="auto"/>
        <w:ind w:firstLine="708"/>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lastRenderedPageBreak/>
        <w:t>Zmiana rzeczonej decyzji jest uzasadniona również słusznym interesem społecznym. Z uwagi na prognozowany wzrost zapotrzebowania na energię elektryczną w kraju i konieczność ograniczenia emisji CO</w:t>
      </w:r>
      <w:r w:rsidRPr="00C26DEC">
        <w:rPr>
          <w:rFonts w:ascii="Calibri" w:eastAsia="Times New Roman" w:hAnsi="Calibri" w:cs="Times New Roman"/>
          <w:sz w:val="28"/>
          <w:szCs w:val="24"/>
          <w:vertAlign w:val="subscript"/>
          <w:lang w:eastAsia="pl-PL"/>
        </w:rPr>
        <w:t>2</w:t>
      </w:r>
      <w:r w:rsidRPr="00C26DEC">
        <w:rPr>
          <w:rFonts w:ascii="Calibri" w:eastAsia="Times New Roman" w:hAnsi="Calibri" w:cs="Times New Roman"/>
          <w:sz w:val="28"/>
          <w:szCs w:val="24"/>
          <w:lang w:eastAsia="pl-PL"/>
        </w:rPr>
        <w:t>, pożądane są inwestycje polegające na produkcji energii elektrycznej z odnawialnych źródeł energii. Produkcja energii elektrycznej przy wzrastającym udziale energii odnawialnej wpisana jest w długoterminową strategię rządu RP w sektorze energetycznym i ma bezpośredni wpływ na zaspokojenie potrzeb odbiorców w tym zakresie.</w:t>
      </w:r>
    </w:p>
    <w:p w14:paraId="2873E137" w14:textId="77777777" w:rsidR="00C26DEC" w:rsidRPr="00C26DEC" w:rsidRDefault="00C26DEC" w:rsidP="00C26DEC">
      <w:pPr>
        <w:spacing w:after="120" w:line="240" w:lineRule="auto"/>
        <w:ind w:firstLine="708"/>
        <w:rPr>
          <w:rFonts w:ascii="Calibri" w:eastAsia="Times New Roman" w:hAnsi="Calibri" w:cs="Times New Roman"/>
          <w:sz w:val="28"/>
          <w:szCs w:val="24"/>
          <w:lang w:eastAsia="pl-PL"/>
        </w:rPr>
      </w:pPr>
      <w:r w:rsidRPr="00C26DEC">
        <w:rPr>
          <w:rFonts w:ascii="Calibri" w:eastAsia="Times New Roman" w:hAnsi="Calibri" w:cs="Times New Roman"/>
          <w:sz w:val="28"/>
          <w:szCs w:val="24"/>
          <w:lang w:eastAsia="pl-PL"/>
        </w:rPr>
        <w:t xml:space="preserve">W postępowaniu zakończonym ostateczną decyzją o środowiskowych uwarunkowaniach stronami postępowania, ustalonymi zgodnie z art. 74 ust. 3a u.o.o.ś., byli: wnioskodawca, właściciele terenu, na którym zaplanowano realizację przedsięwzięcia (działka o numerze ewidencyjnym 257, obręb Błociszewo) oraz podmioty, którym przysługuje prawo rzeczowe do nieruchomości znajdujących się w obszarze wyznaczonym w odległości 100 m od granic terenu przedsięwzięcia (o powierzchni 2,06 ha). Obszar ten objął więc działki o numerach ewidencyjnych: 228; 240; 259; 350/1; 258; 350/2; 234; 236; 350/3; 235; 256; 254; 370; 233; 255; 350/4; 350/5; 350/6; 350/7; 260; 241/2, obręb Błociszewo. Burmistrz Śremu stwierdził, że w rozpoznawanej sprawie krąg stron postępowania nie zmienił się. </w:t>
      </w:r>
    </w:p>
    <w:p w14:paraId="0093BF3F" w14:textId="77777777" w:rsidR="00C26DEC" w:rsidRPr="00C26DEC" w:rsidRDefault="00C26DEC" w:rsidP="00C26DEC">
      <w:pPr>
        <w:spacing w:after="120" w:line="240" w:lineRule="auto"/>
        <w:ind w:firstLine="708"/>
        <w:rPr>
          <w:rFonts w:ascii="Calibri" w:eastAsia="Calibri" w:hAnsi="Calibri" w:cs="Calibri"/>
          <w:sz w:val="28"/>
          <w:szCs w:val="28"/>
        </w:rPr>
      </w:pPr>
      <w:r w:rsidRPr="00C26DEC">
        <w:rPr>
          <w:rFonts w:ascii="Calibri" w:eastAsia="Calibri" w:hAnsi="Calibri" w:cs="Calibri"/>
          <w:sz w:val="28"/>
          <w:szCs w:val="28"/>
        </w:rPr>
        <w:t xml:space="preserve">Przedmiotowej zmianie nie sprzeciwiają się przepisy szczególne. W tym przypadku przepisem szczególnym jest ustawa </w:t>
      </w:r>
      <w:r w:rsidRPr="00C26DEC">
        <w:rPr>
          <w:rFonts w:ascii="Calibri" w:eastAsia="Times New Roman" w:hAnsi="Calibri" w:cs="Calibri"/>
          <w:sz w:val="28"/>
          <w:szCs w:val="28"/>
          <w:lang w:eastAsia="pl-PL"/>
        </w:rPr>
        <w:t>z dnia 3 października 2008 r. o udostępnianiu informacji o środowisku i jego ochronie, udziale społeczeństwa w ochronie środowiska oraz o ocenach oddziaływania na środowisko,</w:t>
      </w:r>
      <w:r w:rsidRPr="00C26DEC">
        <w:rPr>
          <w:rFonts w:ascii="Calibri" w:eastAsia="Calibri" w:hAnsi="Calibri" w:cs="Calibri"/>
          <w:sz w:val="28"/>
          <w:szCs w:val="28"/>
        </w:rPr>
        <w:t xml:space="preserve"> której art. 87 stwierdza, że w przypadku zmiany decyzji o środowiskowych uwarunkowaniach przepis art. 155 K.p.a. stosuje się odpowiednio, z zastrzeżeniem, że zgodę wyraża wyłącznie strona, która złożyła wniosek o wydanie decyzji o środowiskowych uwarunkowaniach, lub podmiot, na którego została przeniesiona decyzja o środowiskowych uwarunkowaniach. Jednocześnie przepis art. 87 u.o.o.ś. wprowadza wymóg zastosowania procedury wymaganej przy wydawaniu decyzji o środowiskowych</w:t>
      </w:r>
      <w:r w:rsidRPr="00C26DEC">
        <w:rPr>
          <w:rFonts w:ascii="Calibri" w:eastAsia="Calibri" w:hAnsi="Calibri" w:cs="Calibri"/>
          <w:color w:val="333333"/>
          <w:sz w:val="28"/>
          <w:szCs w:val="28"/>
        </w:rPr>
        <w:t xml:space="preserve"> </w:t>
      </w:r>
      <w:r w:rsidRPr="00C26DEC">
        <w:rPr>
          <w:rFonts w:ascii="Calibri" w:eastAsia="Calibri" w:hAnsi="Calibri" w:cs="Calibri"/>
          <w:sz w:val="28"/>
          <w:szCs w:val="28"/>
        </w:rPr>
        <w:t xml:space="preserve">uwarunkowaniach. </w:t>
      </w:r>
    </w:p>
    <w:p w14:paraId="3F1C7335" w14:textId="77777777" w:rsidR="00C26DEC" w:rsidRPr="00C26DEC" w:rsidRDefault="00C26DEC" w:rsidP="00C26DEC">
      <w:pPr>
        <w:spacing w:after="120" w:line="240" w:lineRule="auto"/>
        <w:ind w:firstLine="708"/>
        <w:rPr>
          <w:rFonts w:ascii="Calibri" w:eastAsia="Calibri" w:hAnsi="Calibri" w:cs="Calibri"/>
          <w:sz w:val="28"/>
          <w:szCs w:val="28"/>
        </w:rPr>
      </w:pPr>
      <w:r w:rsidRPr="00C26DEC">
        <w:rPr>
          <w:rFonts w:ascii="Calibri" w:eastAsia="Calibri" w:hAnsi="Calibri" w:cs="Calibri"/>
          <w:sz w:val="28"/>
          <w:szCs w:val="28"/>
        </w:rPr>
        <w:t>Zgodnie z art. 71 ust. 2 pkt 1 i 2 u.o.o.ś. uzyskanie decyzji o środowiskowych uwarunkowaniach jest wymagane dla planowanych przedsięwzięć mogących zawsze / potencjalnie znacząco oddziaływać na środowisko.</w:t>
      </w:r>
    </w:p>
    <w:p w14:paraId="417C8F3F" w14:textId="77777777" w:rsidR="00C26DEC" w:rsidRPr="00C26DEC" w:rsidRDefault="00C26DEC" w:rsidP="00C26DEC">
      <w:pPr>
        <w:spacing w:after="0" w:line="240" w:lineRule="auto"/>
        <w:rPr>
          <w:rFonts w:ascii="Calibri" w:eastAsia="Calibri" w:hAnsi="Calibri" w:cs="Calibri"/>
          <w:sz w:val="28"/>
          <w:szCs w:val="28"/>
        </w:rPr>
      </w:pPr>
      <w:r w:rsidRPr="00C26DEC">
        <w:rPr>
          <w:rFonts w:ascii="Calibri" w:eastAsia="Calibri" w:hAnsi="Calibri" w:cs="Calibri"/>
          <w:sz w:val="28"/>
          <w:szCs w:val="28"/>
        </w:rPr>
        <w:br w:type="page"/>
      </w:r>
    </w:p>
    <w:p w14:paraId="629044C4" w14:textId="77777777" w:rsidR="00C26DEC" w:rsidRPr="00C26DEC" w:rsidRDefault="00C26DEC" w:rsidP="00C26DEC">
      <w:pPr>
        <w:spacing w:after="120" w:line="240" w:lineRule="auto"/>
        <w:ind w:firstLine="708"/>
        <w:rPr>
          <w:rFonts w:ascii="Calibri" w:eastAsia="Calibri" w:hAnsi="Calibri" w:cs="Calibri"/>
          <w:sz w:val="28"/>
          <w:szCs w:val="28"/>
        </w:rPr>
      </w:pPr>
      <w:r w:rsidRPr="00C26DEC">
        <w:rPr>
          <w:rFonts w:ascii="Calibri" w:eastAsia="Calibri" w:hAnsi="Calibri" w:cs="Calibri"/>
          <w:sz w:val="28"/>
          <w:szCs w:val="28"/>
        </w:rPr>
        <w:lastRenderedPageBreak/>
        <w:t xml:space="preserve">Dokumentem określającym przedsięwzięcia wymagające uzyskania decyzji o środowiskowych uwarunkowaniach jest rozporządzenie Rady Ministrów z dnia 10 września 2019 r. w sprawie przedsięwzięć mogących znacząco oddziaływać na środowisko. </w:t>
      </w:r>
    </w:p>
    <w:p w14:paraId="53AB0E16" w14:textId="77777777" w:rsidR="00C26DEC" w:rsidRPr="00C26DEC" w:rsidRDefault="00C26DEC" w:rsidP="00C26DEC">
      <w:pPr>
        <w:spacing w:after="120" w:line="240" w:lineRule="auto"/>
        <w:ind w:firstLine="708"/>
        <w:rPr>
          <w:rFonts w:ascii="Calibri" w:eastAsia="Calibri" w:hAnsi="Calibri" w:cs="Calibri"/>
          <w:sz w:val="28"/>
          <w:szCs w:val="28"/>
        </w:rPr>
      </w:pPr>
      <w:r w:rsidRPr="00C26DEC">
        <w:rPr>
          <w:rFonts w:ascii="Calibri" w:eastAsia="Calibri" w:hAnsi="Calibri" w:cs="Calibri"/>
          <w:sz w:val="28"/>
          <w:szCs w:val="28"/>
        </w:rPr>
        <w:t xml:space="preserve">W tym miejscu należy zauważyć, że w dacie wydania ostatecznej decyzji o środowiskowych uwarunkowaniach planowane przedsięwzięcie kwalifikowało się do przedsięwzięć wymienionych w § 3 ust. 1 pkt 54 lit. a przywołanego rozporządzenia, natomiast w dacie złożenia wniosku o zmianę decyzji o środowiskowych uwarunkowaniach, w związku ze zmianą tego rozporządzenia (wejście w życie 13.09.2023 r.), planowane przedsięwzięcie kwalifikuje się do przedsięwzięć wymienionych w § 3 ust. 1 pkt 54a lit. a rozporządzenia. W stosunku do pierwotnego przepisu, zmianie uległ sposób wyznaczania powierzchni zabudowy systemami fotowoltaicznymi. Obecnie powierzchnię zabudowy systemami fotowoltaicznymi wyznacza się po obrysie zewnętrznych skrajnych modułów paneli fotowoltaicznych. Wcześniej powierzchnię zabudowy systemami fotowoltaicznymi stanowiła powierzchnia terenu zajęta przez obiekty budowlane oraz pozostała powierzchnia przeznaczona do przekształcenia, w tym tymczasowego, w celu realizacji przedsięwzięcia. </w:t>
      </w:r>
    </w:p>
    <w:p w14:paraId="644837A2" w14:textId="77777777" w:rsidR="00C26DEC" w:rsidRPr="00C26DEC" w:rsidRDefault="00C26DEC" w:rsidP="00C26DEC">
      <w:pPr>
        <w:spacing w:after="120" w:line="240" w:lineRule="auto"/>
        <w:ind w:firstLine="708"/>
        <w:rPr>
          <w:rFonts w:ascii="Calibri" w:eastAsia="Calibri" w:hAnsi="Calibri" w:cs="Calibri"/>
          <w:sz w:val="28"/>
          <w:szCs w:val="28"/>
        </w:rPr>
      </w:pPr>
      <w:r w:rsidRPr="00C26DEC">
        <w:rPr>
          <w:rFonts w:ascii="Calibri" w:eastAsia="Calibri" w:hAnsi="Calibri" w:cs="Calibri"/>
          <w:b/>
          <w:bCs/>
          <w:sz w:val="28"/>
          <w:szCs w:val="28"/>
        </w:rPr>
        <w:t>Niezależnie od powyższego planowane przedsięwzięcie, w związku z planowanymi zmianami projektowymi, nadal kwalifikuje się do przedsięwzięć mogących potencjalnie znacząco oddziaływać na środowisko, przed realizacją których wnioskodawca zobowiązany jest uzyskać decyzję o środowiskowych uwarunkowaniach</w:t>
      </w:r>
      <w:r w:rsidRPr="00C26DEC">
        <w:rPr>
          <w:rFonts w:ascii="Calibri" w:eastAsia="Calibri" w:hAnsi="Calibri" w:cs="Calibri"/>
          <w:sz w:val="28"/>
          <w:szCs w:val="28"/>
        </w:rPr>
        <w:t>. Zabudowa systemami fotowoltaicznymi będzie zajmować powierzchnię nie mniejszą niż 0,5 ha na obszarach objętych formami ochrony przyrody, o których mowa w art. 6 ust. 1 pkt 1-5, 8 i 9 ustawy z dnia 16 kwietnia 2004 r. o ochronie przyrody, lub w otulinach form ochrony przyrody, o których mowa w art. 6 ust. 1 pkt 1-3 tej ustawy, co stanowi obecnie jak i w dacie wydania decyzji zmienianej, kryterium kwalifikacji planowanego przedsięwzięcia do przedsięwzięć mogących znacząco oddziaływać na środowisko.</w:t>
      </w:r>
    </w:p>
    <w:p w14:paraId="418B334B" w14:textId="77777777" w:rsidR="00C26DEC" w:rsidRPr="00C26DEC" w:rsidRDefault="00C26DEC" w:rsidP="00C26DEC">
      <w:pPr>
        <w:spacing w:after="120" w:line="240" w:lineRule="auto"/>
        <w:ind w:firstLine="708"/>
        <w:rPr>
          <w:rFonts w:ascii="Calibri" w:eastAsia="Calibri" w:hAnsi="Calibri" w:cs="Calibri"/>
          <w:sz w:val="28"/>
          <w:szCs w:val="28"/>
        </w:rPr>
      </w:pPr>
      <w:r w:rsidRPr="00C26DEC">
        <w:rPr>
          <w:rFonts w:ascii="Calibri" w:eastAsia="Calibri" w:hAnsi="Calibri" w:cs="Calibri"/>
          <w:sz w:val="28"/>
          <w:szCs w:val="28"/>
        </w:rPr>
        <w:t xml:space="preserve">Burmistrz Śremu uznał, że powyższa zmiana ww. przepisu rozporządzenia nie wpływa na tożsamość stosunku prawnego, ukształtowanego zmienianą decyzją i nie stoi na przeszkodzie do zmiany tej decyzji w trybie art. 155 K.p.a. </w:t>
      </w:r>
    </w:p>
    <w:p w14:paraId="143B9E3D" w14:textId="77777777" w:rsidR="00C26DEC" w:rsidRPr="00C26DEC" w:rsidRDefault="00C26DEC" w:rsidP="00C26DEC">
      <w:pPr>
        <w:spacing w:after="120" w:line="240" w:lineRule="auto"/>
        <w:ind w:firstLine="708"/>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Mając powyższe na uwadze orzeczono jak w sentencji decyzji.</w:t>
      </w:r>
    </w:p>
    <w:p w14:paraId="4E324368" w14:textId="77777777" w:rsidR="00C26DEC" w:rsidRPr="00C26DEC" w:rsidRDefault="00C26DEC" w:rsidP="00C26DEC">
      <w:pPr>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br w:type="page"/>
      </w:r>
    </w:p>
    <w:p w14:paraId="7950BDED" w14:textId="77777777" w:rsidR="00C26DEC" w:rsidRPr="00C26DEC" w:rsidRDefault="00C26DEC" w:rsidP="00C26DEC">
      <w:pPr>
        <w:spacing w:after="0" w:line="240" w:lineRule="auto"/>
        <w:jc w:val="center"/>
        <w:rPr>
          <w:rFonts w:ascii="Calibri" w:eastAsia="Times New Roman" w:hAnsi="Calibri" w:cs="Calibri"/>
          <w:sz w:val="28"/>
          <w:szCs w:val="28"/>
          <w:lang w:eastAsia="pl-PL"/>
        </w:rPr>
      </w:pPr>
      <w:r w:rsidRPr="00C26DEC">
        <w:rPr>
          <w:rFonts w:ascii="Calibri" w:eastAsia="Times New Roman" w:hAnsi="Calibri" w:cs="Calibri"/>
          <w:sz w:val="28"/>
          <w:szCs w:val="28"/>
          <w:lang w:eastAsia="pl-PL"/>
        </w:rPr>
        <w:lastRenderedPageBreak/>
        <w:t>Pouczenie</w:t>
      </w:r>
    </w:p>
    <w:p w14:paraId="29932270" w14:textId="77777777" w:rsidR="00C26DEC" w:rsidRPr="00C26DEC" w:rsidRDefault="00C26DEC" w:rsidP="00A568A2">
      <w:pPr>
        <w:numPr>
          <w:ilvl w:val="0"/>
          <w:numId w:val="4"/>
        </w:numPr>
        <w:tabs>
          <w:tab w:val="left" w:pos="284"/>
        </w:tabs>
        <w:spacing w:after="0" w:line="240" w:lineRule="auto"/>
        <w:ind w:left="284" w:hanging="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Od niniejszej decyzji służy Stronie prawo wniesienia odwołania do Samorządowego Kolegium Odwoławczego w Poznaniu, za moim pośrednictwem, w terminie 14 dni od dnia doręczenia. </w:t>
      </w:r>
    </w:p>
    <w:p w14:paraId="0C9CE78D" w14:textId="77777777" w:rsidR="00C26DEC" w:rsidRPr="00C26DEC" w:rsidRDefault="00C26DEC" w:rsidP="00A568A2">
      <w:pPr>
        <w:tabs>
          <w:tab w:val="left" w:pos="284"/>
        </w:tabs>
        <w:spacing w:after="0" w:line="240" w:lineRule="auto"/>
        <w:ind w:left="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Przed upływem terminu do wniesienia odwołania Strona może, zgodnie z art. 127a § 1 K.p.a., zrzec się prawa do wniesienia odwołania wobec organu administracji publicznej, który wydał decyzję. Z dniem doręczenia organowi administracji publicznej oświadczenia o zrzeczeniu się prawa do wniesienia odwołania przez ostatnią ze Stron postępowania, decyzja staje się ostateczna i prawomocna.</w:t>
      </w:r>
    </w:p>
    <w:p w14:paraId="7A6BBCEC" w14:textId="77777777" w:rsidR="00C26DEC" w:rsidRPr="00C26DEC" w:rsidRDefault="00C26DEC" w:rsidP="00A568A2">
      <w:pPr>
        <w:numPr>
          <w:ilvl w:val="0"/>
          <w:numId w:val="4"/>
        </w:numPr>
        <w:tabs>
          <w:tab w:val="left" w:pos="284"/>
        </w:tabs>
        <w:spacing w:after="0" w:line="240" w:lineRule="auto"/>
        <w:ind w:left="284" w:hanging="284"/>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Decyzję o środowiskowych uwarunkowaniach dołącza się do wniosku o wydanie decyzji, o których mowa w art. 72 ust. 1 u.o.o.ś. oraz zgłoszenia, o którym mowa w art. 72 ust. 1a u.o.o.ś. Złożenie wniosku lub dokonanie zgłoszenia powinno nastąpić w terminie 6 lat od dnia, w którym decyzja o środowiskowych uwarunkowaniach stała się ostateczna. Złożenie wniosku lub dokonanie zgłoszenia może nastąpić w terminie 10 lat od dnia, w którym decyzja o środowiskowych uwarunkowaniach stała się ostateczna, o ile strona, która złożyła wniosek o wydanie decyzji o środowiskowych uwarunkowaniach lub podmiot, na który została przeniesiona ta decyzja, otrzymali przed upływem 6 lat od dnia, w którym decyzja o środowiskowych uwarunkowaniach stała się ostateczna, od Burmistrza Śremu stanowisko, że aktualne są warunki realizacji przedsięwzięcia określone w decyzji o środowiskowych uwarunkowaniach. Zajęcie stanowiska, w drodze postanowienia, następuje na wniosek uwzględniający informacje na temat stanu środowiska i możliwości realizacji warunków wynikających z decyzji o środowiskowych uwarunkowaniach, złożony nie wcześniej niż po upływie 5 lat od dnia, w którym decyzja o środowiskowych uwarunkowaniach stała się ostateczna.</w:t>
      </w:r>
    </w:p>
    <w:p w14:paraId="123BAC7D" w14:textId="77777777" w:rsidR="00C26DEC" w:rsidRPr="00C26DEC" w:rsidRDefault="00C26DEC" w:rsidP="00A568A2">
      <w:pPr>
        <w:numPr>
          <w:ilvl w:val="0"/>
          <w:numId w:val="4"/>
        </w:numPr>
        <w:tabs>
          <w:tab w:val="left" w:pos="284"/>
        </w:tabs>
        <w:spacing w:after="0" w:line="240" w:lineRule="auto"/>
        <w:ind w:left="709" w:hanging="720"/>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Decyzja o środowiskowych uwarunkowaniach wiąże organy: </w:t>
      </w:r>
    </w:p>
    <w:p w14:paraId="1654E98A" w14:textId="77777777" w:rsidR="00C26DEC" w:rsidRPr="00C26DEC" w:rsidRDefault="00C26DEC" w:rsidP="00A568A2">
      <w:pPr>
        <w:numPr>
          <w:ilvl w:val="0"/>
          <w:numId w:val="3"/>
        </w:numPr>
        <w:tabs>
          <w:tab w:val="left" w:pos="709"/>
        </w:tabs>
        <w:spacing w:after="0" w:line="240" w:lineRule="auto"/>
        <w:ind w:left="567" w:hanging="283"/>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wydające decyzje określające warunki korzystania ze środowiska w zakresie, w jakim ma być uwzględniona przy wydawaniu tych decyzji;</w:t>
      </w:r>
    </w:p>
    <w:p w14:paraId="52901A77" w14:textId="77777777" w:rsidR="00C26DEC" w:rsidRPr="00C26DEC" w:rsidRDefault="00C26DEC" w:rsidP="00A568A2">
      <w:pPr>
        <w:numPr>
          <w:ilvl w:val="0"/>
          <w:numId w:val="3"/>
        </w:numPr>
        <w:tabs>
          <w:tab w:val="left" w:pos="567"/>
        </w:tabs>
        <w:spacing w:after="0" w:line="240" w:lineRule="auto"/>
        <w:ind w:left="426" w:hanging="142"/>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wydające decyzje, o których mowa w art. 72 ust. 1 u.o.o.ś.; </w:t>
      </w:r>
    </w:p>
    <w:p w14:paraId="7D541E12" w14:textId="77777777" w:rsidR="00C26DEC" w:rsidRPr="00C26DEC" w:rsidRDefault="00C26DEC" w:rsidP="00A568A2">
      <w:pPr>
        <w:numPr>
          <w:ilvl w:val="0"/>
          <w:numId w:val="3"/>
        </w:numPr>
        <w:tabs>
          <w:tab w:val="left" w:pos="567"/>
        </w:tabs>
        <w:spacing w:after="120" w:line="240" w:lineRule="auto"/>
        <w:ind w:left="426" w:hanging="142"/>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przyjmujące zgłoszenia, o których mowa w art. 72 ust. 1a u.o.o.ś.</w:t>
      </w:r>
    </w:p>
    <w:p w14:paraId="1F128663" w14:textId="5DF39FDF" w:rsidR="00C26DEC" w:rsidRPr="00C26DEC" w:rsidRDefault="00C26DEC" w:rsidP="00C26DEC">
      <w:pPr>
        <w:spacing w:after="0" w:line="240" w:lineRule="auto"/>
        <w:ind w:left="3540"/>
        <w:jc w:val="center"/>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z up. BURMISTRZA</w:t>
      </w:r>
    </w:p>
    <w:p w14:paraId="24BA4288" w14:textId="77777777" w:rsidR="00C26DEC" w:rsidRPr="00C26DEC" w:rsidRDefault="00C26DEC" w:rsidP="00C26DEC">
      <w:pPr>
        <w:spacing w:after="0" w:line="240" w:lineRule="auto"/>
        <w:ind w:left="3540"/>
        <w:jc w:val="center"/>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Katarzyna Bednarowicz</w:t>
      </w:r>
    </w:p>
    <w:p w14:paraId="18972896" w14:textId="1E4E3EE0" w:rsidR="00C26DEC" w:rsidRPr="00C26DEC" w:rsidRDefault="00C26DEC" w:rsidP="00C26DEC">
      <w:pPr>
        <w:spacing w:after="0" w:line="240" w:lineRule="auto"/>
        <w:ind w:left="3540"/>
        <w:jc w:val="center"/>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naczelnik Pionu </w:t>
      </w:r>
      <w:r w:rsidR="00A568A2" w:rsidRPr="00C26DEC">
        <w:rPr>
          <w:rFonts w:ascii="Calibri" w:eastAsia="Times New Roman" w:hAnsi="Calibri" w:cs="Calibri"/>
          <w:sz w:val="28"/>
          <w:szCs w:val="28"/>
          <w:lang w:eastAsia="pl-PL"/>
        </w:rPr>
        <w:t>Gospodarowania</w:t>
      </w:r>
    </w:p>
    <w:p w14:paraId="79FCB969" w14:textId="77777777" w:rsidR="00C26DEC" w:rsidRPr="00C26DEC" w:rsidRDefault="00C26DEC" w:rsidP="00C26DEC">
      <w:pPr>
        <w:spacing w:after="0" w:line="240" w:lineRule="auto"/>
        <w:ind w:left="3540"/>
        <w:jc w:val="center"/>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Przestrzenią i środowiskiem</w:t>
      </w:r>
    </w:p>
    <w:p w14:paraId="29EA0323" w14:textId="77777777" w:rsidR="00A568A2" w:rsidRDefault="00A568A2">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p w14:paraId="1C468B91" w14:textId="3ACEC861" w:rsidR="00C26DEC" w:rsidRPr="00C26DEC" w:rsidRDefault="00C26DEC" w:rsidP="00C26DEC">
      <w:pPr>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lastRenderedPageBreak/>
        <w:t>Załączniki:</w:t>
      </w:r>
    </w:p>
    <w:p w14:paraId="5964F2D8" w14:textId="77777777" w:rsidR="00C26DEC" w:rsidRPr="00C26DEC" w:rsidRDefault="00C26DEC" w:rsidP="00C26DEC">
      <w:pPr>
        <w:spacing w:after="12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1. Charakterystyka przedsięwzięcia.</w:t>
      </w:r>
    </w:p>
    <w:p w14:paraId="10C53904" w14:textId="77777777" w:rsidR="00C26DEC" w:rsidRPr="00C26DEC" w:rsidRDefault="00C26DEC" w:rsidP="00C26DEC">
      <w:pPr>
        <w:spacing w:after="0" w:line="240" w:lineRule="auto"/>
        <w:rPr>
          <w:rFonts w:ascii="Calibri" w:eastAsia="Times New Roman" w:hAnsi="Calibri" w:cs="Calibri"/>
          <w:sz w:val="28"/>
          <w:szCs w:val="28"/>
          <w:lang w:eastAsia="pl-PL"/>
        </w:rPr>
      </w:pPr>
    </w:p>
    <w:p w14:paraId="7928FB2F" w14:textId="77777777" w:rsidR="00C26DEC" w:rsidRPr="00C26DEC" w:rsidRDefault="00C26DEC" w:rsidP="00C26DEC">
      <w:pPr>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Sprawę prowadzi:</w:t>
      </w:r>
    </w:p>
    <w:p w14:paraId="343924C6" w14:textId="77777777" w:rsidR="00C26DEC" w:rsidRPr="00C26DEC" w:rsidRDefault="00C26DEC" w:rsidP="00C26DEC">
      <w:pPr>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Małgorzata Borowska</w:t>
      </w:r>
    </w:p>
    <w:p w14:paraId="0F448C96" w14:textId="77777777" w:rsidR="00C26DEC" w:rsidRPr="00C26DEC" w:rsidRDefault="00C26DEC" w:rsidP="00C26DEC">
      <w:pPr>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inspektor</w:t>
      </w:r>
    </w:p>
    <w:p w14:paraId="53D20300" w14:textId="77777777" w:rsidR="00C26DEC" w:rsidRPr="00C26DEC" w:rsidRDefault="00C26DEC" w:rsidP="00C26DEC">
      <w:pPr>
        <w:spacing w:after="12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tel. 61 28 47 140</w:t>
      </w:r>
    </w:p>
    <w:p w14:paraId="3AC9ECCB" w14:textId="77777777" w:rsidR="00C26DEC" w:rsidRPr="00C26DEC" w:rsidRDefault="00C26DEC" w:rsidP="00C26DEC">
      <w:pPr>
        <w:spacing w:after="0" w:line="240" w:lineRule="auto"/>
        <w:rPr>
          <w:rFonts w:ascii="Calibri" w:eastAsia="Times New Roman" w:hAnsi="Calibri" w:cs="Calibri"/>
          <w:kern w:val="2"/>
          <w:sz w:val="28"/>
          <w:szCs w:val="28"/>
          <w:lang w:eastAsia="pl-PL"/>
          <w14:ligatures w14:val="standardContextual"/>
        </w:rPr>
      </w:pPr>
    </w:p>
    <w:p w14:paraId="6F8E00C2" w14:textId="77777777" w:rsidR="00C26DEC" w:rsidRPr="00C26DEC" w:rsidRDefault="00C26DEC" w:rsidP="00C26DEC">
      <w:pPr>
        <w:spacing w:after="0" w:line="240" w:lineRule="auto"/>
        <w:rPr>
          <w:rFonts w:ascii="Calibri" w:eastAsia="Times New Roman" w:hAnsi="Calibri" w:cs="Calibri"/>
          <w:kern w:val="2"/>
          <w:sz w:val="28"/>
          <w:szCs w:val="28"/>
          <w:lang w:eastAsia="pl-PL"/>
          <w14:ligatures w14:val="standardContextual"/>
        </w:rPr>
      </w:pPr>
      <w:r w:rsidRPr="00C26DEC">
        <w:rPr>
          <w:rFonts w:ascii="Calibri" w:eastAsia="Times New Roman" w:hAnsi="Calibri" w:cs="Calibri"/>
          <w:kern w:val="2"/>
          <w:sz w:val="28"/>
          <w:szCs w:val="28"/>
          <w:lang w:eastAsia="pl-PL"/>
          <w14:ligatures w14:val="standardContextual"/>
        </w:rPr>
        <w:t>Otrzymują:</w:t>
      </w:r>
    </w:p>
    <w:p w14:paraId="35C00A96" w14:textId="77777777" w:rsidR="00C26DEC" w:rsidRPr="00C26DEC" w:rsidRDefault="00C26DEC" w:rsidP="00C26DEC">
      <w:pPr>
        <w:spacing w:after="0" w:line="240" w:lineRule="auto"/>
        <w:rPr>
          <w:rFonts w:ascii="Calibri" w:eastAsia="Times New Roman" w:hAnsi="Calibri" w:cs="Calibri"/>
          <w:kern w:val="2"/>
          <w:sz w:val="28"/>
          <w:szCs w:val="28"/>
          <w:lang w:eastAsia="pl-PL"/>
          <w14:ligatures w14:val="standardContextual"/>
        </w:rPr>
      </w:pPr>
      <w:r w:rsidRPr="00C26DEC">
        <w:rPr>
          <w:rFonts w:ascii="Calibri" w:eastAsia="Times New Roman" w:hAnsi="Calibri" w:cs="Calibri"/>
          <w:kern w:val="2"/>
          <w:sz w:val="28"/>
          <w:szCs w:val="28"/>
          <w:lang w:eastAsia="pl-PL"/>
          <w14:ligatures w14:val="standardContextual"/>
        </w:rPr>
        <w:t>I. Strony postępowania:</w:t>
      </w:r>
    </w:p>
    <w:p w14:paraId="2362FCED" w14:textId="77777777" w:rsidR="00C26DEC" w:rsidRPr="00C26DEC" w:rsidRDefault="00C26DEC" w:rsidP="00C26DEC">
      <w:pPr>
        <w:numPr>
          <w:ilvl w:val="0"/>
          <w:numId w:val="19"/>
        </w:numPr>
        <w:spacing w:after="120" w:line="240" w:lineRule="auto"/>
        <w:ind w:left="284" w:hanging="284"/>
        <w:contextualSpacing/>
        <w:jc w:val="both"/>
        <w:rPr>
          <w:rFonts w:ascii="Calibri" w:eastAsia="Calibri" w:hAnsi="Calibri" w:cs="Calibri"/>
          <w:kern w:val="2"/>
          <w:sz w:val="28"/>
          <w:szCs w:val="28"/>
          <w14:ligatures w14:val="standardContextual"/>
        </w:rPr>
      </w:pPr>
      <w:r w:rsidRPr="00C26DEC">
        <w:rPr>
          <w:rFonts w:ascii="Calibri" w:eastAsia="Calibri" w:hAnsi="Calibri" w:cs="Calibri"/>
          <w:kern w:val="2"/>
          <w:sz w:val="28"/>
          <w:szCs w:val="28"/>
          <w14:ligatures w14:val="standardContextual"/>
        </w:rPr>
        <w:t>PCWO Energy PV 3250 Sp. z o.o., ul. Świętego Leonarda 9, 25-311 Kielce</w:t>
      </w:r>
    </w:p>
    <w:p w14:paraId="278DE12C" w14:textId="77777777" w:rsidR="00C26DEC" w:rsidRPr="00C26DEC" w:rsidRDefault="00C26DEC" w:rsidP="00C26DEC">
      <w:pPr>
        <w:spacing w:after="0" w:line="240" w:lineRule="auto"/>
        <w:ind w:left="284"/>
        <w:contextualSpacing/>
        <w:rPr>
          <w:rFonts w:ascii="Calibri" w:eastAsia="Calibri" w:hAnsi="Calibri" w:cs="Calibri"/>
          <w:kern w:val="2"/>
          <w:sz w:val="28"/>
          <w:szCs w:val="28"/>
          <w14:ligatures w14:val="standardContextual"/>
        </w:rPr>
      </w:pPr>
      <w:r w:rsidRPr="00C26DEC">
        <w:rPr>
          <w:rFonts w:ascii="Calibri" w:eastAsia="Calibri" w:hAnsi="Calibri" w:cs="Calibri"/>
          <w:kern w:val="2"/>
          <w:sz w:val="28"/>
          <w:szCs w:val="28"/>
          <w14:ligatures w14:val="standardContextual"/>
        </w:rPr>
        <w:t>adres do korespondencji: ul. Świętego Leonarda 7, 25-311 Kielce</w:t>
      </w:r>
    </w:p>
    <w:p w14:paraId="09041CFF" w14:textId="77777777" w:rsidR="00C26DEC" w:rsidRPr="00C26DEC" w:rsidRDefault="00C26DEC" w:rsidP="00C26DEC">
      <w:pPr>
        <w:numPr>
          <w:ilvl w:val="0"/>
          <w:numId w:val="19"/>
        </w:numPr>
        <w:spacing w:after="120" w:line="240" w:lineRule="auto"/>
        <w:ind w:left="284" w:hanging="284"/>
        <w:contextualSpacing/>
        <w:jc w:val="both"/>
        <w:rPr>
          <w:rFonts w:ascii="Calibri" w:eastAsia="Calibri" w:hAnsi="Calibri" w:cs="Calibri"/>
          <w:kern w:val="2"/>
          <w:sz w:val="28"/>
          <w:szCs w:val="28"/>
          <w14:ligatures w14:val="standardContextual"/>
        </w:rPr>
      </w:pPr>
      <w:r w:rsidRPr="00C26DEC">
        <w:rPr>
          <w:rFonts w:ascii="Calibri" w:eastAsia="Times New Roman" w:hAnsi="Calibri" w:cs="Calibri"/>
          <w:bCs/>
          <w:kern w:val="2"/>
          <w:sz w:val="28"/>
          <w:szCs w:val="28"/>
          <w:lang w:eastAsia="pl-PL"/>
          <w14:ligatures w14:val="standardContextual"/>
        </w:rPr>
        <w:t xml:space="preserve">Pozostałe strony postępowania przez obwieszczenie, zgodnie z art. 74 ust. 3 </w:t>
      </w:r>
      <w:r w:rsidRPr="00C26DEC">
        <w:rPr>
          <w:rFonts w:ascii="Calibri" w:eastAsia="Times New Roman" w:hAnsi="Calibri" w:cs="Aptos"/>
          <w:bCs/>
          <w:kern w:val="2"/>
          <w:sz w:val="28"/>
          <w:szCs w:val="28"/>
          <w:lang w:eastAsia="pl-PL"/>
          <w14:ligatures w14:val="standardContextual"/>
        </w:rPr>
        <w:t xml:space="preserve">u.o.o.ś. </w:t>
      </w:r>
    </w:p>
    <w:p w14:paraId="7DD9051A" w14:textId="77777777" w:rsidR="00C26DEC" w:rsidRPr="00C26DEC" w:rsidRDefault="00C26DEC" w:rsidP="00C26DEC">
      <w:pPr>
        <w:spacing w:after="120" w:line="240" w:lineRule="auto"/>
        <w:rPr>
          <w:rFonts w:ascii="Calibri" w:eastAsia="Times New Roman" w:hAnsi="Calibri" w:cs="Calibri"/>
          <w:bCs/>
          <w:kern w:val="2"/>
          <w:sz w:val="28"/>
          <w:szCs w:val="28"/>
          <w:lang w:eastAsia="pl-PL"/>
          <w14:ligatures w14:val="standardContextual"/>
        </w:rPr>
      </w:pPr>
      <w:r w:rsidRPr="00C26DEC">
        <w:rPr>
          <w:rFonts w:ascii="Calibri" w:eastAsia="Times New Roman" w:hAnsi="Calibri" w:cs="Calibri"/>
          <w:bCs/>
          <w:kern w:val="2"/>
          <w:sz w:val="28"/>
          <w:szCs w:val="28"/>
          <w:lang w:eastAsia="pl-PL"/>
          <w14:ligatures w14:val="standardContextual"/>
        </w:rPr>
        <w:t>II. aa</w:t>
      </w:r>
    </w:p>
    <w:p w14:paraId="09A5A591" w14:textId="77777777" w:rsidR="00C26DEC" w:rsidRPr="00C26DEC" w:rsidRDefault="00C26DEC" w:rsidP="00C26DEC">
      <w:pPr>
        <w:spacing w:after="0" w:line="240" w:lineRule="auto"/>
        <w:rPr>
          <w:rFonts w:ascii="Calibri" w:eastAsia="Times New Roman" w:hAnsi="Calibri" w:cs="Calibri"/>
          <w:sz w:val="28"/>
          <w:szCs w:val="28"/>
          <w:lang w:eastAsia="pl-PL"/>
        </w:rPr>
      </w:pPr>
    </w:p>
    <w:p w14:paraId="32CD6D8A" w14:textId="77777777" w:rsidR="00C26DEC" w:rsidRPr="00C26DEC" w:rsidRDefault="00C26DEC" w:rsidP="00C26DEC">
      <w:pPr>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Do wiadomości:</w:t>
      </w:r>
    </w:p>
    <w:p w14:paraId="0DF01403" w14:textId="77777777" w:rsidR="00C26DEC" w:rsidRPr="00C26DEC" w:rsidRDefault="00C26DEC" w:rsidP="00C26DEC">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Regionalny Dyrektor Ochrony Środowiska w Poznaniu (ePUAP)</w:t>
      </w:r>
    </w:p>
    <w:p w14:paraId="4E3C7880" w14:textId="77777777" w:rsidR="00C26DEC" w:rsidRPr="00C26DEC" w:rsidRDefault="00C26DEC" w:rsidP="00C26DEC">
      <w:pPr>
        <w:numPr>
          <w:ilvl w:val="0"/>
          <w:numId w:val="2"/>
        </w:numPr>
        <w:tabs>
          <w:tab w:val="left" w:pos="300"/>
        </w:tabs>
        <w:spacing w:after="0" w:line="240" w:lineRule="auto"/>
        <w:ind w:left="284" w:hanging="284"/>
        <w:jc w:val="both"/>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Państwowy Powiatowy Inspektor Sanitarny w Śremie (ePUAP)</w:t>
      </w:r>
    </w:p>
    <w:p w14:paraId="00E7B64C" w14:textId="77777777" w:rsidR="00C26DEC" w:rsidRPr="00C26DEC" w:rsidRDefault="00C26DEC" w:rsidP="00C26DEC">
      <w:pPr>
        <w:numPr>
          <w:ilvl w:val="0"/>
          <w:numId w:val="2"/>
        </w:numPr>
        <w:tabs>
          <w:tab w:val="left" w:pos="300"/>
        </w:tabs>
        <w:spacing w:after="0" w:line="240" w:lineRule="auto"/>
        <w:ind w:left="284" w:hanging="284"/>
        <w:jc w:val="both"/>
        <w:rPr>
          <w:rFonts w:ascii="Calibri" w:eastAsia="Times New Roman" w:hAnsi="Calibri" w:cs="Calibri"/>
          <w:bCs/>
          <w:sz w:val="28"/>
          <w:szCs w:val="28"/>
          <w:lang w:eastAsia="pl-PL"/>
        </w:rPr>
      </w:pPr>
      <w:r w:rsidRPr="00C26DEC">
        <w:rPr>
          <w:rFonts w:ascii="Calibri" w:eastAsia="Times New Roman" w:hAnsi="Calibri" w:cs="Calibri"/>
          <w:bCs/>
          <w:sz w:val="28"/>
          <w:szCs w:val="28"/>
          <w:lang w:eastAsia="pl-PL"/>
        </w:rPr>
        <w:t>Wielkopolski Państwowy Wojewódzki Inspektor Sanitarny (ePUAP)</w:t>
      </w:r>
    </w:p>
    <w:p w14:paraId="54493562" w14:textId="77777777" w:rsidR="00C26DEC" w:rsidRPr="00C26DEC" w:rsidRDefault="00C26DEC" w:rsidP="00C26DEC">
      <w:pPr>
        <w:numPr>
          <w:ilvl w:val="0"/>
          <w:numId w:val="2"/>
        </w:numPr>
        <w:tabs>
          <w:tab w:val="left" w:pos="300"/>
        </w:tabs>
        <w:spacing w:after="120" w:line="240" w:lineRule="auto"/>
        <w:ind w:left="284" w:hanging="284"/>
        <w:jc w:val="both"/>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Dyrektor Zarządu Zlewni Państwowego Gospodarstwa Wodnego Wody Polskie w Poznaniu (ePUAP)</w:t>
      </w:r>
    </w:p>
    <w:p w14:paraId="1791DE27" w14:textId="77777777" w:rsidR="00C26DEC" w:rsidRPr="00C26DEC" w:rsidRDefault="00C26DEC" w:rsidP="00C26DEC">
      <w:pPr>
        <w:spacing w:after="0" w:line="240" w:lineRule="auto"/>
        <w:rPr>
          <w:rFonts w:ascii="Calibri" w:eastAsia="Times New Roman" w:hAnsi="Calibri" w:cs="Calibri"/>
          <w:sz w:val="28"/>
          <w:szCs w:val="28"/>
          <w:lang w:eastAsia="pl-PL"/>
        </w:rPr>
      </w:pPr>
    </w:p>
    <w:p w14:paraId="52042C2C" w14:textId="77777777" w:rsidR="00C26DEC" w:rsidRPr="00C26DEC" w:rsidRDefault="00C26DEC" w:rsidP="00C26DEC">
      <w:pPr>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 xml:space="preserve">Uiszczono opłatę skarbową w kwocie 205,00 zł </w:t>
      </w:r>
    </w:p>
    <w:p w14:paraId="051F820F" w14:textId="77777777" w:rsidR="00C26DEC" w:rsidRPr="00C26DEC" w:rsidRDefault="00C26DEC" w:rsidP="00C26DEC">
      <w:pPr>
        <w:tabs>
          <w:tab w:val="left" w:pos="990"/>
        </w:tabs>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data wpłaty 31.07.2024 r.</w:t>
      </w:r>
    </w:p>
    <w:p w14:paraId="24CD2668" w14:textId="77777777" w:rsidR="00C26DEC" w:rsidRPr="00C26DEC" w:rsidRDefault="00C26DEC" w:rsidP="00C26DEC">
      <w:pPr>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nr rachunku bankowego Urzędu Miejskiego w Śremie</w:t>
      </w:r>
    </w:p>
    <w:p w14:paraId="6D473D05" w14:textId="77777777" w:rsidR="00C26DEC" w:rsidRPr="00C26DEC" w:rsidRDefault="00C26DEC" w:rsidP="00C26DEC">
      <w:pPr>
        <w:spacing w:after="0" w:line="240" w:lineRule="auto"/>
        <w:rPr>
          <w:rFonts w:ascii="Calibri" w:eastAsia="Times New Roman" w:hAnsi="Calibri" w:cs="Calibri"/>
          <w:sz w:val="28"/>
          <w:szCs w:val="28"/>
          <w:lang w:eastAsia="pl-PL"/>
        </w:rPr>
      </w:pPr>
      <w:r w:rsidRPr="00C26DEC">
        <w:rPr>
          <w:rFonts w:ascii="Calibri" w:eastAsia="Times New Roman" w:hAnsi="Calibri" w:cs="Calibri"/>
          <w:sz w:val="28"/>
          <w:szCs w:val="28"/>
          <w:lang w:eastAsia="pl-PL"/>
        </w:rPr>
        <w:t>57 9084 0003 2102 0013 0521 0013</w:t>
      </w:r>
    </w:p>
    <w:p w14:paraId="60FCCF77" w14:textId="77777777" w:rsidR="00C26DEC" w:rsidRPr="00C26DEC" w:rsidRDefault="00C26DEC" w:rsidP="00C26DEC">
      <w:pPr>
        <w:spacing w:after="0" w:line="240" w:lineRule="auto"/>
        <w:rPr>
          <w:rFonts w:ascii="Calibri" w:eastAsia="Times New Roman" w:hAnsi="Calibri" w:cs="Calibri"/>
          <w:sz w:val="28"/>
          <w:szCs w:val="28"/>
          <w:lang w:eastAsia="pl-PL"/>
        </w:rPr>
      </w:pPr>
    </w:p>
    <w:p w14:paraId="1806561B" w14:textId="29E3EC47" w:rsidR="00066A1E" w:rsidRDefault="00066A1E">
      <w:pPr>
        <w:rPr>
          <w:rFonts w:ascii="Calibri" w:eastAsia="Times New Roman" w:hAnsi="Calibri" w:cs="Calibri"/>
          <w:sz w:val="28"/>
          <w:szCs w:val="28"/>
          <w:lang w:eastAsia="pl-PL"/>
        </w:rPr>
      </w:pPr>
      <w:r>
        <w:rPr>
          <w:rFonts w:ascii="Calibri" w:eastAsia="Times New Roman" w:hAnsi="Calibri" w:cs="Calibri"/>
          <w:sz w:val="28"/>
          <w:szCs w:val="28"/>
          <w:lang w:eastAsia="pl-PL"/>
        </w:rPr>
        <w:br w:type="page"/>
      </w:r>
    </w:p>
    <w:tbl>
      <w:tblPr>
        <w:tblW w:w="0" w:type="auto"/>
        <w:tblLook w:val="04A0" w:firstRow="1" w:lastRow="0" w:firstColumn="1" w:lastColumn="0" w:noHBand="0" w:noVBand="1"/>
      </w:tblPr>
      <w:tblGrid>
        <w:gridCol w:w="4463"/>
        <w:gridCol w:w="4464"/>
      </w:tblGrid>
      <w:tr w:rsidR="00066A1E" w:rsidRPr="00066A1E" w14:paraId="6F264D17" w14:textId="77777777" w:rsidTr="00D7400E">
        <w:tc>
          <w:tcPr>
            <w:tcW w:w="4463" w:type="dxa"/>
            <w:shd w:val="clear" w:color="auto" w:fill="auto"/>
          </w:tcPr>
          <w:p w14:paraId="77987EB5" w14:textId="77777777" w:rsidR="00066A1E" w:rsidRPr="00066A1E" w:rsidRDefault="00066A1E" w:rsidP="00066A1E">
            <w:pPr>
              <w:spacing w:after="0" w:line="240" w:lineRule="auto"/>
              <w:ind w:right="1171"/>
              <w:jc w:val="center"/>
              <w:rPr>
                <w:rFonts w:ascii="Calibri" w:eastAsia="Times New Roman" w:hAnsi="Calibri" w:cs="Calibri"/>
                <w:bCs/>
                <w:sz w:val="28"/>
                <w:szCs w:val="28"/>
                <w:lang w:eastAsia="pl-PL"/>
              </w:rPr>
            </w:pPr>
            <w:r w:rsidRPr="00066A1E">
              <w:rPr>
                <w:rFonts w:ascii="Calibri" w:eastAsia="Times New Roman" w:hAnsi="Calibri" w:cs="Calibri"/>
                <w:bCs/>
                <w:sz w:val="28"/>
                <w:szCs w:val="28"/>
                <w:lang w:eastAsia="pl-PL"/>
              </w:rPr>
              <w:lastRenderedPageBreak/>
              <w:t>Burmistrz Śremu</w:t>
            </w:r>
          </w:p>
          <w:p w14:paraId="3041E50F" w14:textId="77777777" w:rsidR="00066A1E" w:rsidRPr="00066A1E" w:rsidRDefault="00066A1E" w:rsidP="00066A1E">
            <w:pPr>
              <w:spacing w:after="0" w:line="240" w:lineRule="auto"/>
              <w:ind w:right="1171"/>
              <w:jc w:val="center"/>
              <w:rPr>
                <w:rFonts w:ascii="Calibri" w:eastAsia="Times New Roman" w:hAnsi="Calibri" w:cs="Calibri"/>
                <w:bCs/>
                <w:sz w:val="28"/>
                <w:szCs w:val="28"/>
                <w:lang w:eastAsia="pl-PL"/>
              </w:rPr>
            </w:pPr>
            <w:r w:rsidRPr="00066A1E">
              <w:rPr>
                <w:rFonts w:ascii="Calibri" w:eastAsia="Times New Roman" w:hAnsi="Calibri" w:cs="Calibri"/>
                <w:bCs/>
                <w:sz w:val="28"/>
                <w:szCs w:val="28"/>
                <w:lang w:eastAsia="pl-PL"/>
              </w:rPr>
              <w:t>ul. Plac 20 Października 1</w:t>
            </w:r>
          </w:p>
          <w:p w14:paraId="6AFD3B4D" w14:textId="77777777" w:rsidR="00066A1E" w:rsidRPr="00066A1E" w:rsidRDefault="00066A1E" w:rsidP="00066A1E">
            <w:pPr>
              <w:spacing w:after="0" w:line="240" w:lineRule="auto"/>
              <w:ind w:right="1171"/>
              <w:jc w:val="center"/>
              <w:rPr>
                <w:rFonts w:ascii="Calibri" w:eastAsia="Times New Roman" w:hAnsi="Calibri" w:cs="Calibri"/>
                <w:bCs/>
                <w:sz w:val="28"/>
                <w:szCs w:val="28"/>
                <w:lang w:eastAsia="pl-PL"/>
              </w:rPr>
            </w:pPr>
            <w:r w:rsidRPr="00066A1E">
              <w:rPr>
                <w:rFonts w:ascii="Calibri" w:eastAsia="Times New Roman" w:hAnsi="Calibri" w:cs="Calibri"/>
                <w:bCs/>
                <w:sz w:val="28"/>
                <w:szCs w:val="28"/>
                <w:lang w:eastAsia="pl-PL"/>
              </w:rPr>
              <w:t>63-100 Śrem</w:t>
            </w:r>
          </w:p>
        </w:tc>
        <w:tc>
          <w:tcPr>
            <w:tcW w:w="4464" w:type="dxa"/>
            <w:shd w:val="clear" w:color="auto" w:fill="auto"/>
          </w:tcPr>
          <w:p w14:paraId="0FD8E46C" w14:textId="77777777" w:rsidR="00066A1E" w:rsidRPr="00066A1E" w:rsidRDefault="00066A1E" w:rsidP="00066A1E">
            <w:pPr>
              <w:spacing w:after="0" w:line="240" w:lineRule="auto"/>
              <w:rPr>
                <w:rFonts w:ascii="Calibri" w:eastAsia="Times New Roman" w:hAnsi="Calibri" w:cs="Calibri"/>
                <w:bCs/>
                <w:sz w:val="28"/>
                <w:szCs w:val="28"/>
                <w:lang w:eastAsia="pl-PL"/>
              </w:rPr>
            </w:pPr>
            <w:r w:rsidRPr="00066A1E">
              <w:rPr>
                <w:rFonts w:ascii="Calibri" w:eastAsia="Times New Roman" w:hAnsi="Calibri" w:cs="Calibri"/>
                <w:bCs/>
                <w:sz w:val="28"/>
                <w:szCs w:val="28"/>
                <w:lang w:eastAsia="pl-PL"/>
              </w:rPr>
              <w:t>Załącznik nr 1</w:t>
            </w:r>
          </w:p>
          <w:p w14:paraId="0EBFC8FF" w14:textId="77777777" w:rsidR="00066A1E" w:rsidRPr="00066A1E" w:rsidRDefault="00066A1E" w:rsidP="00066A1E">
            <w:pPr>
              <w:spacing w:after="0" w:line="240" w:lineRule="auto"/>
              <w:rPr>
                <w:rFonts w:ascii="Calibri" w:eastAsia="Times New Roman" w:hAnsi="Calibri" w:cs="Calibri"/>
                <w:bCs/>
                <w:sz w:val="28"/>
                <w:szCs w:val="28"/>
                <w:lang w:eastAsia="pl-PL"/>
              </w:rPr>
            </w:pPr>
            <w:r w:rsidRPr="00066A1E">
              <w:rPr>
                <w:rFonts w:ascii="Calibri" w:eastAsia="Times New Roman" w:hAnsi="Calibri" w:cs="Calibri"/>
                <w:bCs/>
                <w:sz w:val="28"/>
                <w:szCs w:val="28"/>
                <w:lang w:eastAsia="pl-PL"/>
              </w:rPr>
              <w:t>do decyzji znak PPSOŚ.6220.16.2024.BM</w:t>
            </w:r>
          </w:p>
          <w:p w14:paraId="6E8E963B" w14:textId="77777777" w:rsidR="00066A1E" w:rsidRPr="00066A1E" w:rsidRDefault="00066A1E" w:rsidP="00066A1E">
            <w:pPr>
              <w:spacing w:after="0" w:line="240" w:lineRule="auto"/>
              <w:rPr>
                <w:rFonts w:ascii="Calibri" w:eastAsia="Times New Roman" w:hAnsi="Calibri" w:cs="Calibri"/>
                <w:bCs/>
                <w:sz w:val="28"/>
                <w:szCs w:val="28"/>
                <w:lang w:eastAsia="pl-PL"/>
              </w:rPr>
            </w:pPr>
            <w:r w:rsidRPr="00066A1E">
              <w:rPr>
                <w:rFonts w:ascii="Calibri" w:eastAsia="Times New Roman" w:hAnsi="Calibri" w:cs="Calibri"/>
                <w:bCs/>
                <w:sz w:val="28"/>
                <w:szCs w:val="28"/>
                <w:lang w:eastAsia="pl-PL"/>
              </w:rPr>
              <w:t>z 10 grudnia 2024 r.</w:t>
            </w:r>
          </w:p>
        </w:tc>
      </w:tr>
    </w:tbl>
    <w:p w14:paraId="2B686EB5" w14:textId="77777777" w:rsidR="00066A1E" w:rsidRPr="00066A1E" w:rsidRDefault="00066A1E" w:rsidP="00066A1E">
      <w:pPr>
        <w:spacing w:after="0" w:line="240" w:lineRule="auto"/>
        <w:jc w:val="both"/>
        <w:rPr>
          <w:rFonts w:ascii="Calibri" w:eastAsia="Times New Roman" w:hAnsi="Calibri" w:cs="Calibri"/>
          <w:sz w:val="28"/>
          <w:szCs w:val="28"/>
          <w:lang w:eastAsia="pl-PL"/>
        </w:rPr>
      </w:pPr>
    </w:p>
    <w:p w14:paraId="606BD943" w14:textId="77777777" w:rsidR="00066A1E" w:rsidRPr="00066A1E" w:rsidRDefault="00066A1E" w:rsidP="00066A1E">
      <w:pPr>
        <w:spacing w:after="120" w:line="240" w:lineRule="auto"/>
        <w:rPr>
          <w:rFonts w:ascii="Calibri" w:eastAsia="Times New Roman" w:hAnsi="Calibri" w:cs="Calibri"/>
          <w:bCs/>
          <w:sz w:val="28"/>
          <w:szCs w:val="28"/>
          <w:lang w:eastAsia="pl-PL"/>
        </w:rPr>
      </w:pPr>
      <w:r w:rsidRPr="00066A1E">
        <w:rPr>
          <w:rFonts w:ascii="Calibri" w:eastAsia="Times New Roman" w:hAnsi="Calibri" w:cs="Calibri"/>
          <w:sz w:val="28"/>
          <w:szCs w:val="28"/>
          <w:lang w:eastAsia="pl-PL"/>
        </w:rPr>
        <w:t>Charakterystyka przedsięwzięcia</w:t>
      </w:r>
      <w:r w:rsidRPr="00066A1E">
        <w:rPr>
          <w:rFonts w:ascii="Calibri" w:eastAsia="Times New Roman" w:hAnsi="Calibri" w:cs="Calibri"/>
          <w:bCs/>
          <w:sz w:val="28"/>
          <w:szCs w:val="28"/>
          <w:lang w:eastAsia="pl-PL"/>
        </w:rPr>
        <w:t xml:space="preserve">: </w:t>
      </w:r>
      <w:r w:rsidRPr="00066A1E">
        <w:rPr>
          <w:rFonts w:ascii="Calibri" w:eastAsia="Calibri" w:hAnsi="Calibri" w:cs="Calibri"/>
          <w:bCs/>
          <w:sz w:val="28"/>
          <w:szCs w:val="28"/>
        </w:rPr>
        <w:t>budowa farmy fotowoltaicznej o mocy nie większej niż 1 MW.</w:t>
      </w:r>
    </w:p>
    <w:p w14:paraId="247AD26F" w14:textId="77777777" w:rsidR="00066A1E" w:rsidRPr="00066A1E" w:rsidRDefault="00066A1E" w:rsidP="00066A1E">
      <w:pPr>
        <w:spacing w:after="120" w:line="240" w:lineRule="auto"/>
        <w:ind w:firstLine="708"/>
        <w:rPr>
          <w:rFonts w:ascii="Calibri" w:eastAsia="SimSun" w:hAnsi="Calibri" w:cs="Calibri"/>
          <w:color w:val="000000"/>
          <w:kern w:val="1"/>
          <w:sz w:val="28"/>
          <w:szCs w:val="28"/>
          <w:lang w:eastAsia="hi-IN" w:bidi="hi-IN"/>
        </w:rPr>
      </w:pPr>
      <w:r w:rsidRPr="00066A1E">
        <w:rPr>
          <w:rFonts w:ascii="Calibri" w:eastAsia="Times New Roman" w:hAnsi="Calibri" w:cs="Calibri"/>
          <w:sz w:val="28"/>
          <w:szCs w:val="28"/>
          <w:lang w:eastAsia="pl-PL"/>
        </w:rPr>
        <w:t xml:space="preserve">Planowane przedsięwzięcie polegać będzie na budowie farmy fotowoltaicznej o mocy nie większej niż 1 MW na działce o numerze ewidencyjnym 257, obręb Błociszewo. Przedmiotowa działka ma powierzchnię 2,41 ha. Farma fotowoltaiczna wraz z towarzyszącą infrastrukturą zajmować będzie łączną powierzchnię ca 2,06 ha. Zabudowa systemami fotowoltaicznymi zajmować będzie powierzchnię nie większą niż 1,7 ha. </w:t>
      </w:r>
      <w:r w:rsidRPr="00066A1E">
        <w:rPr>
          <w:rFonts w:ascii="Calibri" w:eastAsia="SimSun" w:hAnsi="Calibri" w:cs="Calibri"/>
          <w:color w:val="000000"/>
          <w:kern w:val="1"/>
          <w:sz w:val="28"/>
          <w:szCs w:val="28"/>
          <w:lang w:eastAsia="hi-IN" w:bidi="hi-IN"/>
        </w:rPr>
        <w:t>Teren planowanego przedsięwzięcia nie jest objęty miejscowym planem zagospodarowania przestrzennego.</w:t>
      </w:r>
    </w:p>
    <w:p w14:paraId="16E79FCE" w14:textId="77777777" w:rsidR="00066A1E" w:rsidRPr="00066A1E" w:rsidRDefault="00066A1E" w:rsidP="00066A1E">
      <w:pPr>
        <w:spacing w:after="120" w:line="240" w:lineRule="auto"/>
        <w:ind w:firstLine="708"/>
        <w:rPr>
          <w:rFonts w:ascii="Calibri" w:eastAsia="Times New Roman" w:hAnsi="Calibri" w:cs="Calibri"/>
          <w:sz w:val="28"/>
          <w:szCs w:val="28"/>
          <w:lang w:eastAsia="pl-PL"/>
        </w:rPr>
      </w:pPr>
      <w:r w:rsidRPr="00066A1E">
        <w:rPr>
          <w:rFonts w:ascii="Calibri" w:eastAsia="Times New Roman" w:hAnsi="Calibri" w:cs="Calibri"/>
          <w:sz w:val="28"/>
          <w:szCs w:val="28"/>
          <w:lang w:eastAsia="pl-PL"/>
        </w:rPr>
        <w:t>W ramach realizacji przedsięwzięcia planowany jest montaż nie więcej niż 4 000 sztuk paneli fotowoltaicznych o mocy pojedynczego modułu nie mniejszej niż 350 Wp i nie większej niż 700 Wp</w:t>
      </w:r>
      <w:r w:rsidRPr="00066A1E">
        <w:rPr>
          <w:rFonts w:ascii="Calibri" w:eastAsia="Calibri" w:hAnsi="Calibri" w:cs="Calibri"/>
          <w:sz w:val="28"/>
          <w:szCs w:val="28"/>
        </w:rPr>
        <w:t xml:space="preserve">. </w:t>
      </w:r>
      <w:r w:rsidRPr="00066A1E">
        <w:rPr>
          <w:rFonts w:ascii="Calibri" w:eastAsia="Times New Roman" w:hAnsi="Calibri" w:cs="Calibri"/>
          <w:sz w:val="28"/>
          <w:szCs w:val="28"/>
          <w:lang w:eastAsia="pl-PL"/>
        </w:rPr>
        <w:t>Panele fotowoltaiczne zostaną zamontowane w kierunku południowym na konstrukcji wsporczej, pod kątem nie mniejszym niż 20</w:t>
      </w:r>
      <w:r w:rsidRPr="00066A1E">
        <w:rPr>
          <w:rFonts w:ascii="Calibri" w:eastAsia="Times New Roman" w:hAnsi="Calibri" w:cs="Calibri"/>
          <w:sz w:val="28"/>
          <w:szCs w:val="28"/>
          <w:lang w:eastAsia="pl-PL"/>
        </w:rPr>
        <w:sym w:font="Symbol" w:char="F0B0"/>
      </w:r>
      <w:r w:rsidRPr="00066A1E">
        <w:rPr>
          <w:rFonts w:ascii="Calibri" w:eastAsia="Times New Roman" w:hAnsi="Calibri" w:cs="Calibri"/>
          <w:sz w:val="28"/>
          <w:szCs w:val="28"/>
          <w:lang w:eastAsia="pl-PL"/>
        </w:rPr>
        <w:t xml:space="preserve"> i nie większym niż 45</w:t>
      </w:r>
      <w:r w:rsidRPr="00066A1E">
        <w:rPr>
          <w:rFonts w:ascii="Calibri" w:eastAsia="Times New Roman" w:hAnsi="Calibri" w:cs="Calibri"/>
          <w:sz w:val="28"/>
          <w:szCs w:val="28"/>
          <w:lang w:eastAsia="pl-PL"/>
        </w:rPr>
        <w:sym w:font="Symbol" w:char="F0B0"/>
      </w:r>
      <w:r w:rsidRPr="00066A1E">
        <w:rPr>
          <w:rFonts w:ascii="Calibri" w:eastAsia="Times New Roman" w:hAnsi="Calibri" w:cs="Calibri"/>
          <w:sz w:val="28"/>
          <w:szCs w:val="28"/>
          <w:lang w:eastAsia="pl-PL"/>
        </w:rPr>
        <w:t xml:space="preserve">. Przewiduje się zastosowanie stalowej, ocynkowanej wolnostojącej konstrukcji montażowej, składającej się z ramy, pionowych i poziomych profili nośnych oraz elementów mocujących. Wszystkie elementy zostaną przytwierdzone do podłoża za pomocą pionowych pali. Konstrukcja wsporcza wbijana będzie na głębokość nie większą niż 6 m p.p.t. Panele fotowoltaiczne zostaną podłączone do oddzielnych przetwornic prądowych tak zwanych inwerterów o łącznej mocy nie większej niż 1,0 MWp, zamieniających prąd stały na przemienny. Przewiduje się zamontowanie nie więcej niż 50 sztuk inwerterów, które będą umieszczone w stacji kontenerowej, bądź bezpośrednio pod panelami oraz jednej stacji transformatorowej wyposażonej w transformator nN/Sn (niskiego napięcia na średnie napięcie). Stacja transformatorowa zostanie zlokalizowana w prefabrykowanym kontenerze. Obiekt będzie pracował bez użycia systemu magazynowania energii elektrycznej. Panele fotowoltaiczne pokryte będą warstwą antyrefleksyjną zmniejszającą efekt olśnienia. Farma fotowoltaiczna ogrodzona zostanie ogrodzeniem ażurowym co umożliwi migracje drobnych zwierząt. </w:t>
      </w:r>
    </w:p>
    <w:p w14:paraId="4EEA4D25" w14:textId="77777777" w:rsidR="00066A1E" w:rsidRPr="00066A1E" w:rsidRDefault="00066A1E" w:rsidP="00066A1E">
      <w:pPr>
        <w:spacing w:after="0" w:line="240" w:lineRule="auto"/>
        <w:rPr>
          <w:rFonts w:ascii="Calibri" w:eastAsia="Times New Roman" w:hAnsi="Calibri" w:cs="Calibri"/>
          <w:sz w:val="28"/>
          <w:szCs w:val="28"/>
          <w:lang w:eastAsia="pl-PL"/>
        </w:rPr>
      </w:pPr>
      <w:r w:rsidRPr="00066A1E">
        <w:rPr>
          <w:rFonts w:ascii="Calibri" w:eastAsia="Times New Roman" w:hAnsi="Calibri" w:cs="Calibri"/>
          <w:sz w:val="28"/>
          <w:szCs w:val="28"/>
          <w:lang w:eastAsia="pl-PL"/>
        </w:rPr>
        <w:br w:type="page"/>
      </w:r>
    </w:p>
    <w:p w14:paraId="0D9E5DD6" w14:textId="77777777" w:rsidR="00066A1E" w:rsidRPr="00066A1E" w:rsidRDefault="00066A1E" w:rsidP="00066A1E">
      <w:pPr>
        <w:spacing w:after="0" w:line="240" w:lineRule="auto"/>
        <w:ind w:firstLine="708"/>
        <w:rPr>
          <w:rFonts w:ascii="Calibri" w:eastAsia="Times New Roman" w:hAnsi="Calibri" w:cs="Calibri"/>
          <w:sz w:val="28"/>
          <w:szCs w:val="28"/>
          <w:lang w:eastAsia="pl-PL"/>
        </w:rPr>
      </w:pPr>
      <w:r w:rsidRPr="00066A1E">
        <w:rPr>
          <w:rFonts w:ascii="Calibri" w:eastAsia="Times New Roman" w:hAnsi="Calibri" w:cs="Calibri"/>
          <w:sz w:val="28"/>
          <w:szCs w:val="28"/>
          <w:lang w:eastAsia="pl-PL"/>
        </w:rPr>
        <w:lastRenderedPageBreak/>
        <w:t>Przewidywana ilość wykorzystywanych surowców, paliw i energii (na etapie eksploatacji) wynosi:</w:t>
      </w:r>
    </w:p>
    <w:p w14:paraId="0F82829B" w14:textId="77777777" w:rsidR="00066A1E" w:rsidRPr="00066A1E" w:rsidRDefault="00066A1E" w:rsidP="00066A1E">
      <w:pPr>
        <w:numPr>
          <w:ilvl w:val="0"/>
          <w:numId w:val="20"/>
        </w:numPr>
        <w:spacing w:after="120" w:line="240" w:lineRule="auto"/>
        <w:ind w:left="284" w:hanging="284"/>
        <w:rPr>
          <w:rFonts w:ascii="Calibri" w:eastAsia="Times New Roman" w:hAnsi="Calibri" w:cs="Calibri"/>
          <w:sz w:val="28"/>
          <w:szCs w:val="28"/>
          <w:lang w:eastAsia="pl-PL"/>
        </w:rPr>
      </w:pPr>
      <w:r w:rsidRPr="00066A1E">
        <w:rPr>
          <w:rFonts w:ascii="Calibri" w:eastAsia="Times New Roman" w:hAnsi="Calibri" w:cs="Calibri"/>
          <w:sz w:val="28"/>
          <w:szCs w:val="28"/>
          <w:lang w:eastAsia="pl-PL"/>
        </w:rPr>
        <w:t>woda do mycia paneli fotowoltaicznych: około 3 m</w:t>
      </w:r>
      <w:r w:rsidRPr="00066A1E">
        <w:rPr>
          <w:rFonts w:ascii="Calibri" w:eastAsia="Times New Roman" w:hAnsi="Calibri" w:cs="Calibri"/>
          <w:sz w:val="28"/>
          <w:szCs w:val="28"/>
          <w:vertAlign w:val="superscript"/>
          <w:lang w:eastAsia="pl-PL"/>
        </w:rPr>
        <w:t>3</w:t>
      </w:r>
      <w:r w:rsidRPr="00066A1E">
        <w:rPr>
          <w:rFonts w:ascii="Calibri" w:eastAsia="Times New Roman" w:hAnsi="Calibri" w:cs="Calibri"/>
          <w:sz w:val="28"/>
          <w:szCs w:val="28"/>
          <w:lang w:eastAsia="pl-PL"/>
        </w:rPr>
        <w:t>/rok.</w:t>
      </w:r>
    </w:p>
    <w:p w14:paraId="1CD94010" w14:textId="77777777" w:rsidR="00066A1E" w:rsidRPr="00066A1E" w:rsidRDefault="00066A1E" w:rsidP="00066A1E">
      <w:pPr>
        <w:spacing w:after="0" w:line="240" w:lineRule="auto"/>
        <w:ind w:firstLine="708"/>
        <w:rPr>
          <w:rFonts w:ascii="Calibri" w:eastAsia="Times New Roman" w:hAnsi="Calibri" w:cs="Calibri"/>
          <w:sz w:val="28"/>
          <w:szCs w:val="28"/>
          <w:lang w:eastAsia="pl-PL"/>
        </w:rPr>
      </w:pPr>
      <w:r w:rsidRPr="00066A1E">
        <w:rPr>
          <w:rFonts w:ascii="Calibri" w:eastAsia="Times New Roman" w:hAnsi="Calibri" w:cs="Calibri"/>
          <w:sz w:val="28"/>
          <w:szCs w:val="28"/>
          <w:lang w:eastAsia="pl-PL"/>
        </w:rPr>
        <w:t>Projektowane rozwiązania w zakresie gospodarki wodno-ściekowej:</w:t>
      </w:r>
    </w:p>
    <w:p w14:paraId="557B71CA" w14:textId="77777777" w:rsidR="00066A1E" w:rsidRPr="00066A1E" w:rsidRDefault="00066A1E" w:rsidP="00066A1E">
      <w:pPr>
        <w:numPr>
          <w:ilvl w:val="0"/>
          <w:numId w:val="21"/>
        </w:numPr>
        <w:spacing w:after="0" w:line="240" w:lineRule="auto"/>
        <w:ind w:left="284" w:hanging="284"/>
        <w:rPr>
          <w:rFonts w:ascii="Calibri" w:eastAsia="Times New Roman" w:hAnsi="Calibri" w:cs="Calibri"/>
          <w:sz w:val="28"/>
          <w:szCs w:val="28"/>
          <w:lang w:eastAsia="pl-PL"/>
        </w:rPr>
      </w:pPr>
      <w:r w:rsidRPr="00066A1E">
        <w:rPr>
          <w:rFonts w:ascii="Calibri" w:eastAsia="Times New Roman" w:hAnsi="Calibri" w:cs="Calibri"/>
          <w:sz w:val="28"/>
          <w:szCs w:val="28"/>
          <w:lang w:eastAsia="pl-PL"/>
        </w:rPr>
        <w:t xml:space="preserve">ścieki bytowe </w:t>
      </w:r>
      <w:r w:rsidRPr="00066A1E">
        <w:rPr>
          <w:rFonts w:ascii="Calibri" w:eastAsia="Times New Roman" w:hAnsi="Calibri" w:cs="Calibri"/>
          <w:kern w:val="1"/>
          <w:sz w:val="28"/>
          <w:szCs w:val="28"/>
          <w:lang w:eastAsia="ar-SA"/>
        </w:rPr>
        <w:t>- brak</w:t>
      </w:r>
      <w:r w:rsidRPr="00066A1E">
        <w:rPr>
          <w:rFonts w:ascii="Calibri" w:eastAsia="Times New Roman" w:hAnsi="Calibri" w:cs="Calibri"/>
          <w:sz w:val="28"/>
          <w:szCs w:val="28"/>
          <w:lang w:eastAsia="pl-PL"/>
        </w:rPr>
        <w:t>,</w:t>
      </w:r>
    </w:p>
    <w:p w14:paraId="7BC93343" w14:textId="77777777" w:rsidR="00066A1E" w:rsidRPr="00066A1E" w:rsidRDefault="00066A1E" w:rsidP="00066A1E">
      <w:pPr>
        <w:numPr>
          <w:ilvl w:val="0"/>
          <w:numId w:val="21"/>
        </w:numPr>
        <w:spacing w:after="120" w:line="240" w:lineRule="auto"/>
        <w:ind w:left="284" w:hanging="284"/>
        <w:rPr>
          <w:rFonts w:ascii="Calibri" w:eastAsia="Times New Roman" w:hAnsi="Calibri" w:cs="Calibri"/>
          <w:sz w:val="28"/>
          <w:szCs w:val="28"/>
          <w:lang w:eastAsia="pl-PL"/>
        </w:rPr>
      </w:pPr>
      <w:r w:rsidRPr="00066A1E">
        <w:rPr>
          <w:rFonts w:ascii="Calibri" w:eastAsia="Times New Roman" w:hAnsi="Calibri" w:cs="Calibri"/>
          <w:sz w:val="28"/>
          <w:szCs w:val="28"/>
          <w:lang w:eastAsia="pl-PL"/>
        </w:rPr>
        <w:t xml:space="preserve">wody opadowe odprowadzane będą w sposób niezorganizowany bezpośrednio do gruntu. </w:t>
      </w:r>
    </w:p>
    <w:p w14:paraId="70C08C38" w14:textId="77777777" w:rsidR="00066A1E" w:rsidRPr="00066A1E" w:rsidRDefault="00066A1E" w:rsidP="00066A1E">
      <w:pPr>
        <w:spacing w:after="120" w:line="240" w:lineRule="auto"/>
        <w:ind w:firstLine="708"/>
        <w:rPr>
          <w:rFonts w:ascii="Calibri" w:eastAsia="Times New Roman" w:hAnsi="Calibri" w:cs="Calibri"/>
          <w:sz w:val="28"/>
          <w:szCs w:val="28"/>
          <w:lang w:eastAsia="pl-PL"/>
        </w:rPr>
      </w:pPr>
      <w:r w:rsidRPr="00066A1E">
        <w:rPr>
          <w:rFonts w:ascii="Calibri" w:eastAsia="Times New Roman" w:hAnsi="Calibri" w:cs="Calibri"/>
          <w:sz w:val="28"/>
          <w:szCs w:val="28"/>
          <w:lang w:eastAsia="pl-PL"/>
        </w:rPr>
        <w:t>Mycie paneli fotowoltaicznych związane z osadzaniem się kurzu na powierzchni paneli fotowoltaicznych odbywać się będzie wodą bez użycia środków chemicznych.</w:t>
      </w:r>
    </w:p>
    <w:p w14:paraId="25D03C5A" w14:textId="77777777" w:rsidR="00066A1E" w:rsidRPr="00066A1E" w:rsidRDefault="00066A1E" w:rsidP="00066A1E">
      <w:pPr>
        <w:spacing w:after="120" w:line="240" w:lineRule="auto"/>
        <w:ind w:firstLine="708"/>
        <w:rPr>
          <w:rFonts w:ascii="Calibri" w:eastAsia="Times New Roman" w:hAnsi="Calibri" w:cs="Calibri"/>
          <w:sz w:val="28"/>
          <w:szCs w:val="28"/>
          <w:lang w:eastAsia="pl-PL"/>
        </w:rPr>
      </w:pPr>
      <w:r w:rsidRPr="00066A1E">
        <w:rPr>
          <w:rFonts w:ascii="Calibri" w:eastAsia="Times New Roman" w:hAnsi="Calibri" w:cs="Calibri"/>
          <w:sz w:val="28"/>
          <w:szCs w:val="28"/>
          <w:lang w:eastAsia="pl-PL"/>
        </w:rPr>
        <w:t xml:space="preserve">Wnioskodawca planuje zastosować transformatory żywiczne lub olejowe. W przypadku zastosowania transformatorów olejowych zostaną one zabezpieczone przed wyciekami oleju transformatorowego do gruntu, w przypadku rozszczelnienia transformatora, poprzez wyposażenie w misę olejową o pojemności pozwalającej pomieścić całą objętość oleju znajdującego się w transformatorze oraz pozostałości po ewentualnej akcji gaśniczej.  </w:t>
      </w:r>
    </w:p>
    <w:p w14:paraId="40A813D9" w14:textId="77777777" w:rsidR="00066A1E" w:rsidRPr="00066A1E" w:rsidRDefault="00066A1E" w:rsidP="00066A1E">
      <w:pPr>
        <w:spacing w:after="120" w:line="240" w:lineRule="auto"/>
        <w:ind w:firstLine="708"/>
        <w:rPr>
          <w:rFonts w:ascii="Calibri" w:eastAsia="Times New Roman" w:hAnsi="Calibri" w:cs="Calibri"/>
          <w:sz w:val="28"/>
          <w:szCs w:val="28"/>
          <w:lang w:eastAsia="pl-PL"/>
        </w:rPr>
      </w:pPr>
      <w:r w:rsidRPr="00066A1E">
        <w:rPr>
          <w:rFonts w:ascii="Calibri" w:eastAsia="Times New Roman" w:hAnsi="Calibri" w:cs="Calibri"/>
          <w:sz w:val="28"/>
          <w:szCs w:val="28"/>
          <w:lang w:eastAsia="pl-PL"/>
        </w:rPr>
        <w:t xml:space="preserve">W wyniku realizacji planowanego przedsięwzięcia, powstawać będą głównie odpady budowlane. Gospodarka odpadami będzie prowadzona zgodnie z obowiązującymi w tym zakresie przepisami. Odpady będą selektywnie gromadzone w miejscach wyznaczonych i przekazywane do dalszego zagospodarowania uprawnionym w tym zakresie podmiotom. </w:t>
      </w:r>
    </w:p>
    <w:p w14:paraId="0B0E4CCB" w14:textId="77777777" w:rsidR="00066A1E" w:rsidRPr="00066A1E" w:rsidRDefault="00066A1E" w:rsidP="00066A1E">
      <w:pPr>
        <w:spacing w:after="120" w:line="240" w:lineRule="auto"/>
        <w:ind w:firstLine="708"/>
        <w:rPr>
          <w:rFonts w:ascii="Calibri" w:eastAsia="Times New Roman" w:hAnsi="Calibri" w:cs="Calibri"/>
          <w:sz w:val="28"/>
          <w:szCs w:val="28"/>
          <w:lang w:eastAsia="pl-PL"/>
        </w:rPr>
      </w:pPr>
      <w:r w:rsidRPr="00066A1E">
        <w:rPr>
          <w:rFonts w:ascii="Calibri" w:eastAsia="Times New Roman" w:hAnsi="Calibri" w:cs="Calibri"/>
          <w:sz w:val="28"/>
          <w:szCs w:val="28"/>
          <w:lang w:eastAsia="pl-PL"/>
        </w:rPr>
        <w:t>Na etapie realizacji przedsięwzięcia, źródłem emisji substancji do powietrza będą procesy spalania paliw w silnikach pojazdów pracujących na placu budowy</w:t>
      </w:r>
      <w:r w:rsidRPr="00066A1E">
        <w:rPr>
          <w:rFonts w:ascii="Calibri" w:eastAsia="SimSun" w:hAnsi="Calibri" w:cs="Calibri"/>
          <w:bCs/>
          <w:kern w:val="1"/>
          <w:sz w:val="28"/>
          <w:szCs w:val="28"/>
          <w:lang w:eastAsia="hi-IN" w:bidi="hi-IN"/>
        </w:rPr>
        <w:t xml:space="preserve"> oraz pył powstający podczas prac budowlanych w związku z prowadzeniem robót ziemnych</w:t>
      </w:r>
      <w:r w:rsidRPr="00066A1E">
        <w:rPr>
          <w:rFonts w:ascii="Calibri" w:eastAsia="Times New Roman" w:hAnsi="Calibri" w:cs="Calibri"/>
          <w:sz w:val="28"/>
          <w:szCs w:val="28"/>
          <w:lang w:eastAsia="pl-PL"/>
        </w:rPr>
        <w:t xml:space="preserve">. Będzie to jednak oddziaływanie okresowe i ustanie po zakończeniu prac budowlanych. Farma fotowoltaiczna w trakcie swojej eksploatacji nie będzie źródłem emisji substancji do środowiska. </w:t>
      </w:r>
    </w:p>
    <w:p w14:paraId="3EA4BCDF" w14:textId="77777777" w:rsidR="00066A1E" w:rsidRPr="00066A1E" w:rsidRDefault="00066A1E" w:rsidP="00066A1E">
      <w:pPr>
        <w:spacing w:after="120" w:line="240" w:lineRule="auto"/>
        <w:ind w:firstLine="708"/>
        <w:rPr>
          <w:rFonts w:ascii="Calibri" w:eastAsia="Calibri" w:hAnsi="Calibri" w:cs="Calibri"/>
          <w:sz w:val="28"/>
          <w:szCs w:val="28"/>
        </w:rPr>
      </w:pPr>
      <w:r w:rsidRPr="00066A1E">
        <w:rPr>
          <w:rFonts w:ascii="Calibri" w:eastAsia="Times New Roman" w:hAnsi="Calibri" w:cs="Calibri"/>
          <w:sz w:val="28"/>
          <w:szCs w:val="28"/>
          <w:lang w:eastAsia="pl-PL"/>
        </w:rPr>
        <w:t xml:space="preserve">Źródłem emisji hałasu na etapie realizacji przedsięwzięcia będą przede wszystkim urządzenia montażowe oraz pojazdy poruszające się po terenie zainwestowania. Wszelkie prace zostaną ograniczone do pory dnia. Będą to krótkotrwałe i odwracalne uciążliwości. </w:t>
      </w:r>
      <w:r w:rsidRPr="00066A1E">
        <w:rPr>
          <w:rFonts w:ascii="Calibri" w:eastAsia="Calibri" w:hAnsi="Calibri" w:cs="Calibri"/>
          <w:sz w:val="28"/>
          <w:szCs w:val="28"/>
        </w:rPr>
        <w:t>Jedynymi emitorami hałasu na etapie eksploatacji będą inwertery oraz transformator.</w:t>
      </w:r>
    </w:p>
    <w:p w14:paraId="50EE8888" w14:textId="77777777" w:rsidR="00066A1E" w:rsidRPr="00066A1E" w:rsidRDefault="00066A1E" w:rsidP="00066A1E">
      <w:pPr>
        <w:spacing w:after="0" w:line="240" w:lineRule="auto"/>
        <w:rPr>
          <w:rFonts w:ascii="Calibri" w:eastAsia="Calibri" w:hAnsi="Calibri" w:cs="Calibri"/>
          <w:sz w:val="28"/>
          <w:szCs w:val="28"/>
        </w:rPr>
      </w:pPr>
      <w:r w:rsidRPr="00066A1E">
        <w:rPr>
          <w:rFonts w:ascii="Calibri" w:eastAsia="Calibri" w:hAnsi="Calibri" w:cs="Calibri"/>
          <w:sz w:val="28"/>
          <w:szCs w:val="28"/>
        </w:rPr>
        <w:br w:type="page"/>
      </w:r>
    </w:p>
    <w:p w14:paraId="69F8BB38" w14:textId="77777777" w:rsidR="00066A1E" w:rsidRPr="00066A1E" w:rsidRDefault="00066A1E" w:rsidP="00066A1E">
      <w:pPr>
        <w:spacing w:after="120" w:line="240" w:lineRule="auto"/>
        <w:ind w:firstLine="708"/>
        <w:rPr>
          <w:rFonts w:ascii="Calibri" w:eastAsia="SimSun" w:hAnsi="Calibri" w:cs="Calibri"/>
          <w:bCs/>
          <w:color w:val="800000"/>
          <w:kern w:val="1"/>
          <w:sz w:val="28"/>
          <w:szCs w:val="28"/>
          <w:lang w:eastAsia="hi-IN" w:bidi="hi-IN"/>
        </w:rPr>
      </w:pPr>
      <w:r w:rsidRPr="00066A1E">
        <w:rPr>
          <w:rFonts w:ascii="Calibri" w:eastAsia="Calibri" w:hAnsi="Calibri" w:cs="Calibri"/>
          <w:sz w:val="28"/>
          <w:szCs w:val="28"/>
        </w:rPr>
        <w:lastRenderedPageBreak/>
        <w:t>Jednakże biorąc pod uwagę cechy i parametry przedsięwzięcia, posadowienie stacji transformatorowej w kontenerze, odległość inwerterów i stacji transformatorowej od najbliższych terenów chronionych akustycznie, nie przewiduje się, aby realizacja i eksploatacja przedsięwzięcia mogła wiązać się z przekroczeniami dopuszczalnych poziomów hałasu i pól elektromagnetycznych</w:t>
      </w:r>
      <w:r w:rsidRPr="00066A1E">
        <w:rPr>
          <w:rFonts w:ascii="Calibri" w:eastAsia="Calibri" w:hAnsi="Calibri" w:cs="Calibri"/>
          <w:sz w:val="28"/>
          <w:szCs w:val="28"/>
          <w:shd w:val="clear" w:color="auto" w:fill="FFFFFF"/>
        </w:rPr>
        <w:t xml:space="preserve"> w środowisku, określonych w przepisach szczegółowych.</w:t>
      </w:r>
    </w:p>
    <w:p w14:paraId="0633502E" w14:textId="77777777" w:rsidR="00066A1E" w:rsidRPr="00066A1E" w:rsidRDefault="00066A1E" w:rsidP="00066A1E">
      <w:pPr>
        <w:spacing w:after="120" w:line="240" w:lineRule="auto"/>
        <w:ind w:firstLine="708"/>
        <w:rPr>
          <w:rFonts w:ascii="Calibri" w:eastAsia="Times New Roman" w:hAnsi="Calibri" w:cs="Calibri"/>
          <w:sz w:val="28"/>
          <w:szCs w:val="28"/>
          <w:lang w:eastAsia="pl-PL"/>
        </w:rPr>
      </w:pPr>
      <w:r w:rsidRPr="00066A1E">
        <w:rPr>
          <w:rFonts w:ascii="Calibri" w:eastAsia="Times New Roman" w:hAnsi="Calibri" w:cs="Calibri"/>
          <w:sz w:val="28"/>
          <w:szCs w:val="28"/>
          <w:lang w:eastAsia="pl-PL"/>
        </w:rPr>
        <w:t xml:space="preserve">Przedmiotowe przedsięwzięcie zlokalizowane zostanie w granicach Parku Krajobrazowego im. gen. Dezyderego Chłapowskiego. Najbliższe obszary Natura 2000, tj. obszar specjalnej ochrony ptaków Ostoja Rogalińska PLB300017 oraz specjalny obszar ochrony siedlisk Rogalińska Dolina Warty PLH300012, położone są w odległości około 6,9 km. </w:t>
      </w:r>
    </w:p>
    <w:p w14:paraId="79979959" w14:textId="77777777" w:rsidR="00066A1E" w:rsidRPr="00066A1E" w:rsidRDefault="00066A1E" w:rsidP="00066A1E">
      <w:pPr>
        <w:spacing w:after="120" w:line="240" w:lineRule="auto"/>
        <w:ind w:firstLine="708"/>
        <w:rPr>
          <w:rFonts w:ascii="Calibri" w:eastAsia="Times New Roman" w:hAnsi="Calibri" w:cs="Calibri"/>
          <w:sz w:val="28"/>
          <w:szCs w:val="28"/>
          <w:lang w:eastAsia="pl-PL"/>
        </w:rPr>
      </w:pPr>
      <w:r w:rsidRPr="00066A1E">
        <w:rPr>
          <w:rFonts w:ascii="Calibri" w:eastAsia="Times New Roman" w:hAnsi="Calibri" w:cs="Calibri"/>
          <w:sz w:val="28"/>
          <w:szCs w:val="28"/>
          <w:lang w:eastAsia="pl-PL"/>
        </w:rPr>
        <w:t>Miejsce realizacji przedsięwzięcia oraz tereny położone w otoczeniu stanowią intensywnie użytkowane grunty orne. W zasięgu oddziaływania przedsięwzięcia nie stwierdzono występowania siedlisk przyrodniczych oraz chronionych gatunków roślin i grzybów. Teren realizacji przedsięwzięcia nie stanowi też atrakcyjnego, cennego siedliska dla chronionych gatunków zwierząt, w miejscu tym nie występują cieki i zbiorniki wodne, zadrzewienia. Na badanym obszarze odnotowano głównie liczne i szeroko rozpowszechnione gatunki ptaków, związane z terenami przyległymi. Na terenie przeznaczonym do realizacji przedsięwzięcia nie stwierdzono śladów gniazdowania ptaków. Na etapie eksploatacji przedsięwzięcia teren farmy fotowoltaicznej pozostawiony będzie naturalnej sukcesji lub obsiany zostanie roślinnością trawiastą, która będzie wykaszana i usuwana.</w:t>
      </w:r>
    </w:p>
    <w:p w14:paraId="47E2E4B7" w14:textId="77777777" w:rsidR="00066A1E" w:rsidRPr="00066A1E" w:rsidRDefault="00066A1E" w:rsidP="00066A1E">
      <w:pPr>
        <w:spacing w:after="120" w:line="240" w:lineRule="auto"/>
        <w:ind w:firstLine="708"/>
        <w:rPr>
          <w:rFonts w:ascii="Calibri" w:eastAsia="Times New Roman" w:hAnsi="Calibri" w:cs="Calibri"/>
          <w:sz w:val="28"/>
          <w:szCs w:val="28"/>
          <w:lang w:eastAsia="pl-PL"/>
        </w:rPr>
      </w:pPr>
      <w:r w:rsidRPr="00066A1E">
        <w:rPr>
          <w:rFonts w:ascii="Calibri" w:eastAsia="Times New Roman" w:hAnsi="Calibri" w:cs="Calibri"/>
          <w:sz w:val="28"/>
          <w:szCs w:val="28"/>
          <w:lang w:eastAsia="pl-PL"/>
        </w:rPr>
        <w:t xml:space="preserve">Mając na względzie lokalizację planowanego przedsięwzięcia w obrębie pól uprawnych, brak konieczności wycinki drzew i krzewów oraz przekształcania terenów innych niż pole uprawne, a także uwzględniając wyniki przeprowadzonej inwentaryzacji przyrodniczej oraz określone warunki realizacji przedsięwzięcia, nie przewiduje się znaczącego negatywnego oddziaływania przedsięwzięcia na środowisko przyrodnicze, w tym na różnorodność biologiczną, rozumianą, jako liczebność i kondycję populacji występujących gatunków, w szczególności chronionych, rzadkich lub ginących gatunków roślin, zwierząt i grzybów oraz ich siedlisk. Realizacja przedsięwzięcia nie wpłynie także na obszary chronione, a w szczególności na siedliska przyrodnicze, gatunki roślin, grzybów i zwierząt oraz ich siedlisk, dla których ochrony zostały wyznaczone obszary Natura 2000, na ich integralność lub powiązanie z innymi obszarami. </w:t>
      </w:r>
    </w:p>
    <w:p w14:paraId="666D2435" w14:textId="77777777" w:rsidR="00066A1E" w:rsidRPr="00066A1E" w:rsidRDefault="00066A1E" w:rsidP="00066A1E">
      <w:pPr>
        <w:spacing w:after="120" w:line="240" w:lineRule="auto"/>
        <w:ind w:firstLine="708"/>
        <w:rPr>
          <w:rFonts w:ascii="Calibri" w:eastAsia="Times New Roman" w:hAnsi="Calibri" w:cs="Calibri"/>
          <w:sz w:val="28"/>
          <w:szCs w:val="28"/>
          <w:lang w:eastAsia="pl-PL"/>
        </w:rPr>
      </w:pPr>
      <w:r w:rsidRPr="00066A1E">
        <w:rPr>
          <w:rFonts w:ascii="Calibri" w:eastAsia="Times New Roman" w:hAnsi="Calibri" w:cs="Calibri"/>
          <w:sz w:val="28"/>
          <w:szCs w:val="28"/>
          <w:lang w:eastAsia="pl-PL"/>
        </w:rPr>
        <w:lastRenderedPageBreak/>
        <w:t>Przedsięwzięcie nie spowoduje naruszenia wymagań ochrony środowiska, jeśli zostaną spełnione warunki określone w raporcie o oddziaływaniu przedsięwzięcia na środowisko i w niniejszej decyzji o środowiskowych uwarunkowaniach.</w:t>
      </w:r>
    </w:p>
    <w:p w14:paraId="0412FC65" w14:textId="0BC25524" w:rsidR="00066A1E" w:rsidRPr="00066A1E" w:rsidRDefault="00066A1E" w:rsidP="00066A1E">
      <w:pPr>
        <w:spacing w:after="0" w:line="240" w:lineRule="auto"/>
        <w:ind w:left="2832"/>
        <w:jc w:val="center"/>
        <w:rPr>
          <w:rFonts w:ascii="Calibri" w:eastAsia="Times New Roman" w:hAnsi="Calibri" w:cs="Calibri"/>
          <w:sz w:val="28"/>
          <w:szCs w:val="28"/>
          <w:lang w:eastAsia="pl-PL"/>
        </w:rPr>
      </w:pPr>
      <w:r w:rsidRPr="00066A1E">
        <w:rPr>
          <w:rFonts w:ascii="Calibri" w:eastAsia="Times New Roman" w:hAnsi="Calibri" w:cs="Calibri"/>
          <w:sz w:val="28"/>
          <w:szCs w:val="28"/>
          <w:lang w:eastAsia="pl-PL"/>
        </w:rPr>
        <w:t>z up. BURMISTRZA</w:t>
      </w:r>
    </w:p>
    <w:p w14:paraId="67695AD2" w14:textId="77777777" w:rsidR="00066A1E" w:rsidRPr="00066A1E" w:rsidRDefault="00066A1E" w:rsidP="00066A1E">
      <w:pPr>
        <w:spacing w:after="0" w:line="240" w:lineRule="auto"/>
        <w:ind w:left="2832"/>
        <w:jc w:val="center"/>
        <w:rPr>
          <w:rFonts w:ascii="Calibri" w:eastAsia="Times New Roman" w:hAnsi="Calibri" w:cs="Calibri"/>
          <w:sz w:val="28"/>
          <w:szCs w:val="28"/>
          <w:lang w:eastAsia="pl-PL"/>
        </w:rPr>
      </w:pPr>
      <w:r w:rsidRPr="00066A1E">
        <w:rPr>
          <w:rFonts w:ascii="Calibri" w:eastAsia="Times New Roman" w:hAnsi="Calibri" w:cs="Calibri"/>
          <w:sz w:val="28"/>
          <w:szCs w:val="28"/>
          <w:lang w:eastAsia="pl-PL"/>
        </w:rPr>
        <w:t>Katarzyna Bednarowicz</w:t>
      </w:r>
    </w:p>
    <w:p w14:paraId="4FCE29F7" w14:textId="77777777" w:rsidR="00066A1E" w:rsidRPr="00066A1E" w:rsidRDefault="00066A1E" w:rsidP="00066A1E">
      <w:pPr>
        <w:spacing w:after="0" w:line="240" w:lineRule="auto"/>
        <w:ind w:left="2832"/>
        <w:jc w:val="center"/>
        <w:rPr>
          <w:rFonts w:ascii="Calibri" w:eastAsia="Times New Roman" w:hAnsi="Calibri" w:cs="Calibri"/>
          <w:sz w:val="28"/>
          <w:szCs w:val="28"/>
          <w:lang w:eastAsia="pl-PL"/>
        </w:rPr>
      </w:pPr>
      <w:r w:rsidRPr="00066A1E">
        <w:rPr>
          <w:rFonts w:ascii="Calibri" w:eastAsia="Times New Roman" w:hAnsi="Calibri" w:cs="Calibri"/>
          <w:sz w:val="28"/>
          <w:szCs w:val="28"/>
          <w:lang w:eastAsia="pl-PL"/>
        </w:rPr>
        <w:t>naczelnik Pionu Gospodarowania</w:t>
      </w:r>
    </w:p>
    <w:p w14:paraId="332CD65A" w14:textId="77777777" w:rsidR="00066A1E" w:rsidRPr="00066A1E" w:rsidRDefault="00066A1E" w:rsidP="00066A1E">
      <w:pPr>
        <w:spacing w:after="0" w:line="240" w:lineRule="auto"/>
        <w:ind w:left="2832"/>
        <w:jc w:val="center"/>
        <w:rPr>
          <w:rFonts w:ascii="Calibri" w:eastAsia="Times New Roman" w:hAnsi="Calibri" w:cs="Calibri"/>
          <w:sz w:val="28"/>
          <w:szCs w:val="28"/>
          <w:lang w:eastAsia="pl-PL"/>
        </w:rPr>
      </w:pPr>
      <w:r w:rsidRPr="00066A1E">
        <w:rPr>
          <w:rFonts w:ascii="Calibri" w:eastAsia="Times New Roman" w:hAnsi="Calibri" w:cs="Calibri"/>
          <w:sz w:val="28"/>
          <w:szCs w:val="28"/>
          <w:lang w:eastAsia="pl-PL"/>
        </w:rPr>
        <w:t>Przestrzenią i Środowiskiem</w:t>
      </w:r>
    </w:p>
    <w:p w14:paraId="5A280A91" w14:textId="3948FA27" w:rsidR="00066A1E" w:rsidRPr="00066A1E" w:rsidRDefault="00066A1E" w:rsidP="00066A1E">
      <w:pPr>
        <w:spacing w:after="0" w:line="240" w:lineRule="auto"/>
        <w:ind w:left="2832"/>
        <w:jc w:val="center"/>
        <w:rPr>
          <w:rFonts w:ascii="Calibri" w:eastAsia="Times New Roman" w:hAnsi="Calibri" w:cs="Calibri"/>
          <w:sz w:val="28"/>
          <w:szCs w:val="28"/>
          <w:lang w:eastAsia="pl-PL"/>
        </w:rPr>
      </w:pPr>
    </w:p>
    <w:p w14:paraId="4D2A4EA4" w14:textId="77777777" w:rsidR="00066A1E" w:rsidRPr="00066A1E" w:rsidRDefault="00066A1E" w:rsidP="00066A1E">
      <w:pPr>
        <w:spacing w:after="120" w:line="240" w:lineRule="auto"/>
        <w:rPr>
          <w:rFonts w:ascii="Calibri" w:eastAsia="Calibri" w:hAnsi="Calibri" w:cs="Calibri"/>
          <w:sz w:val="28"/>
          <w:szCs w:val="28"/>
        </w:rPr>
      </w:pPr>
    </w:p>
    <w:p w14:paraId="27EC3118" w14:textId="77777777" w:rsidR="00B81AFE" w:rsidRPr="00B81AFE" w:rsidRDefault="00B81AFE" w:rsidP="00A568A2">
      <w:pPr>
        <w:spacing w:after="0" w:line="240" w:lineRule="auto"/>
        <w:ind w:right="5668"/>
        <w:rPr>
          <w:rFonts w:ascii="Calibri" w:eastAsia="Times New Roman" w:hAnsi="Calibri" w:cs="Calibri"/>
          <w:sz w:val="28"/>
          <w:szCs w:val="28"/>
          <w:lang w:eastAsia="pl-PL"/>
        </w:rPr>
      </w:pPr>
    </w:p>
    <w:sectPr w:rsidR="00B81AFE" w:rsidRPr="00B81AFE" w:rsidSect="004F3296">
      <w:headerReference w:type="default" r:id="rId11"/>
      <w:footerReference w:type="default" r:id="rId12"/>
      <w:headerReference w:type="first" r:id="rId13"/>
      <w:footerReference w:type="first" r:id="rId14"/>
      <w:pgSz w:w="11906" w:h="16838"/>
      <w:pgMar w:top="1418" w:right="1418" w:bottom="1701" w:left="1701"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193D66C3" w14:textId="77777777" w:rsidR="00CB61CB" w:rsidRDefault="00CB61CB" w:rsidP="00053E5A">
      <w:pPr>
        <w:spacing w:after="0" w:line="240" w:lineRule="auto"/>
      </w:pPr>
      <w:r>
        <w:separator/>
      </w:r>
    </w:p>
  </w:endnote>
  <w:endnote w:type="continuationSeparator" w:id="0">
    <w:p w14:paraId="74C74599" w14:textId="77777777" w:rsidR="00CB61CB" w:rsidRDefault="00CB61CB" w:rsidP="00053E5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Aptos">
    <w:charset w:val="00"/>
    <w:family w:val="swiss"/>
    <w:pitch w:val="variable"/>
    <w:sig w:usb0="20000287" w:usb1="00000003" w:usb2="0000000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EE"/>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457630177"/>
      <w:docPartObj>
        <w:docPartGallery w:val="Page Numbers (Bottom of Page)"/>
        <w:docPartUnique/>
      </w:docPartObj>
    </w:sdtPr>
    <w:sdtContent>
      <w:sdt>
        <w:sdtPr>
          <w:id w:val="1728636285"/>
          <w:docPartObj>
            <w:docPartGallery w:val="Page Numbers (Top of Page)"/>
            <w:docPartUnique/>
          </w:docPartObj>
        </w:sdtPr>
        <w:sdtContent>
          <w:p w14:paraId="31FC54B3" w14:textId="0A37A047" w:rsidR="00265CEF" w:rsidRDefault="00265CEF">
            <w:pPr>
              <w:pStyle w:val="Stopka"/>
              <w:jc w:val="center"/>
            </w:pPr>
            <w:r w:rsidRPr="00265CEF">
              <w:rPr>
                <w:sz w:val="28"/>
                <w:szCs w:val="28"/>
              </w:rPr>
              <w:fldChar w:fldCharType="begin"/>
            </w:r>
            <w:r w:rsidRPr="00265CEF">
              <w:rPr>
                <w:sz w:val="28"/>
                <w:szCs w:val="28"/>
              </w:rPr>
              <w:instrText>PAGE</w:instrText>
            </w:r>
            <w:r w:rsidRPr="00265CEF">
              <w:rPr>
                <w:sz w:val="28"/>
                <w:szCs w:val="28"/>
              </w:rPr>
              <w:fldChar w:fldCharType="separate"/>
            </w:r>
            <w:r w:rsidRPr="00265CEF">
              <w:rPr>
                <w:sz w:val="28"/>
                <w:szCs w:val="28"/>
              </w:rPr>
              <w:t>2</w:t>
            </w:r>
            <w:r w:rsidRPr="00265CEF">
              <w:rPr>
                <w:sz w:val="28"/>
                <w:szCs w:val="28"/>
              </w:rPr>
              <w:fldChar w:fldCharType="end"/>
            </w:r>
            <w:r w:rsidRPr="00265CEF">
              <w:rPr>
                <w:sz w:val="28"/>
                <w:szCs w:val="28"/>
              </w:rPr>
              <w:t xml:space="preserve"> z </w:t>
            </w:r>
            <w:r w:rsidRPr="00265CEF">
              <w:rPr>
                <w:sz w:val="28"/>
                <w:szCs w:val="28"/>
              </w:rPr>
              <w:fldChar w:fldCharType="begin"/>
            </w:r>
            <w:r w:rsidRPr="00265CEF">
              <w:rPr>
                <w:sz w:val="28"/>
                <w:szCs w:val="28"/>
              </w:rPr>
              <w:instrText>NUMPAGES</w:instrText>
            </w:r>
            <w:r w:rsidRPr="00265CEF">
              <w:rPr>
                <w:sz w:val="28"/>
                <w:szCs w:val="28"/>
              </w:rPr>
              <w:fldChar w:fldCharType="separate"/>
            </w:r>
            <w:r w:rsidRPr="00265CEF">
              <w:rPr>
                <w:sz w:val="28"/>
                <w:szCs w:val="28"/>
              </w:rPr>
              <w:t>2</w:t>
            </w:r>
            <w:r w:rsidRPr="00265CEF">
              <w:rPr>
                <w:sz w:val="28"/>
                <w:szCs w:val="28"/>
              </w:rPr>
              <w:fldChar w:fldCharType="end"/>
            </w:r>
          </w:p>
        </w:sdtContent>
      </w:sdt>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E74C41" w14:textId="6F6CDF83" w:rsidR="00945706" w:rsidRPr="00353E61" w:rsidRDefault="00945706" w:rsidP="00353E61">
    <w:pPr>
      <w:pStyle w:val="Stopka"/>
      <w:tabs>
        <w:tab w:val="clear" w:pos="4536"/>
        <w:tab w:val="left" w:pos="7110"/>
      </w:tabs>
      <w:jc w:val="center"/>
      <w:rPr>
        <w:sz w:val="28"/>
        <w:szCs w:val="28"/>
      </w:rPr>
    </w:pPr>
    <w:r w:rsidRPr="00353E61">
      <w:rPr>
        <w:rFonts w:cstheme="minorHAnsi"/>
        <w:noProof/>
        <w:sz w:val="28"/>
        <w:szCs w:val="28"/>
      </w:rPr>
      <w:drawing>
        <wp:anchor distT="0" distB="0" distL="114300" distR="114300" simplePos="0" relativeHeight="251660800" behindDoc="1" locked="0" layoutInCell="1" allowOverlap="1" wp14:anchorId="4B55F7A7" wp14:editId="685A620F">
          <wp:simplePos x="0" y="0"/>
          <wp:positionH relativeFrom="column">
            <wp:posOffset>-1323975</wp:posOffset>
          </wp:positionH>
          <wp:positionV relativeFrom="paragraph">
            <wp:posOffset>-933450</wp:posOffset>
          </wp:positionV>
          <wp:extent cx="7536604" cy="1536065"/>
          <wp:effectExtent l="0" t="0" r="7620" b="6985"/>
          <wp:wrapNone/>
          <wp:docPr id="7" name="Obraz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Obraz 4"/>
                  <pic:cNvPicPr/>
                </pic:nvPicPr>
                <pic:blipFill>
                  <a:blip r:embed="rId1">
                    <a:extLst>
                      <a:ext uri="{28A0092B-C50C-407E-A947-70E740481C1C}">
                        <a14:useLocalDpi xmlns:a14="http://schemas.microsoft.com/office/drawing/2010/main" val="0"/>
                      </a:ext>
                    </a:extLst>
                  </a:blip>
                  <a:stretch>
                    <a:fillRect/>
                  </a:stretch>
                </pic:blipFill>
                <pic:spPr>
                  <a:xfrm>
                    <a:off x="0" y="0"/>
                    <a:ext cx="7536604" cy="1536065"/>
                  </a:xfrm>
                  <a:prstGeom prst="rect">
                    <a:avLst/>
                  </a:prstGeom>
                </pic:spPr>
              </pic:pic>
            </a:graphicData>
          </a:graphic>
          <wp14:sizeRelH relativeFrom="page">
            <wp14:pctWidth>0</wp14:pctWidth>
          </wp14:sizeRelH>
          <wp14:sizeRelV relativeFrom="page">
            <wp14:pctHeight>0</wp14:pctHeight>
          </wp14:sizeRelV>
        </wp:anchor>
      </w:drawing>
    </w:r>
    <w:r w:rsidR="00353E61" w:rsidRPr="00353E61">
      <w:rPr>
        <w:sz w:val="28"/>
        <w:szCs w:val="28"/>
      </w:rPr>
      <w:t xml:space="preserve">1 z </w:t>
    </w:r>
    <w:r w:rsidR="00066A1E">
      <w:rPr>
        <w:sz w:val="28"/>
        <w:szCs w:val="28"/>
      </w:rPr>
      <w:t>27</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6BF882" w14:textId="77777777" w:rsidR="00CB61CB" w:rsidRDefault="00CB61CB" w:rsidP="00053E5A">
      <w:pPr>
        <w:spacing w:after="0" w:line="240" w:lineRule="auto"/>
      </w:pPr>
      <w:r>
        <w:separator/>
      </w:r>
    </w:p>
  </w:footnote>
  <w:footnote w:type="continuationSeparator" w:id="0">
    <w:p w14:paraId="7F0A3729" w14:textId="77777777" w:rsidR="00CB61CB" w:rsidRDefault="00CB61CB" w:rsidP="00053E5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45BF253" w14:textId="74D278AA" w:rsidR="00053E5A" w:rsidRDefault="009614DC" w:rsidP="009614DC">
    <w:pPr>
      <w:pStyle w:val="Nagwek"/>
      <w:tabs>
        <w:tab w:val="clear" w:pos="4536"/>
        <w:tab w:val="clear" w:pos="9072"/>
        <w:tab w:val="left" w:pos="6000"/>
      </w:tabs>
    </w:pPr>
    <w:r>
      <w:tab/>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E9D65E5" w14:textId="6B327A7C" w:rsidR="007C6800" w:rsidRDefault="005F23DE" w:rsidP="005F23DE">
    <w:pPr>
      <w:pStyle w:val="Nagwek"/>
      <w:tabs>
        <w:tab w:val="clear" w:pos="9072"/>
      </w:tabs>
    </w:pPr>
    <w:r>
      <w:rPr>
        <w:noProof/>
        <w:lang w:eastAsia="pl-PL"/>
      </w:rPr>
      <w:drawing>
        <wp:anchor distT="0" distB="0" distL="114300" distR="114300" simplePos="0" relativeHeight="251674624" behindDoc="1" locked="0" layoutInCell="1" allowOverlap="1" wp14:anchorId="59811BCE" wp14:editId="78A8A749">
          <wp:simplePos x="0" y="0"/>
          <wp:positionH relativeFrom="column">
            <wp:posOffset>-1565910</wp:posOffset>
          </wp:positionH>
          <wp:positionV relativeFrom="paragraph">
            <wp:posOffset>-449580</wp:posOffset>
          </wp:positionV>
          <wp:extent cx="7571761" cy="2333625"/>
          <wp:effectExtent l="0" t="0" r="0" b="0"/>
          <wp:wrapNone/>
          <wp:docPr id="2" name="Obraz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 -nagłowek1.jpg"/>
                  <pic:cNvPicPr/>
                </pic:nvPicPr>
                <pic:blipFill>
                  <a:blip r:embed="rId1" cstate="print">
                    <a:extLst>
                      <a:ext uri="{28A0092B-C50C-407E-A947-70E740481C1C}">
                        <a14:useLocalDpi xmlns:a14="http://schemas.microsoft.com/office/drawing/2010/main" val="0"/>
                      </a:ext>
                    </a:extLst>
                  </a:blip>
                  <a:stretch>
                    <a:fillRect/>
                  </a:stretch>
                </pic:blipFill>
                <pic:spPr>
                  <a:xfrm>
                    <a:off x="0" y="0"/>
                    <a:ext cx="7571761" cy="2333625"/>
                  </a:xfrm>
                  <a:prstGeom prst="rect">
                    <a:avLst/>
                  </a:prstGeom>
                </pic:spPr>
              </pic:pic>
            </a:graphicData>
          </a:graphic>
          <wp14:sizeRelH relativeFrom="page">
            <wp14:pctWidth>0</wp14:pctWidth>
          </wp14:sizeRelH>
          <wp14:sizeRelV relativeFrom="page">
            <wp14:pctHeight>0</wp14:pctHeight>
          </wp14:sizeRelV>
        </wp:anchor>
      </w:drawing>
    </w:r>
    <w:r>
      <w:tab/>
    </w:r>
  </w:p>
  <w:p w14:paraId="7CF9060C" w14:textId="5FA35B3D" w:rsidR="007C6800" w:rsidRDefault="007C6800" w:rsidP="007C6800">
    <w:pPr>
      <w:pStyle w:val="Nagwek"/>
    </w:pPr>
  </w:p>
  <w:p w14:paraId="285AAA27" w14:textId="496C11CF" w:rsidR="007C6800" w:rsidRPr="007C6800" w:rsidRDefault="007362FC" w:rsidP="007C6800">
    <w:pPr>
      <w:pStyle w:val="Nagwek"/>
    </w:pPr>
    <w:r>
      <w:rPr>
        <w:noProof/>
        <w:lang w:eastAsia="pl-PL"/>
      </w:rPr>
      <w:drawing>
        <wp:anchor distT="0" distB="0" distL="114300" distR="114300" simplePos="0" relativeHeight="251672576" behindDoc="1" locked="0" layoutInCell="1" allowOverlap="1" wp14:anchorId="66C9236A" wp14:editId="4C939400">
          <wp:simplePos x="0" y="0"/>
          <wp:positionH relativeFrom="column">
            <wp:posOffset>6805930</wp:posOffset>
          </wp:positionH>
          <wp:positionV relativeFrom="paragraph">
            <wp:posOffset>2952750</wp:posOffset>
          </wp:positionV>
          <wp:extent cx="7715250" cy="6960870"/>
          <wp:effectExtent l="0" t="0" r="0" b="0"/>
          <wp:wrapNone/>
          <wp:docPr id="3"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apier frimowy - ogłoszenia z logo Śremu 2022.jpg"/>
                  <pic:cNvPicPr/>
                </pic:nvPicPr>
                <pic:blipFill rotWithShape="1">
                  <a:blip r:embed="rId2" cstate="print">
                    <a:extLst>
                      <a:ext uri="{28A0092B-C50C-407E-A947-70E740481C1C}">
                        <a14:useLocalDpi xmlns:a14="http://schemas.microsoft.com/office/drawing/2010/main" val="0"/>
                      </a:ext>
                    </a:extLst>
                  </a:blip>
                  <a:srcRect l="1" t="35201" r="-1504"/>
                  <a:stretch/>
                </pic:blipFill>
                <pic:spPr bwMode="auto">
                  <a:xfrm>
                    <a:off x="0" y="0"/>
                    <a:ext cx="7715250" cy="6960870"/>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1A5507"/>
    <w:multiLevelType w:val="hybridMultilevel"/>
    <w:tmpl w:val="C0424700"/>
    <w:lvl w:ilvl="0" w:tplc="1EF873C8">
      <w:start w:val="1"/>
      <w:numFmt w:val="lowerLetter"/>
      <w:lvlText w:val="%1)"/>
      <w:lvlJc w:val="left"/>
      <w:pPr>
        <w:ind w:left="1211" w:hanging="360"/>
      </w:pPr>
      <w:rPr>
        <w:rFonts w:hint="default"/>
      </w:rPr>
    </w:lvl>
    <w:lvl w:ilvl="1" w:tplc="04150019" w:tentative="1">
      <w:start w:val="1"/>
      <w:numFmt w:val="lowerLetter"/>
      <w:lvlText w:val="%2."/>
      <w:lvlJc w:val="left"/>
      <w:pPr>
        <w:ind w:left="1931" w:hanging="360"/>
      </w:pPr>
    </w:lvl>
    <w:lvl w:ilvl="2" w:tplc="0415001B" w:tentative="1">
      <w:start w:val="1"/>
      <w:numFmt w:val="lowerRoman"/>
      <w:lvlText w:val="%3."/>
      <w:lvlJc w:val="right"/>
      <w:pPr>
        <w:ind w:left="2651" w:hanging="180"/>
      </w:pPr>
    </w:lvl>
    <w:lvl w:ilvl="3" w:tplc="0415000F" w:tentative="1">
      <w:start w:val="1"/>
      <w:numFmt w:val="decimal"/>
      <w:lvlText w:val="%4."/>
      <w:lvlJc w:val="left"/>
      <w:pPr>
        <w:ind w:left="3371" w:hanging="360"/>
      </w:pPr>
    </w:lvl>
    <w:lvl w:ilvl="4" w:tplc="04150019" w:tentative="1">
      <w:start w:val="1"/>
      <w:numFmt w:val="lowerLetter"/>
      <w:lvlText w:val="%5."/>
      <w:lvlJc w:val="left"/>
      <w:pPr>
        <w:ind w:left="4091" w:hanging="360"/>
      </w:pPr>
    </w:lvl>
    <w:lvl w:ilvl="5" w:tplc="0415001B" w:tentative="1">
      <w:start w:val="1"/>
      <w:numFmt w:val="lowerRoman"/>
      <w:lvlText w:val="%6."/>
      <w:lvlJc w:val="right"/>
      <w:pPr>
        <w:ind w:left="4811" w:hanging="180"/>
      </w:pPr>
    </w:lvl>
    <w:lvl w:ilvl="6" w:tplc="0415000F" w:tentative="1">
      <w:start w:val="1"/>
      <w:numFmt w:val="decimal"/>
      <w:lvlText w:val="%7."/>
      <w:lvlJc w:val="left"/>
      <w:pPr>
        <w:ind w:left="5531" w:hanging="360"/>
      </w:pPr>
    </w:lvl>
    <w:lvl w:ilvl="7" w:tplc="04150019" w:tentative="1">
      <w:start w:val="1"/>
      <w:numFmt w:val="lowerLetter"/>
      <w:lvlText w:val="%8."/>
      <w:lvlJc w:val="left"/>
      <w:pPr>
        <w:ind w:left="6251" w:hanging="360"/>
      </w:pPr>
    </w:lvl>
    <w:lvl w:ilvl="8" w:tplc="0415001B" w:tentative="1">
      <w:start w:val="1"/>
      <w:numFmt w:val="lowerRoman"/>
      <w:lvlText w:val="%9."/>
      <w:lvlJc w:val="right"/>
      <w:pPr>
        <w:ind w:left="6971" w:hanging="180"/>
      </w:pPr>
    </w:lvl>
  </w:abstractNum>
  <w:abstractNum w:abstractNumId="1" w15:restartNumberingAfterBreak="0">
    <w:nsid w:val="05095AA5"/>
    <w:multiLevelType w:val="hybridMultilevel"/>
    <w:tmpl w:val="71C89E4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0E19155C"/>
    <w:multiLevelType w:val="hybridMultilevel"/>
    <w:tmpl w:val="2C1804E0"/>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3" w15:restartNumberingAfterBreak="0">
    <w:nsid w:val="13A84F1B"/>
    <w:multiLevelType w:val="hybridMultilevel"/>
    <w:tmpl w:val="1DF0D41C"/>
    <w:lvl w:ilvl="0" w:tplc="E6B8B576">
      <w:start w:val="1"/>
      <w:numFmt w:val="decimal"/>
      <w:lvlText w:val="%1)"/>
      <w:lvlJc w:val="left"/>
      <w:pPr>
        <w:ind w:left="1146" w:hanging="360"/>
      </w:pPr>
      <w:rPr>
        <w:rFonts w:hint="default"/>
        <w:b w:val="0"/>
        <w:sz w:val="28"/>
      </w:r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4" w15:restartNumberingAfterBreak="0">
    <w:nsid w:val="15E06187"/>
    <w:multiLevelType w:val="hybridMultilevel"/>
    <w:tmpl w:val="D898BD56"/>
    <w:lvl w:ilvl="0" w:tplc="0415000F">
      <w:start w:val="1"/>
      <w:numFmt w:val="decimal"/>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15:restartNumberingAfterBreak="0">
    <w:nsid w:val="176A6B3C"/>
    <w:multiLevelType w:val="hybridMultilevel"/>
    <w:tmpl w:val="418870FA"/>
    <w:lvl w:ilvl="0" w:tplc="A27CDF86">
      <w:start w:val="1"/>
      <w:numFmt w:val="bullet"/>
      <w:lvlText w:val=""/>
      <w:lvlJc w:val="left"/>
      <w:pPr>
        <w:ind w:left="780" w:hanging="360"/>
      </w:pPr>
      <w:rPr>
        <w:rFonts w:ascii="Symbol" w:hAnsi="Symbol" w:hint="default"/>
      </w:rPr>
    </w:lvl>
    <w:lvl w:ilvl="1" w:tplc="04150003" w:tentative="1">
      <w:start w:val="1"/>
      <w:numFmt w:val="bullet"/>
      <w:lvlText w:val="o"/>
      <w:lvlJc w:val="left"/>
      <w:pPr>
        <w:ind w:left="1500" w:hanging="360"/>
      </w:pPr>
      <w:rPr>
        <w:rFonts w:ascii="Courier New" w:hAnsi="Courier New" w:cs="Courier New" w:hint="default"/>
      </w:rPr>
    </w:lvl>
    <w:lvl w:ilvl="2" w:tplc="04150005" w:tentative="1">
      <w:start w:val="1"/>
      <w:numFmt w:val="bullet"/>
      <w:lvlText w:val=""/>
      <w:lvlJc w:val="left"/>
      <w:pPr>
        <w:ind w:left="2220" w:hanging="360"/>
      </w:pPr>
      <w:rPr>
        <w:rFonts w:ascii="Wingdings" w:hAnsi="Wingdings" w:hint="default"/>
      </w:rPr>
    </w:lvl>
    <w:lvl w:ilvl="3" w:tplc="04150001" w:tentative="1">
      <w:start w:val="1"/>
      <w:numFmt w:val="bullet"/>
      <w:lvlText w:val=""/>
      <w:lvlJc w:val="left"/>
      <w:pPr>
        <w:ind w:left="2940" w:hanging="360"/>
      </w:pPr>
      <w:rPr>
        <w:rFonts w:ascii="Symbol" w:hAnsi="Symbol" w:hint="default"/>
      </w:rPr>
    </w:lvl>
    <w:lvl w:ilvl="4" w:tplc="04150003" w:tentative="1">
      <w:start w:val="1"/>
      <w:numFmt w:val="bullet"/>
      <w:lvlText w:val="o"/>
      <w:lvlJc w:val="left"/>
      <w:pPr>
        <w:ind w:left="3660" w:hanging="360"/>
      </w:pPr>
      <w:rPr>
        <w:rFonts w:ascii="Courier New" w:hAnsi="Courier New" w:cs="Courier New" w:hint="default"/>
      </w:rPr>
    </w:lvl>
    <w:lvl w:ilvl="5" w:tplc="04150005" w:tentative="1">
      <w:start w:val="1"/>
      <w:numFmt w:val="bullet"/>
      <w:lvlText w:val=""/>
      <w:lvlJc w:val="left"/>
      <w:pPr>
        <w:ind w:left="4380" w:hanging="360"/>
      </w:pPr>
      <w:rPr>
        <w:rFonts w:ascii="Wingdings" w:hAnsi="Wingdings" w:hint="default"/>
      </w:rPr>
    </w:lvl>
    <w:lvl w:ilvl="6" w:tplc="04150001" w:tentative="1">
      <w:start w:val="1"/>
      <w:numFmt w:val="bullet"/>
      <w:lvlText w:val=""/>
      <w:lvlJc w:val="left"/>
      <w:pPr>
        <w:ind w:left="5100" w:hanging="360"/>
      </w:pPr>
      <w:rPr>
        <w:rFonts w:ascii="Symbol" w:hAnsi="Symbol" w:hint="default"/>
      </w:rPr>
    </w:lvl>
    <w:lvl w:ilvl="7" w:tplc="04150003" w:tentative="1">
      <w:start w:val="1"/>
      <w:numFmt w:val="bullet"/>
      <w:lvlText w:val="o"/>
      <w:lvlJc w:val="left"/>
      <w:pPr>
        <w:ind w:left="5820" w:hanging="360"/>
      </w:pPr>
      <w:rPr>
        <w:rFonts w:ascii="Courier New" w:hAnsi="Courier New" w:cs="Courier New" w:hint="default"/>
      </w:rPr>
    </w:lvl>
    <w:lvl w:ilvl="8" w:tplc="04150005" w:tentative="1">
      <w:start w:val="1"/>
      <w:numFmt w:val="bullet"/>
      <w:lvlText w:val=""/>
      <w:lvlJc w:val="left"/>
      <w:pPr>
        <w:ind w:left="6540" w:hanging="360"/>
      </w:pPr>
      <w:rPr>
        <w:rFonts w:ascii="Wingdings" w:hAnsi="Wingdings" w:hint="default"/>
      </w:rPr>
    </w:lvl>
  </w:abstractNum>
  <w:abstractNum w:abstractNumId="6" w15:restartNumberingAfterBreak="0">
    <w:nsid w:val="38AC6FC3"/>
    <w:multiLevelType w:val="hybridMultilevel"/>
    <w:tmpl w:val="AD8085E8"/>
    <w:lvl w:ilvl="0" w:tplc="04150011">
      <w:start w:val="1"/>
      <w:numFmt w:val="decimal"/>
      <w:lvlText w:val="%1)"/>
      <w:lvlJc w:val="left"/>
      <w:pPr>
        <w:ind w:left="1146" w:hanging="360"/>
      </w:pPr>
    </w:lvl>
    <w:lvl w:ilvl="1" w:tplc="04150019" w:tentative="1">
      <w:start w:val="1"/>
      <w:numFmt w:val="lowerLetter"/>
      <w:lvlText w:val="%2."/>
      <w:lvlJc w:val="left"/>
      <w:pPr>
        <w:ind w:left="1866" w:hanging="360"/>
      </w:pPr>
    </w:lvl>
    <w:lvl w:ilvl="2" w:tplc="0415001B" w:tentative="1">
      <w:start w:val="1"/>
      <w:numFmt w:val="lowerRoman"/>
      <w:lvlText w:val="%3."/>
      <w:lvlJc w:val="right"/>
      <w:pPr>
        <w:ind w:left="2586" w:hanging="180"/>
      </w:pPr>
    </w:lvl>
    <w:lvl w:ilvl="3" w:tplc="0415000F" w:tentative="1">
      <w:start w:val="1"/>
      <w:numFmt w:val="decimal"/>
      <w:lvlText w:val="%4."/>
      <w:lvlJc w:val="left"/>
      <w:pPr>
        <w:ind w:left="3306" w:hanging="360"/>
      </w:pPr>
    </w:lvl>
    <w:lvl w:ilvl="4" w:tplc="04150019" w:tentative="1">
      <w:start w:val="1"/>
      <w:numFmt w:val="lowerLetter"/>
      <w:lvlText w:val="%5."/>
      <w:lvlJc w:val="left"/>
      <w:pPr>
        <w:ind w:left="4026" w:hanging="360"/>
      </w:pPr>
    </w:lvl>
    <w:lvl w:ilvl="5" w:tplc="0415001B" w:tentative="1">
      <w:start w:val="1"/>
      <w:numFmt w:val="lowerRoman"/>
      <w:lvlText w:val="%6."/>
      <w:lvlJc w:val="right"/>
      <w:pPr>
        <w:ind w:left="4746" w:hanging="180"/>
      </w:pPr>
    </w:lvl>
    <w:lvl w:ilvl="6" w:tplc="0415000F" w:tentative="1">
      <w:start w:val="1"/>
      <w:numFmt w:val="decimal"/>
      <w:lvlText w:val="%7."/>
      <w:lvlJc w:val="left"/>
      <w:pPr>
        <w:ind w:left="5466" w:hanging="360"/>
      </w:pPr>
    </w:lvl>
    <w:lvl w:ilvl="7" w:tplc="04150019" w:tentative="1">
      <w:start w:val="1"/>
      <w:numFmt w:val="lowerLetter"/>
      <w:lvlText w:val="%8."/>
      <w:lvlJc w:val="left"/>
      <w:pPr>
        <w:ind w:left="6186" w:hanging="360"/>
      </w:pPr>
    </w:lvl>
    <w:lvl w:ilvl="8" w:tplc="0415001B" w:tentative="1">
      <w:start w:val="1"/>
      <w:numFmt w:val="lowerRoman"/>
      <w:lvlText w:val="%9."/>
      <w:lvlJc w:val="right"/>
      <w:pPr>
        <w:ind w:left="6906" w:hanging="180"/>
      </w:pPr>
    </w:lvl>
  </w:abstractNum>
  <w:abstractNum w:abstractNumId="7" w15:restartNumberingAfterBreak="0">
    <w:nsid w:val="440A745B"/>
    <w:multiLevelType w:val="hybridMultilevel"/>
    <w:tmpl w:val="3C8AC5E4"/>
    <w:lvl w:ilvl="0" w:tplc="A27CDF86">
      <w:start w:val="1"/>
      <w:numFmt w:val="bullet"/>
      <w:lvlText w:val=""/>
      <w:lvlJc w:val="left"/>
      <w:pPr>
        <w:ind w:left="1428" w:hanging="360"/>
      </w:pPr>
      <w:rPr>
        <w:rFonts w:ascii="Symbol" w:hAnsi="Symbol" w:hint="default"/>
      </w:rPr>
    </w:lvl>
    <w:lvl w:ilvl="1" w:tplc="04150003" w:tentative="1">
      <w:start w:val="1"/>
      <w:numFmt w:val="bullet"/>
      <w:lvlText w:val="o"/>
      <w:lvlJc w:val="left"/>
      <w:pPr>
        <w:ind w:left="2148" w:hanging="360"/>
      </w:pPr>
      <w:rPr>
        <w:rFonts w:ascii="Courier New" w:hAnsi="Courier New" w:cs="Courier New" w:hint="default"/>
      </w:rPr>
    </w:lvl>
    <w:lvl w:ilvl="2" w:tplc="04150005" w:tentative="1">
      <w:start w:val="1"/>
      <w:numFmt w:val="bullet"/>
      <w:lvlText w:val=""/>
      <w:lvlJc w:val="left"/>
      <w:pPr>
        <w:ind w:left="2868" w:hanging="360"/>
      </w:pPr>
      <w:rPr>
        <w:rFonts w:ascii="Wingdings" w:hAnsi="Wingdings" w:hint="default"/>
      </w:rPr>
    </w:lvl>
    <w:lvl w:ilvl="3" w:tplc="04150001" w:tentative="1">
      <w:start w:val="1"/>
      <w:numFmt w:val="bullet"/>
      <w:lvlText w:val=""/>
      <w:lvlJc w:val="left"/>
      <w:pPr>
        <w:ind w:left="3588" w:hanging="360"/>
      </w:pPr>
      <w:rPr>
        <w:rFonts w:ascii="Symbol" w:hAnsi="Symbol" w:hint="default"/>
      </w:rPr>
    </w:lvl>
    <w:lvl w:ilvl="4" w:tplc="04150003" w:tentative="1">
      <w:start w:val="1"/>
      <w:numFmt w:val="bullet"/>
      <w:lvlText w:val="o"/>
      <w:lvlJc w:val="left"/>
      <w:pPr>
        <w:ind w:left="4308" w:hanging="360"/>
      </w:pPr>
      <w:rPr>
        <w:rFonts w:ascii="Courier New" w:hAnsi="Courier New" w:cs="Courier New" w:hint="default"/>
      </w:rPr>
    </w:lvl>
    <w:lvl w:ilvl="5" w:tplc="04150005" w:tentative="1">
      <w:start w:val="1"/>
      <w:numFmt w:val="bullet"/>
      <w:lvlText w:val=""/>
      <w:lvlJc w:val="left"/>
      <w:pPr>
        <w:ind w:left="5028" w:hanging="360"/>
      </w:pPr>
      <w:rPr>
        <w:rFonts w:ascii="Wingdings" w:hAnsi="Wingdings" w:hint="default"/>
      </w:rPr>
    </w:lvl>
    <w:lvl w:ilvl="6" w:tplc="04150001" w:tentative="1">
      <w:start w:val="1"/>
      <w:numFmt w:val="bullet"/>
      <w:lvlText w:val=""/>
      <w:lvlJc w:val="left"/>
      <w:pPr>
        <w:ind w:left="5748" w:hanging="360"/>
      </w:pPr>
      <w:rPr>
        <w:rFonts w:ascii="Symbol" w:hAnsi="Symbol" w:hint="default"/>
      </w:rPr>
    </w:lvl>
    <w:lvl w:ilvl="7" w:tplc="04150003" w:tentative="1">
      <w:start w:val="1"/>
      <w:numFmt w:val="bullet"/>
      <w:lvlText w:val="o"/>
      <w:lvlJc w:val="left"/>
      <w:pPr>
        <w:ind w:left="6468" w:hanging="360"/>
      </w:pPr>
      <w:rPr>
        <w:rFonts w:ascii="Courier New" w:hAnsi="Courier New" w:cs="Courier New" w:hint="default"/>
      </w:rPr>
    </w:lvl>
    <w:lvl w:ilvl="8" w:tplc="04150005" w:tentative="1">
      <w:start w:val="1"/>
      <w:numFmt w:val="bullet"/>
      <w:lvlText w:val=""/>
      <w:lvlJc w:val="left"/>
      <w:pPr>
        <w:ind w:left="7188" w:hanging="360"/>
      </w:pPr>
      <w:rPr>
        <w:rFonts w:ascii="Wingdings" w:hAnsi="Wingdings" w:hint="default"/>
      </w:rPr>
    </w:lvl>
  </w:abstractNum>
  <w:abstractNum w:abstractNumId="8" w15:restartNumberingAfterBreak="0">
    <w:nsid w:val="4BEE24F9"/>
    <w:multiLevelType w:val="hybridMultilevel"/>
    <w:tmpl w:val="A27C01E2"/>
    <w:lvl w:ilvl="0" w:tplc="8BC6B38C">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584F1905"/>
    <w:multiLevelType w:val="hybridMultilevel"/>
    <w:tmpl w:val="8F1EE056"/>
    <w:lvl w:ilvl="0" w:tplc="FFFFFFFF">
      <w:start w:val="1"/>
      <w:numFmt w:val="lowerLetter"/>
      <w:lvlText w:val="%1)"/>
      <w:lvlJc w:val="left"/>
      <w:pPr>
        <w:ind w:left="720" w:hanging="360"/>
      </w:p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599454D0"/>
    <w:multiLevelType w:val="hybridMultilevel"/>
    <w:tmpl w:val="866EBA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5ACC7FC3"/>
    <w:multiLevelType w:val="hybridMultilevel"/>
    <w:tmpl w:val="8534AC18"/>
    <w:lvl w:ilvl="0" w:tplc="0415000F">
      <w:start w:val="1"/>
      <w:numFmt w:val="decimal"/>
      <w:lvlText w:val="%1."/>
      <w:lvlJc w:val="left"/>
      <w:pPr>
        <w:ind w:left="1004" w:hanging="360"/>
      </w:p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12" w15:restartNumberingAfterBreak="0">
    <w:nsid w:val="5BC42A0E"/>
    <w:multiLevelType w:val="multilevel"/>
    <w:tmpl w:val="7F8C890E"/>
    <w:lvl w:ilvl="0">
      <w:start w:val="1"/>
      <w:numFmt w:val="decimal"/>
      <w:lvlText w:val="%1."/>
      <w:lvlJc w:val="left"/>
      <w:pPr>
        <w:ind w:left="720" w:hanging="360"/>
      </w:pPr>
      <w:rPr>
        <w:rFonts w:hint="default"/>
        <w:b w:val="0"/>
        <w:bCs/>
        <w:sz w:val="28"/>
      </w:rPr>
    </w:lvl>
    <w:lvl w:ilvl="1">
      <w:start w:val="1"/>
      <w:numFmt w:val="decimal"/>
      <w:lvlText w:val="%2)"/>
      <w:lvlJc w:val="left"/>
      <w:pPr>
        <w:ind w:left="1080" w:hanging="720"/>
      </w:pPr>
      <w:rPr>
        <w:rFonts w:hint="default"/>
        <w:b w:val="0"/>
        <w:sz w:val="28"/>
        <w:szCs w:val="28"/>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2160" w:hanging="180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3" w15:restartNumberingAfterBreak="0">
    <w:nsid w:val="64903587"/>
    <w:multiLevelType w:val="hybridMultilevel"/>
    <w:tmpl w:val="89DADB86"/>
    <w:lvl w:ilvl="0" w:tplc="A27CDF86">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4" w15:restartNumberingAfterBreak="0">
    <w:nsid w:val="692A371F"/>
    <w:multiLevelType w:val="hybridMultilevel"/>
    <w:tmpl w:val="D228C4D8"/>
    <w:lvl w:ilvl="0" w:tplc="E7C632A8">
      <w:start w:val="2"/>
      <w:numFmt w:val="decimal"/>
      <w:lvlText w:val="%1."/>
      <w:lvlJc w:val="left"/>
      <w:pPr>
        <w:ind w:left="502"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15:restartNumberingAfterBreak="0">
    <w:nsid w:val="6BEC0F07"/>
    <w:multiLevelType w:val="hybridMultilevel"/>
    <w:tmpl w:val="27DC785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6DDA066E"/>
    <w:multiLevelType w:val="hybridMultilevel"/>
    <w:tmpl w:val="B4A6E944"/>
    <w:lvl w:ilvl="0" w:tplc="D04A44DC">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7" w15:restartNumberingAfterBreak="0">
    <w:nsid w:val="76156604"/>
    <w:multiLevelType w:val="hybridMultilevel"/>
    <w:tmpl w:val="70F839A4"/>
    <w:lvl w:ilvl="0" w:tplc="2494958A">
      <w:start w:val="1"/>
      <w:numFmt w:val="lowerLetter"/>
      <w:lvlText w:val="%1)"/>
      <w:lvlJc w:val="left"/>
      <w:pPr>
        <w:ind w:left="502" w:hanging="360"/>
      </w:pPr>
      <w:rPr>
        <w:rFonts w:hint="default"/>
      </w:rPr>
    </w:lvl>
    <w:lvl w:ilvl="1" w:tplc="04150019" w:tentative="1">
      <w:start w:val="1"/>
      <w:numFmt w:val="lowerLetter"/>
      <w:lvlText w:val="%2."/>
      <w:lvlJc w:val="left"/>
      <w:pPr>
        <w:ind w:left="1222" w:hanging="360"/>
      </w:pPr>
    </w:lvl>
    <w:lvl w:ilvl="2" w:tplc="0415001B" w:tentative="1">
      <w:start w:val="1"/>
      <w:numFmt w:val="lowerRoman"/>
      <w:lvlText w:val="%3."/>
      <w:lvlJc w:val="right"/>
      <w:pPr>
        <w:ind w:left="1942" w:hanging="180"/>
      </w:pPr>
    </w:lvl>
    <w:lvl w:ilvl="3" w:tplc="0415000F" w:tentative="1">
      <w:start w:val="1"/>
      <w:numFmt w:val="decimal"/>
      <w:lvlText w:val="%4."/>
      <w:lvlJc w:val="left"/>
      <w:pPr>
        <w:ind w:left="2662" w:hanging="360"/>
      </w:pPr>
    </w:lvl>
    <w:lvl w:ilvl="4" w:tplc="04150019" w:tentative="1">
      <w:start w:val="1"/>
      <w:numFmt w:val="lowerLetter"/>
      <w:lvlText w:val="%5."/>
      <w:lvlJc w:val="left"/>
      <w:pPr>
        <w:ind w:left="3382" w:hanging="360"/>
      </w:pPr>
    </w:lvl>
    <w:lvl w:ilvl="5" w:tplc="0415001B" w:tentative="1">
      <w:start w:val="1"/>
      <w:numFmt w:val="lowerRoman"/>
      <w:lvlText w:val="%6."/>
      <w:lvlJc w:val="right"/>
      <w:pPr>
        <w:ind w:left="4102" w:hanging="180"/>
      </w:pPr>
    </w:lvl>
    <w:lvl w:ilvl="6" w:tplc="0415000F" w:tentative="1">
      <w:start w:val="1"/>
      <w:numFmt w:val="decimal"/>
      <w:lvlText w:val="%7."/>
      <w:lvlJc w:val="left"/>
      <w:pPr>
        <w:ind w:left="4822" w:hanging="360"/>
      </w:pPr>
    </w:lvl>
    <w:lvl w:ilvl="7" w:tplc="04150019" w:tentative="1">
      <w:start w:val="1"/>
      <w:numFmt w:val="lowerLetter"/>
      <w:lvlText w:val="%8."/>
      <w:lvlJc w:val="left"/>
      <w:pPr>
        <w:ind w:left="5542" w:hanging="360"/>
      </w:pPr>
    </w:lvl>
    <w:lvl w:ilvl="8" w:tplc="0415001B" w:tentative="1">
      <w:start w:val="1"/>
      <w:numFmt w:val="lowerRoman"/>
      <w:lvlText w:val="%9."/>
      <w:lvlJc w:val="right"/>
      <w:pPr>
        <w:ind w:left="6262" w:hanging="180"/>
      </w:pPr>
    </w:lvl>
  </w:abstractNum>
  <w:abstractNum w:abstractNumId="18" w15:restartNumberingAfterBreak="0">
    <w:nsid w:val="78361418"/>
    <w:multiLevelType w:val="hybridMultilevel"/>
    <w:tmpl w:val="FD681618"/>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7C4952F1"/>
    <w:multiLevelType w:val="hybridMultilevel"/>
    <w:tmpl w:val="A168AB2E"/>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0" w15:restartNumberingAfterBreak="0">
    <w:nsid w:val="7E2400F4"/>
    <w:multiLevelType w:val="hybridMultilevel"/>
    <w:tmpl w:val="A3AA211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91654990">
    <w:abstractNumId w:val="12"/>
  </w:num>
  <w:num w:numId="2" w16cid:durableId="623274661">
    <w:abstractNumId w:val="18"/>
  </w:num>
  <w:num w:numId="3" w16cid:durableId="428895939">
    <w:abstractNumId w:val="3"/>
  </w:num>
  <w:num w:numId="4" w16cid:durableId="165706803">
    <w:abstractNumId w:val="8"/>
  </w:num>
  <w:num w:numId="5" w16cid:durableId="53897451">
    <w:abstractNumId w:val="6"/>
  </w:num>
  <w:num w:numId="6" w16cid:durableId="1220093233">
    <w:abstractNumId w:val="10"/>
  </w:num>
  <w:num w:numId="7" w16cid:durableId="2078474319">
    <w:abstractNumId w:val="17"/>
  </w:num>
  <w:num w:numId="8" w16cid:durableId="1431076316">
    <w:abstractNumId w:val="4"/>
  </w:num>
  <w:num w:numId="9" w16cid:durableId="1427849199">
    <w:abstractNumId w:val="14"/>
  </w:num>
  <w:num w:numId="10" w16cid:durableId="2071146230">
    <w:abstractNumId w:val="9"/>
  </w:num>
  <w:num w:numId="11" w16cid:durableId="1712487846">
    <w:abstractNumId w:val="0"/>
  </w:num>
  <w:num w:numId="12" w16cid:durableId="438910943">
    <w:abstractNumId w:val="1"/>
  </w:num>
  <w:num w:numId="13" w16cid:durableId="812336094">
    <w:abstractNumId w:val="13"/>
  </w:num>
  <w:num w:numId="14" w16cid:durableId="103572680">
    <w:abstractNumId w:val="5"/>
  </w:num>
  <w:num w:numId="15" w16cid:durableId="1074743415">
    <w:abstractNumId w:val="7"/>
  </w:num>
  <w:num w:numId="16" w16cid:durableId="1108114942">
    <w:abstractNumId w:val="15"/>
  </w:num>
  <w:num w:numId="17" w16cid:durableId="378016390">
    <w:abstractNumId w:val="19"/>
  </w:num>
  <w:num w:numId="18" w16cid:durableId="873345847">
    <w:abstractNumId w:val="20"/>
  </w:num>
  <w:num w:numId="19" w16cid:durableId="670571236">
    <w:abstractNumId w:val="11"/>
  </w:num>
  <w:num w:numId="20" w16cid:durableId="1844854512">
    <w:abstractNumId w:val="2"/>
  </w:num>
  <w:num w:numId="21" w16cid:durableId="1159921822">
    <w:abstractNumId w:val="16"/>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053E5A"/>
    <w:rsid w:val="00025EAB"/>
    <w:rsid w:val="00053A6A"/>
    <w:rsid w:val="00053E5A"/>
    <w:rsid w:val="00066A1E"/>
    <w:rsid w:val="000812A8"/>
    <w:rsid w:val="000873F6"/>
    <w:rsid w:val="00157B44"/>
    <w:rsid w:val="00163AFB"/>
    <w:rsid w:val="001B5735"/>
    <w:rsid w:val="001E4093"/>
    <w:rsid w:val="002238DE"/>
    <w:rsid w:val="00250690"/>
    <w:rsid w:val="00265CEF"/>
    <w:rsid w:val="002D6590"/>
    <w:rsid w:val="002E76FA"/>
    <w:rsid w:val="0030366F"/>
    <w:rsid w:val="00314D2D"/>
    <w:rsid w:val="00336472"/>
    <w:rsid w:val="00353E61"/>
    <w:rsid w:val="0036718C"/>
    <w:rsid w:val="003A09D4"/>
    <w:rsid w:val="003B22E8"/>
    <w:rsid w:val="00425F0B"/>
    <w:rsid w:val="00435889"/>
    <w:rsid w:val="004519AC"/>
    <w:rsid w:val="00463950"/>
    <w:rsid w:val="0048459B"/>
    <w:rsid w:val="00487C97"/>
    <w:rsid w:val="004F3296"/>
    <w:rsid w:val="00525346"/>
    <w:rsid w:val="0054093D"/>
    <w:rsid w:val="00566AC2"/>
    <w:rsid w:val="005811F1"/>
    <w:rsid w:val="005968A5"/>
    <w:rsid w:val="005A57C7"/>
    <w:rsid w:val="005E5887"/>
    <w:rsid w:val="005F048F"/>
    <w:rsid w:val="005F23DE"/>
    <w:rsid w:val="00612602"/>
    <w:rsid w:val="0063592D"/>
    <w:rsid w:val="00655DD8"/>
    <w:rsid w:val="006A6F3E"/>
    <w:rsid w:val="006C68CB"/>
    <w:rsid w:val="00727E56"/>
    <w:rsid w:val="00730C22"/>
    <w:rsid w:val="007362FC"/>
    <w:rsid w:val="00757413"/>
    <w:rsid w:val="007859F4"/>
    <w:rsid w:val="007C6800"/>
    <w:rsid w:val="0081559F"/>
    <w:rsid w:val="00825D54"/>
    <w:rsid w:val="00831A7F"/>
    <w:rsid w:val="00837187"/>
    <w:rsid w:val="00876801"/>
    <w:rsid w:val="00883133"/>
    <w:rsid w:val="008A1C0E"/>
    <w:rsid w:val="008A276A"/>
    <w:rsid w:val="008F4549"/>
    <w:rsid w:val="009105D1"/>
    <w:rsid w:val="00912874"/>
    <w:rsid w:val="00917C21"/>
    <w:rsid w:val="00920491"/>
    <w:rsid w:val="00934866"/>
    <w:rsid w:val="00945706"/>
    <w:rsid w:val="0095451D"/>
    <w:rsid w:val="009614DC"/>
    <w:rsid w:val="00A307EC"/>
    <w:rsid w:val="00A515B8"/>
    <w:rsid w:val="00A568A2"/>
    <w:rsid w:val="00A62257"/>
    <w:rsid w:val="00AE1740"/>
    <w:rsid w:val="00B109BE"/>
    <w:rsid w:val="00B54FE0"/>
    <w:rsid w:val="00B70A12"/>
    <w:rsid w:val="00B81AFE"/>
    <w:rsid w:val="00B91287"/>
    <w:rsid w:val="00BA179E"/>
    <w:rsid w:val="00BD5A34"/>
    <w:rsid w:val="00C07730"/>
    <w:rsid w:val="00C26DEC"/>
    <w:rsid w:val="00C552DF"/>
    <w:rsid w:val="00CA377E"/>
    <w:rsid w:val="00CB61CB"/>
    <w:rsid w:val="00CE0CFB"/>
    <w:rsid w:val="00CE396A"/>
    <w:rsid w:val="00CE490C"/>
    <w:rsid w:val="00CF4683"/>
    <w:rsid w:val="00D0263E"/>
    <w:rsid w:val="00D05C8C"/>
    <w:rsid w:val="00D10EFD"/>
    <w:rsid w:val="00D54DF8"/>
    <w:rsid w:val="00DA25D3"/>
    <w:rsid w:val="00DA2EEC"/>
    <w:rsid w:val="00DB7013"/>
    <w:rsid w:val="00DB7313"/>
    <w:rsid w:val="00DC053D"/>
    <w:rsid w:val="00E170E7"/>
    <w:rsid w:val="00E2033D"/>
    <w:rsid w:val="00E20F9D"/>
    <w:rsid w:val="00E315B4"/>
    <w:rsid w:val="00E34C2B"/>
    <w:rsid w:val="00E64E26"/>
    <w:rsid w:val="00F56842"/>
    <w:rsid w:val="00F80DB4"/>
    <w:rsid w:val="00FF484E"/>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4D93CD9"/>
  <w15:docId w15:val="{7BA52856-5F0F-49DB-865B-5A46205E4B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dymka">
    <w:name w:val="Balloon Text"/>
    <w:basedOn w:val="Normalny"/>
    <w:link w:val="TekstdymkaZnak"/>
    <w:uiPriority w:val="99"/>
    <w:semiHidden/>
    <w:unhideWhenUsed/>
    <w:rsid w:val="00053E5A"/>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053E5A"/>
    <w:rPr>
      <w:rFonts w:ascii="Tahoma" w:hAnsi="Tahoma" w:cs="Tahoma"/>
      <w:sz w:val="16"/>
      <w:szCs w:val="16"/>
    </w:rPr>
  </w:style>
  <w:style w:type="paragraph" w:styleId="Nagwek">
    <w:name w:val="header"/>
    <w:basedOn w:val="Normalny"/>
    <w:link w:val="NagwekZnak"/>
    <w:uiPriority w:val="99"/>
    <w:unhideWhenUsed/>
    <w:rsid w:val="00053E5A"/>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053E5A"/>
  </w:style>
  <w:style w:type="paragraph" w:styleId="Stopka">
    <w:name w:val="footer"/>
    <w:basedOn w:val="Normalny"/>
    <w:link w:val="StopkaZnak"/>
    <w:uiPriority w:val="99"/>
    <w:unhideWhenUsed/>
    <w:rsid w:val="00053E5A"/>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053E5A"/>
  </w:style>
  <w:style w:type="paragraph" w:styleId="Tekstprzypisudolnego">
    <w:name w:val="footnote text"/>
    <w:basedOn w:val="Normalny"/>
    <w:link w:val="TekstprzypisudolnegoZnak"/>
    <w:uiPriority w:val="99"/>
    <w:semiHidden/>
    <w:unhideWhenUsed/>
    <w:rsid w:val="00BD5A34"/>
    <w:pPr>
      <w:spacing w:after="0" w:line="240" w:lineRule="auto"/>
    </w:pPr>
    <w:rPr>
      <w:sz w:val="20"/>
      <w:szCs w:val="20"/>
    </w:rPr>
  </w:style>
  <w:style w:type="character" w:customStyle="1" w:styleId="TekstprzypisudolnegoZnak">
    <w:name w:val="Tekst przypisu dolnego Znak"/>
    <w:basedOn w:val="Domylnaczcionkaakapitu"/>
    <w:link w:val="Tekstprzypisudolnego"/>
    <w:uiPriority w:val="99"/>
    <w:semiHidden/>
    <w:rsid w:val="00BD5A34"/>
    <w:rPr>
      <w:sz w:val="20"/>
      <w:szCs w:val="20"/>
    </w:rPr>
  </w:style>
  <w:style w:type="character" w:styleId="Odwoanieprzypisudolnego">
    <w:name w:val="footnote reference"/>
    <w:uiPriority w:val="99"/>
    <w:semiHidden/>
    <w:unhideWhenUsed/>
    <w:rsid w:val="00BD5A34"/>
    <w:rPr>
      <w:vertAlign w:val="superscript"/>
    </w:rPr>
  </w:style>
  <w:style w:type="character" w:styleId="Hipercze">
    <w:name w:val="Hyperlink"/>
    <w:basedOn w:val="Domylnaczcionkaakapitu"/>
    <w:uiPriority w:val="99"/>
    <w:unhideWhenUsed/>
    <w:rsid w:val="00566AC2"/>
    <w:rPr>
      <w:color w:val="0000FF" w:themeColor="hyperlink"/>
      <w:u w:val="single"/>
    </w:rPr>
  </w:style>
  <w:style w:type="character" w:styleId="Nierozpoznanawzmianka">
    <w:name w:val="Unresolved Mention"/>
    <w:basedOn w:val="Domylnaczcionkaakapitu"/>
    <w:uiPriority w:val="99"/>
    <w:semiHidden/>
    <w:unhideWhenUsed/>
    <w:rsid w:val="00566AC2"/>
    <w:rPr>
      <w:color w:val="605E5C"/>
      <w:shd w:val="clear" w:color="auto" w:fill="E1DFDD"/>
    </w:rPr>
  </w:style>
  <w:style w:type="numbering" w:customStyle="1" w:styleId="Bezlisty1">
    <w:name w:val="Bez listy1"/>
    <w:next w:val="Bezlisty"/>
    <w:uiPriority w:val="99"/>
    <w:semiHidden/>
    <w:unhideWhenUsed/>
    <w:rsid w:val="00B81AFE"/>
  </w:style>
  <w:style w:type="numbering" w:customStyle="1" w:styleId="Bezlisty11">
    <w:name w:val="Bez listy11"/>
    <w:next w:val="Bezlisty"/>
    <w:uiPriority w:val="99"/>
    <w:semiHidden/>
    <w:unhideWhenUsed/>
    <w:rsid w:val="00B81AFE"/>
  </w:style>
  <w:style w:type="character" w:styleId="Numerstrony">
    <w:name w:val="page number"/>
    <w:rsid w:val="00B81AFE"/>
  </w:style>
  <w:style w:type="paragraph" w:customStyle="1" w:styleId="Akapitzlist1">
    <w:name w:val="Akapit z listą1"/>
    <w:basedOn w:val="Normalny"/>
    <w:next w:val="Akapitzlist"/>
    <w:uiPriority w:val="34"/>
    <w:qFormat/>
    <w:rsid w:val="00B81AFE"/>
    <w:pPr>
      <w:spacing w:after="120" w:line="240" w:lineRule="auto"/>
      <w:ind w:left="720"/>
      <w:contextualSpacing/>
      <w:jc w:val="both"/>
    </w:pPr>
    <w:rPr>
      <w:rFonts w:eastAsia="Calibri" w:cs="Times New Roman"/>
      <w:sz w:val="28"/>
    </w:rPr>
  </w:style>
  <w:style w:type="paragraph" w:customStyle="1" w:styleId="Tekstpodstawowy1">
    <w:name w:val="Tekst podstawowy1"/>
    <w:basedOn w:val="Normalny"/>
    <w:next w:val="Tekstpodstawowy"/>
    <w:link w:val="TekstpodstawowyZnak"/>
    <w:uiPriority w:val="99"/>
    <w:unhideWhenUsed/>
    <w:rsid w:val="00B81AFE"/>
    <w:pPr>
      <w:spacing w:after="120" w:line="240" w:lineRule="auto"/>
      <w:jc w:val="both"/>
    </w:pPr>
    <w:rPr>
      <w:rFonts w:ascii="Calibri" w:hAnsi="Calibri" w:cs="Times New Roman"/>
    </w:rPr>
  </w:style>
  <w:style w:type="character" w:customStyle="1" w:styleId="TekstpodstawowyZnak">
    <w:name w:val="Tekst podstawowy Znak"/>
    <w:basedOn w:val="Domylnaczcionkaakapitu"/>
    <w:link w:val="Tekstpodstawowy1"/>
    <w:uiPriority w:val="99"/>
    <w:rsid w:val="00B81AFE"/>
    <w:rPr>
      <w:rFonts w:ascii="Calibri" w:hAnsi="Calibri" w:cs="Times New Roman"/>
    </w:rPr>
  </w:style>
  <w:style w:type="character" w:customStyle="1" w:styleId="WW8Num2z3">
    <w:name w:val="WW8Num2z3"/>
    <w:rsid w:val="00B81AFE"/>
  </w:style>
  <w:style w:type="paragraph" w:customStyle="1" w:styleId="Standard">
    <w:name w:val="Standard"/>
    <w:rsid w:val="00B81AFE"/>
    <w:pPr>
      <w:suppressAutoHyphens/>
      <w:autoSpaceDN w:val="0"/>
      <w:spacing w:after="0" w:line="240" w:lineRule="auto"/>
      <w:textAlignment w:val="baseline"/>
    </w:pPr>
    <w:rPr>
      <w:rFonts w:ascii="Times New Roman" w:eastAsia="Times New Roman" w:hAnsi="Times New Roman" w:cs="Times New Roman"/>
      <w:kern w:val="3"/>
      <w:sz w:val="24"/>
      <w:szCs w:val="24"/>
      <w:lang w:eastAsia="zh-CN"/>
    </w:rPr>
  </w:style>
  <w:style w:type="paragraph" w:customStyle="1" w:styleId="Tekstprzypisukocowego1">
    <w:name w:val="Tekst przypisu końcowego1"/>
    <w:basedOn w:val="Normalny"/>
    <w:next w:val="Tekstprzypisukocowego"/>
    <w:link w:val="TekstprzypisukocowegoZnak"/>
    <w:uiPriority w:val="99"/>
    <w:semiHidden/>
    <w:unhideWhenUsed/>
    <w:rsid w:val="00B81AFE"/>
    <w:pPr>
      <w:spacing w:after="0" w:line="240" w:lineRule="auto"/>
      <w:jc w:val="both"/>
    </w:pPr>
    <w:rPr>
      <w:rFonts w:ascii="Calibri" w:hAnsi="Calibri" w:cs="Times New Roman"/>
      <w:sz w:val="20"/>
      <w:szCs w:val="20"/>
    </w:rPr>
  </w:style>
  <w:style w:type="character" w:customStyle="1" w:styleId="TekstprzypisukocowegoZnak">
    <w:name w:val="Tekst przypisu końcowego Znak"/>
    <w:basedOn w:val="Domylnaczcionkaakapitu"/>
    <w:link w:val="Tekstprzypisukocowego1"/>
    <w:uiPriority w:val="99"/>
    <w:semiHidden/>
    <w:rsid w:val="00B81AFE"/>
    <w:rPr>
      <w:rFonts w:ascii="Calibri" w:hAnsi="Calibri" w:cs="Times New Roman"/>
      <w:sz w:val="20"/>
      <w:szCs w:val="20"/>
    </w:rPr>
  </w:style>
  <w:style w:type="character" w:styleId="Odwoanieprzypisukocowego">
    <w:name w:val="endnote reference"/>
    <w:basedOn w:val="Domylnaczcionkaakapitu"/>
    <w:uiPriority w:val="99"/>
    <w:semiHidden/>
    <w:unhideWhenUsed/>
    <w:rsid w:val="00B81AFE"/>
    <w:rPr>
      <w:vertAlign w:val="superscript"/>
    </w:rPr>
  </w:style>
  <w:style w:type="character" w:customStyle="1" w:styleId="UyteHipercze1">
    <w:name w:val="UżyteHiperłącze1"/>
    <w:basedOn w:val="Domylnaczcionkaakapitu"/>
    <w:uiPriority w:val="99"/>
    <w:semiHidden/>
    <w:unhideWhenUsed/>
    <w:rsid w:val="00B81AFE"/>
    <w:rPr>
      <w:color w:val="954F72"/>
      <w:u w:val="single"/>
    </w:rPr>
  </w:style>
  <w:style w:type="paragraph" w:styleId="Akapitzlist">
    <w:name w:val="List Paragraph"/>
    <w:basedOn w:val="Normalny"/>
    <w:uiPriority w:val="34"/>
    <w:qFormat/>
    <w:rsid w:val="00B81AFE"/>
    <w:pPr>
      <w:ind w:left="720"/>
      <w:contextualSpacing/>
    </w:pPr>
  </w:style>
  <w:style w:type="paragraph" w:styleId="Tekstpodstawowy">
    <w:name w:val="Body Text"/>
    <w:basedOn w:val="Normalny"/>
    <w:link w:val="TekstpodstawowyZnak1"/>
    <w:uiPriority w:val="99"/>
    <w:semiHidden/>
    <w:unhideWhenUsed/>
    <w:rsid w:val="00B81AFE"/>
    <w:pPr>
      <w:spacing w:after="120"/>
    </w:pPr>
  </w:style>
  <w:style w:type="character" w:customStyle="1" w:styleId="TekstpodstawowyZnak1">
    <w:name w:val="Tekst podstawowy Znak1"/>
    <w:basedOn w:val="Domylnaczcionkaakapitu"/>
    <w:link w:val="Tekstpodstawowy"/>
    <w:uiPriority w:val="99"/>
    <w:semiHidden/>
    <w:rsid w:val="00B81AFE"/>
  </w:style>
  <w:style w:type="paragraph" w:styleId="Tekstprzypisukocowego">
    <w:name w:val="endnote text"/>
    <w:basedOn w:val="Normalny"/>
    <w:link w:val="TekstprzypisukocowegoZnak1"/>
    <w:uiPriority w:val="99"/>
    <w:semiHidden/>
    <w:unhideWhenUsed/>
    <w:rsid w:val="00B81AFE"/>
    <w:pPr>
      <w:spacing w:after="0" w:line="240" w:lineRule="auto"/>
    </w:pPr>
    <w:rPr>
      <w:sz w:val="20"/>
      <w:szCs w:val="20"/>
    </w:rPr>
  </w:style>
  <w:style w:type="character" w:customStyle="1" w:styleId="TekstprzypisukocowegoZnak1">
    <w:name w:val="Tekst przypisu końcowego Znak1"/>
    <w:basedOn w:val="Domylnaczcionkaakapitu"/>
    <w:link w:val="Tekstprzypisukocowego"/>
    <w:uiPriority w:val="99"/>
    <w:semiHidden/>
    <w:rsid w:val="00B81AFE"/>
    <w:rPr>
      <w:sz w:val="20"/>
      <w:szCs w:val="20"/>
    </w:rPr>
  </w:style>
  <w:style w:type="character" w:styleId="UyteHipercze">
    <w:name w:val="FollowedHyperlink"/>
    <w:basedOn w:val="Domylnaczcionkaakapitu"/>
    <w:uiPriority w:val="99"/>
    <w:semiHidden/>
    <w:unhideWhenUsed/>
    <w:rsid w:val="00B81AFE"/>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bip.srem.pl/public/?id=232106" TargetMode="Externa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bip.srem.pl/public/?id=232106" TargetMode="External"/><Relationship Id="rId4" Type="http://schemas.openxmlformats.org/officeDocument/2006/relationships/settings" Target="settings.xml"/><Relationship Id="rId9" Type="http://schemas.openxmlformats.org/officeDocument/2006/relationships/hyperlink" Target="https://bip.srem.pl/public/?id=232106" TargetMode="External"/><Relationship Id="rId14"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3.jpg"/></Relationships>
</file>

<file path=word/_rels/header2.xml.rels><?xml version="1.0" encoding="UTF-8" standalone="yes"?>
<Relationships xmlns="http://schemas.openxmlformats.org/package/2006/relationships"><Relationship Id="rId2" Type="http://schemas.openxmlformats.org/officeDocument/2006/relationships/image" Target="media/image2.jpeg"/><Relationship Id="rId1" Type="http://schemas.openxmlformats.org/officeDocument/2006/relationships/image" Target="media/image1.jpeg"/></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DCCD508-4E20-46EE-BCFC-E500447591B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244</TotalTime>
  <Pages>1</Pages>
  <Words>7750</Words>
  <Characters>46505</Characters>
  <Application>Microsoft Office Word</Application>
  <DocSecurity>0</DocSecurity>
  <Lines>387</Lines>
  <Paragraphs>108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54147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Adrian Wartecki</dc:creator>
  <cp:lastModifiedBy>Sekretariat UM ŚREM</cp:lastModifiedBy>
  <cp:revision>49</cp:revision>
  <cp:lastPrinted>2024-10-11T09:30:00Z</cp:lastPrinted>
  <dcterms:created xsi:type="dcterms:W3CDTF">2021-04-23T10:50:00Z</dcterms:created>
  <dcterms:modified xsi:type="dcterms:W3CDTF">2024-12-12T11:21:00Z</dcterms:modified>
</cp:coreProperties>
</file>