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0BE4" w14:textId="77777777" w:rsidR="00FD6F7E" w:rsidRDefault="00FD6F7E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</w:p>
    <w:p w14:paraId="5D0C37BD" w14:textId="227CE501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Burmistrz Śremu</w:t>
      </w:r>
    </w:p>
    <w:p w14:paraId="38C3318A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ul. Plac 20 Października 1</w:t>
      </w:r>
    </w:p>
    <w:p w14:paraId="335059D8" w14:textId="77777777" w:rsidR="00BD5A34" w:rsidRPr="0063592D" w:rsidRDefault="00BD5A34" w:rsidP="00BD5A34">
      <w:pPr>
        <w:spacing w:after="0" w:line="240" w:lineRule="auto"/>
        <w:ind w:right="5668"/>
        <w:jc w:val="center"/>
        <w:rPr>
          <w:rFonts w:cstheme="minorHAnsi"/>
          <w:bCs/>
          <w:sz w:val="28"/>
          <w:szCs w:val="28"/>
        </w:rPr>
      </w:pPr>
      <w:r w:rsidRPr="0063592D">
        <w:rPr>
          <w:rFonts w:cstheme="minorHAnsi"/>
          <w:bCs/>
          <w:sz w:val="28"/>
          <w:szCs w:val="28"/>
        </w:rPr>
        <w:t>63-100 Śrem</w:t>
      </w:r>
    </w:p>
    <w:p w14:paraId="2C937DB9" w14:textId="257D82FB" w:rsidR="00BD5A34" w:rsidRPr="0063592D" w:rsidRDefault="00BD5A34" w:rsidP="00BD5A3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 xml:space="preserve">Śrem, </w:t>
      </w:r>
      <w:r w:rsidR="00354C05">
        <w:rPr>
          <w:rFonts w:cstheme="minorHAnsi"/>
          <w:sz w:val="28"/>
          <w:szCs w:val="28"/>
        </w:rPr>
        <w:t>11</w:t>
      </w:r>
      <w:r w:rsidR="00272D72">
        <w:rPr>
          <w:rFonts w:cstheme="minorHAnsi"/>
          <w:sz w:val="28"/>
          <w:szCs w:val="28"/>
        </w:rPr>
        <w:t xml:space="preserve"> lutego 2025</w:t>
      </w:r>
      <w:r w:rsidRPr="0063592D">
        <w:rPr>
          <w:rFonts w:cstheme="minorHAnsi"/>
          <w:sz w:val="28"/>
          <w:szCs w:val="28"/>
        </w:rPr>
        <w:t xml:space="preserve"> roku</w:t>
      </w:r>
    </w:p>
    <w:p w14:paraId="314AFC46" w14:textId="38AA2CAF" w:rsidR="00BD5A34" w:rsidRPr="0063592D" w:rsidRDefault="00BD5A34" w:rsidP="00BD5A34">
      <w:pPr>
        <w:spacing w:after="120" w:line="240" w:lineRule="auto"/>
        <w:rPr>
          <w:rFonts w:cstheme="minorHAnsi"/>
          <w:sz w:val="28"/>
          <w:szCs w:val="28"/>
        </w:rPr>
      </w:pPr>
      <w:r w:rsidRPr="0063592D">
        <w:rPr>
          <w:rFonts w:cstheme="minorHAnsi"/>
          <w:sz w:val="28"/>
          <w:szCs w:val="28"/>
        </w:rPr>
        <w:t>PPSOŚ.6220.</w:t>
      </w:r>
      <w:r w:rsidR="00272D72">
        <w:rPr>
          <w:rFonts w:cstheme="minorHAnsi"/>
          <w:sz w:val="28"/>
          <w:szCs w:val="28"/>
        </w:rPr>
        <w:t>1.2022</w:t>
      </w:r>
      <w:r w:rsidRPr="0063592D">
        <w:rPr>
          <w:rFonts w:cstheme="minorHAnsi"/>
          <w:sz w:val="28"/>
          <w:szCs w:val="28"/>
        </w:rPr>
        <w:t>.BM</w:t>
      </w:r>
    </w:p>
    <w:p w14:paraId="24BCC9A5" w14:textId="77777777" w:rsidR="00BD5A34" w:rsidRPr="0063592D" w:rsidRDefault="00BD5A34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3592D">
        <w:rPr>
          <w:rFonts w:eastAsia="Times New Roman" w:cstheme="minorHAnsi"/>
          <w:sz w:val="28"/>
          <w:szCs w:val="28"/>
        </w:rPr>
        <w:t>Obwieszczenie</w:t>
      </w:r>
    </w:p>
    <w:p w14:paraId="79908BF7" w14:textId="623835B5" w:rsidR="00BD5A34" w:rsidRPr="0063592D" w:rsidRDefault="00B43811" w:rsidP="00BD5A34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 umorzeniu postępowania w sprawie</w:t>
      </w:r>
      <w:r w:rsidR="00BD5A34" w:rsidRPr="0063592D">
        <w:rPr>
          <w:rFonts w:eastAsia="Times New Roman" w:cstheme="minorHAnsi"/>
          <w:sz w:val="28"/>
          <w:szCs w:val="28"/>
        </w:rPr>
        <w:t xml:space="preserve"> wydani</w:t>
      </w:r>
      <w:r>
        <w:rPr>
          <w:rFonts w:eastAsia="Times New Roman" w:cstheme="minorHAnsi"/>
          <w:sz w:val="28"/>
          <w:szCs w:val="28"/>
        </w:rPr>
        <w:t>a</w:t>
      </w:r>
      <w:r w:rsidR="00BD5A34" w:rsidRPr="0063592D">
        <w:rPr>
          <w:rFonts w:eastAsia="Times New Roman" w:cstheme="minorHAnsi"/>
          <w:sz w:val="28"/>
          <w:szCs w:val="28"/>
        </w:rPr>
        <w:t xml:space="preserve"> decyzji o środowiskowych uwarunkowaniach</w:t>
      </w:r>
    </w:p>
    <w:p w14:paraId="0FCD8BCD" w14:textId="0E3DD9B2" w:rsidR="00B43811" w:rsidRPr="00075BFD" w:rsidRDefault="00D0263E" w:rsidP="00BC37DE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Z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>awiadamiam</w:t>
      </w:r>
      <w:r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strony postępowania, że Burmistrz Śremu</w:t>
      </w:r>
      <w:r w:rsidR="00B43811">
        <w:rPr>
          <w:rFonts w:eastAsia="Times New Roman" w:cstheme="minorHAnsi"/>
          <w:sz w:val="28"/>
          <w:szCs w:val="28"/>
          <w:lang w:eastAsia="pl-PL"/>
        </w:rPr>
        <w:t>,</w:t>
      </w:r>
      <w:r w:rsidR="00BD5A34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ma mocy decyzji z </w:t>
      </w:r>
      <w:r w:rsidR="00272D72">
        <w:rPr>
          <w:rFonts w:eastAsia="Times New Roman" w:cstheme="minorHAnsi"/>
          <w:sz w:val="28"/>
          <w:szCs w:val="28"/>
          <w:lang w:eastAsia="pl-PL"/>
        </w:rPr>
        <w:t>10.02.2025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r., umorzył postępowanie administracyjne w przedmiocie wydania na rzecz </w:t>
      </w:r>
      <w:r w:rsidR="00BC37DE" w:rsidRPr="00BC37DE">
        <w:rPr>
          <w:rFonts w:ascii="Calibri" w:eastAsia="Calibri" w:hAnsi="Calibri" w:cs="Calibri"/>
          <w:sz w:val="28"/>
          <w:szCs w:val="28"/>
        </w:rPr>
        <w:t xml:space="preserve">spółki </w:t>
      </w:r>
      <w:r w:rsidR="00075BFD" w:rsidRPr="00075BFD">
        <w:rPr>
          <w:rFonts w:ascii="Calibri" w:eastAsia="Calibri" w:hAnsi="Calibri" w:cs="Calibri"/>
          <w:sz w:val="28"/>
          <w:szCs w:val="28"/>
        </w:rPr>
        <w:t>Green Capital Spółka Akcyjna z</w:t>
      </w:r>
      <w:r w:rsidR="00075BFD">
        <w:rPr>
          <w:rFonts w:ascii="Calibri" w:eastAsia="Calibri" w:hAnsi="Calibri" w:cs="Calibri"/>
          <w:sz w:val="28"/>
          <w:szCs w:val="28"/>
        </w:rPr>
        <w:t> </w:t>
      </w:r>
      <w:r w:rsidR="00075BFD" w:rsidRPr="00075BFD">
        <w:rPr>
          <w:rFonts w:ascii="Calibri" w:eastAsia="Calibri" w:hAnsi="Calibri" w:cs="Calibri"/>
          <w:sz w:val="28"/>
          <w:szCs w:val="28"/>
        </w:rPr>
        <w:t>siedzibą w Warszawie, Aleje Jerozolimskie 85/21, 02-001 Warszawa</w:t>
      </w:r>
      <w:r w:rsidR="00B34A40">
        <w:rPr>
          <w:rFonts w:ascii="Calibri" w:eastAsia="Calibri" w:hAnsi="Calibri" w:cs="Calibri"/>
          <w:sz w:val="28"/>
          <w:szCs w:val="28"/>
        </w:rPr>
        <w:t>,</w:t>
      </w:r>
      <w:r w:rsidR="00B34A40" w:rsidRPr="00E10C32">
        <w:rPr>
          <w:rFonts w:ascii="Calibri" w:eastAsia="Calibri" w:hAnsi="Calibri" w:cs="Calibri"/>
          <w:sz w:val="28"/>
          <w:szCs w:val="28"/>
        </w:rPr>
        <w:t xml:space="preserve"> </w:t>
      </w:r>
      <w:r w:rsidR="00B43811">
        <w:rPr>
          <w:rFonts w:eastAsia="Times New Roman" w:cstheme="minorHAnsi"/>
          <w:sz w:val="28"/>
          <w:szCs w:val="28"/>
          <w:lang w:eastAsia="pl-PL"/>
        </w:rPr>
        <w:t>decyzji o</w:t>
      </w:r>
      <w:r w:rsidR="00FD6F7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środowiskowych uwarunkowaniach dla planowanego przedsięwzięcia polegającego </w:t>
      </w:r>
      <w:r w:rsidR="00FD6F7E" w:rsidRPr="00FD6F7E">
        <w:rPr>
          <w:rFonts w:eastAsia="Times New Roman" w:cstheme="minorHAnsi"/>
          <w:sz w:val="28"/>
          <w:szCs w:val="28"/>
          <w:lang w:eastAsia="pl-PL"/>
        </w:rPr>
        <w:t xml:space="preserve">na </w:t>
      </w:r>
      <w:r w:rsidR="00075BFD" w:rsidRPr="00075BFD">
        <w:rPr>
          <w:rFonts w:eastAsia="Times New Roman" w:cstheme="minorHAnsi"/>
          <w:b/>
          <w:bCs/>
          <w:sz w:val="28"/>
          <w:szCs w:val="28"/>
          <w:lang w:eastAsia="pl-PL"/>
        </w:rPr>
        <w:t>budowie farmy fotowoltaicznej o mocy do 500 kW oraz trzech zespołów kontenerowych magazynów energii o mocy do 10 MW każdy i jednego zespołu kontenerowych magazynów energii o mocy do 80</w:t>
      </w:r>
      <w:r w:rsidR="00E62C27">
        <w:rPr>
          <w:rFonts w:eastAsia="Times New Roman" w:cstheme="minorHAnsi"/>
          <w:b/>
          <w:bCs/>
          <w:sz w:val="28"/>
          <w:szCs w:val="28"/>
          <w:lang w:eastAsia="pl-PL"/>
        </w:rPr>
        <w:t> </w:t>
      </w:r>
      <w:r w:rsidR="00075BFD" w:rsidRPr="00075BFD">
        <w:rPr>
          <w:rFonts w:eastAsia="Times New Roman" w:cstheme="minorHAnsi"/>
          <w:b/>
          <w:bCs/>
          <w:sz w:val="28"/>
          <w:szCs w:val="28"/>
          <w:lang w:eastAsia="pl-PL"/>
        </w:rPr>
        <w:t xml:space="preserve">MW, o łącznej powierzchni zabudowy do 2,70 ha wraz z niezbędną infrastrukturą techniczną, </w:t>
      </w:r>
      <w:r w:rsidR="00075BFD" w:rsidRPr="00075BFD">
        <w:rPr>
          <w:rFonts w:eastAsia="Times New Roman" w:cstheme="minorHAnsi"/>
          <w:sz w:val="28"/>
          <w:szCs w:val="28"/>
          <w:lang w:eastAsia="pl-PL"/>
        </w:rPr>
        <w:t>na działce o numerze ewidencyjnym 421/4, obręb Mechlin</w:t>
      </w:r>
      <w:r w:rsidR="00B43811" w:rsidRPr="00075BF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6B540C53" w14:textId="43ABCB2E" w:rsidR="00FD6F7E" w:rsidRPr="00075BFD" w:rsidRDefault="00BD5A34" w:rsidP="00075BFD">
      <w:pPr>
        <w:spacing w:after="120" w:line="240" w:lineRule="auto"/>
        <w:ind w:firstLine="708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Od decyzji służy stronie prawo wniesienia odwołania do Samorządowego Kolegium Odwoławczego w Poznaniu, za pośrednictwem Burmistrza Śremu, w terminie 14 dni od dnia doręczenia. 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Przed upływem terminu do wniesienia odwołania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trona może zrzec się prawa do wniesienia odwołania wobec organu administracji publicznej, który wydał decyzję</w:t>
      </w:r>
      <w:r w:rsidR="00D0263E">
        <w:rPr>
          <w:rFonts w:eastAsia="Times New Roman" w:cstheme="minorHAnsi"/>
          <w:sz w:val="28"/>
          <w:szCs w:val="28"/>
          <w:lang w:eastAsia="pl-PL"/>
        </w:rPr>
        <w:t>,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 zgodnie z art. 127a § 1 ustawy z dnia 14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czerwca 1960 r. – Kodeks postępowania administracyjnego (Dz. U. z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B43811">
        <w:rPr>
          <w:rFonts w:eastAsia="Times New Roman" w:cstheme="minorHAnsi"/>
          <w:sz w:val="28"/>
          <w:szCs w:val="28"/>
          <w:lang w:eastAsia="pl-PL"/>
        </w:rPr>
        <w:t>2024 r. poz. 572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 xml:space="preserve">). Z dniem doręczenia organowi administracji publicznej oświadczenia o zrzeczeniu się prawa do wniesienia odwołania przez ostatnią ze </w:t>
      </w:r>
      <w:r w:rsidR="00D0263E">
        <w:rPr>
          <w:rFonts w:eastAsia="Times New Roman" w:cstheme="minorHAnsi"/>
          <w:sz w:val="28"/>
          <w:szCs w:val="28"/>
          <w:lang w:eastAsia="pl-PL"/>
        </w:rPr>
        <w:t>s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tron postępowania, decyzja staje się ostateczna i</w:t>
      </w:r>
      <w:r w:rsidR="00D0263E">
        <w:rPr>
          <w:rFonts w:eastAsia="Times New Roman" w:cstheme="minorHAnsi"/>
          <w:sz w:val="28"/>
          <w:szCs w:val="28"/>
          <w:lang w:eastAsia="pl-PL"/>
        </w:rPr>
        <w:t> </w:t>
      </w:r>
      <w:r w:rsidR="00D0263E" w:rsidRPr="00D0263E">
        <w:rPr>
          <w:rFonts w:eastAsia="Times New Roman" w:cstheme="minorHAnsi"/>
          <w:sz w:val="28"/>
          <w:szCs w:val="28"/>
          <w:lang w:eastAsia="pl-PL"/>
        </w:rPr>
        <w:t>prawomocna.</w:t>
      </w:r>
      <w:r w:rsidR="00D0263E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Doręczenie przez obwieszczenie uważa się za dokonane po 14</w:t>
      </w:r>
      <w:r w:rsidR="008A1C0E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 w:rsidR="00D0263E">
        <w:rPr>
          <w:rFonts w:eastAsia="Times New Roman" w:cstheme="minorHAnsi"/>
          <w:sz w:val="28"/>
          <w:szCs w:val="28"/>
          <w:lang w:eastAsia="pl-PL"/>
        </w:rPr>
        <w:t>przywołanej ustawy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p w14:paraId="4AEA3FE7" w14:textId="77777777" w:rsidR="00075BFD" w:rsidRDefault="00BD5A34" w:rsidP="00BC37DE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Jednocześnie, podaję do publicznej wiadomości informację, że z treścią decyzji oraz z dokumentacją sprawy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można zapoznać się w Urzędzie Miejskim w Śremie (ul.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>Plac 20 Października</w:t>
      </w:r>
      <w:r w:rsidR="00265CEF" w:rsidRPr="0063592D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1, pok. 33), w godzinach od 7:00 do 15:00.</w:t>
      </w:r>
      <w:r w:rsidR="00B4381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5F59E55C" w14:textId="1F861969" w:rsidR="00BD5A34" w:rsidRPr="00BC37DE" w:rsidRDefault="00BD5A34" w:rsidP="00BC37DE">
      <w:pPr>
        <w:spacing w:after="120" w:line="240" w:lineRule="auto"/>
        <w:ind w:firstLine="708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lastRenderedPageBreak/>
        <w:t xml:space="preserve">Z treścią decyzji można zapoznać się również w Biuletynie Informacji Publicznej Urzędu Miejskiego w Śremie </w:t>
      </w:r>
      <w:r w:rsidR="00B43811">
        <w:rPr>
          <w:rFonts w:eastAsia="Times New Roman" w:cstheme="minorHAnsi"/>
          <w:sz w:val="28"/>
          <w:szCs w:val="28"/>
          <w:lang w:eastAsia="pl-PL"/>
        </w:rPr>
        <w:t>(</w:t>
      </w:r>
      <w:hyperlink r:id="rId8" w:history="1">
        <w:r w:rsidR="00C82934" w:rsidRPr="00C82934">
          <w:rPr>
            <w:rStyle w:val="Hipercze"/>
            <w:sz w:val="28"/>
            <w:szCs w:val="28"/>
          </w:rPr>
          <w:t>https://bip.srem.pl/public/?id=233257</w:t>
        </w:r>
        <w:r w:rsidR="00BC37DE" w:rsidRPr="00EF510F">
          <w:rPr>
            <w:rStyle w:val="Hipercze"/>
            <w:sz w:val="28"/>
            <w:szCs w:val="28"/>
          </w:rPr>
          <w:t>)</w:t>
        </w:r>
        <w:r w:rsidR="00BC37DE" w:rsidRPr="00EF510F">
          <w:rPr>
            <w:rStyle w:val="Hipercze"/>
            <w:rFonts w:eastAsia="Times New Roman" w:cstheme="minorHAnsi"/>
            <w:sz w:val="28"/>
            <w:szCs w:val="28"/>
            <w:lang w:eastAsia="pl-PL"/>
          </w:rPr>
          <w:t>.</w:t>
        </w:r>
      </w:hyperlink>
    </w:p>
    <w:p w14:paraId="16C0F0BD" w14:textId="0CEEF109" w:rsidR="00BD5A34" w:rsidRPr="0063592D" w:rsidRDefault="00B43811" w:rsidP="00BD5A34">
      <w:pPr>
        <w:spacing w:after="12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02E02EDF" w14:textId="77777777" w:rsidR="00BD5A34" w:rsidRPr="0063592D" w:rsidRDefault="00BD5A34" w:rsidP="00BD5A34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A45C5F6" w14:textId="185BC7C8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75BFD">
        <w:rPr>
          <w:rFonts w:eastAsia="Times New Roman" w:cstheme="minorHAnsi"/>
          <w:sz w:val="28"/>
          <w:szCs w:val="28"/>
          <w:lang w:eastAsia="pl-PL"/>
        </w:rPr>
        <w:t>11.02.2025</w:t>
      </w:r>
      <w:r w:rsidR="008D0CA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11C855B2" w14:textId="77777777" w:rsidR="00BD5A34" w:rsidRPr="0063592D" w:rsidRDefault="00BD5A34" w:rsidP="00BD5A34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3592D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3E58B21E" w14:textId="77777777" w:rsidR="00D0263E" w:rsidRDefault="00D0263E" w:rsidP="00DB731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3F186F67" w14:textId="33DC8046" w:rsidR="00D0263E" w:rsidRDefault="00D0263E" w:rsidP="00BC37DE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DB7313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Podstawa prawna: </w:t>
      </w:r>
      <w:r w:rsidRPr="0063592D">
        <w:rPr>
          <w:rFonts w:eastAsia="Times New Roman" w:cstheme="minorHAnsi"/>
          <w:sz w:val="28"/>
          <w:szCs w:val="28"/>
          <w:lang w:eastAsia="pl-PL"/>
        </w:rPr>
        <w:t>art. 73 ust. 1</w:t>
      </w:r>
      <w:r>
        <w:rPr>
          <w:rFonts w:eastAsia="Times New Roman" w:cstheme="minorHAnsi"/>
          <w:sz w:val="28"/>
          <w:szCs w:val="28"/>
          <w:lang w:eastAsia="pl-PL"/>
        </w:rPr>
        <w:t xml:space="preserve">, </w:t>
      </w:r>
      <w:r w:rsidRPr="0063592D">
        <w:rPr>
          <w:rFonts w:eastAsia="Times New Roman" w:cstheme="minorHAnsi"/>
          <w:sz w:val="28"/>
          <w:szCs w:val="28"/>
          <w:lang w:eastAsia="pl-PL"/>
        </w:rPr>
        <w:t>art. 74 ust. 3</w:t>
      </w:r>
      <w:r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63592D">
        <w:rPr>
          <w:rFonts w:eastAsia="Times New Roman" w:cstheme="minorHAnsi"/>
          <w:sz w:val="28"/>
          <w:szCs w:val="28"/>
          <w:lang w:eastAsia="pl-PL"/>
        </w:rPr>
        <w:t>ustawy z</w:t>
      </w:r>
      <w:r w:rsidR="00DB7313">
        <w:rPr>
          <w:rFonts w:eastAsia="Times New Roman" w:cstheme="minorHAnsi"/>
          <w:sz w:val="28"/>
          <w:szCs w:val="28"/>
          <w:lang w:eastAsia="pl-PL"/>
        </w:rPr>
        <w:t> </w:t>
      </w:r>
      <w:r w:rsidRPr="0063592D">
        <w:rPr>
          <w:rFonts w:eastAsia="Times New Roman" w:cstheme="minorHAnsi"/>
          <w:sz w:val="28"/>
          <w:szCs w:val="28"/>
          <w:lang w:eastAsia="pl-PL"/>
        </w:rPr>
        <w:t xml:space="preserve">dnia 3 października 2008 r. o udostępnianiu informacji o środowisku i jego ochronie, udziale społeczeństwa w ochronie środowiska oraz o ocenach oddziaływania na środowisko </w:t>
      </w:r>
      <w:r w:rsidRPr="00BD5A34">
        <w:rPr>
          <w:rFonts w:eastAsia="Times New Roman" w:cstheme="minorHAnsi"/>
          <w:sz w:val="28"/>
          <w:szCs w:val="28"/>
          <w:lang w:eastAsia="pl-PL"/>
        </w:rPr>
        <w:t>(</w:t>
      </w:r>
      <w:r w:rsidR="00566AC2" w:rsidRPr="00566AC2">
        <w:rPr>
          <w:rFonts w:eastAsia="Times New Roman" w:cstheme="minorHAnsi"/>
          <w:sz w:val="28"/>
          <w:szCs w:val="28"/>
          <w:lang w:eastAsia="pl-PL"/>
        </w:rPr>
        <w:t xml:space="preserve">Dz. U. z </w:t>
      </w:r>
      <w:r w:rsidR="00E10C32">
        <w:rPr>
          <w:rFonts w:eastAsia="Times New Roman" w:cstheme="minorHAnsi"/>
          <w:sz w:val="28"/>
          <w:szCs w:val="28"/>
          <w:lang w:eastAsia="pl-PL"/>
        </w:rPr>
        <w:t>2024 r. poz. 1112</w:t>
      </w:r>
      <w:r w:rsidR="00075BFD">
        <w:rPr>
          <w:rFonts w:eastAsia="Times New Roman" w:cstheme="minorHAnsi"/>
          <w:sz w:val="28"/>
          <w:szCs w:val="28"/>
          <w:lang w:eastAsia="pl-PL"/>
        </w:rPr>
        <w:t>, 1940 i 1881</w:t>
      </w:r>
      <w:r w:rsidRPr="00BD5A34">
        <w:rPr>
          <w:rFonts w:eastAsia="Times New Roman" w:cstheme="minorHAnsi"/>
          <w:sz w:val="28"/>
          <w:szCs w:val="28"/>
          <w:lang w:eastAsia="pl-PL"/>
        </w:rPr>
        <w:t>)</w:t>
      </w:r>
      <w:r w:rsidR="00DB7313">
        <w:rPr>
          <w:rFonts w:eastAsia="Times New Roman" w:cstheme="minorHAnsi"/>
          <w:sz w:val="28"/>
          <w:szCs w:val="28"/>
          <w:lang w:eastAsia="pl-PL"/>
        </w:rPr>
        <w:t>.</w:t>
      </w:r>
    </w:p>
    <w:p w14:paraId="0D525645" w14:textId="77777777" w:rsidR="00D0263E" w:rsidRPr="0063592D" w:rsidRDefault="00D0263E" w:rsidP="00BD5A34">
      <w:pPr>
        <w:spacing w:after="120" w:line="240" w:lineRule="auto"/>
        <w:ind w:firstLine="708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B71D3CF" w14:textId="77777777" w:rsidR="00BD5A34" w:rsidRPr="0063592D" w:rsidRDefault="00BD5A34" w:rsidP="00BD5A34">
      <w:pPr>
        <w:rPr>
          <w:rFonts w:eastAsia="Times New Roman" w:cstheme="minorHAnsi"/>
          <w:bCs/>
          <w:sz w:val="28"/>
          <w:szCs w:val="28"/>
          <w:lang w:eastAsia="pl-PL"/>
        </w:rPr>
      </w:pPr>
      <w:r w:rsidRPr="0063592D"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48ED463E" w14:textId="77777777" w:rsidR="00075BFD" w:rsidRPr="00075BFD" w:rsidRDefault="00075BFD" w:rsidP="00075BFD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bookmarkStart w:id="0" w:name="_Hlk172188736"/>
      <w:r w:rsidRPr="00075BFD">
        <w:rPr>
          <w:rFonts w:ascii="Calibri" w:eastAsia="Calibri" w:hAnsi="Calibri" w:cs="Calibri"/>
          <w:sz w:val="28"/>
          <w:szCs w:val="28"/>
        </w:rPr>
        <w:lastRenderedPageBreak/>
        <w:t>Burmistrz Śremu</w:t>
      </w:r>
    </w:p>
    <w:p w14:paraId="51AC8C11" w14:textId="77777777" w:rsidR="00075BFD" w:rsidRPr="00075BFD" w:rsidRDefault="00075BFD" w:rsidP="00075BFD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ul. Plac 20 Października 1</w:t>
      </w:r>
    </w:p>
    <w:p w14:paraId="63865652" w14:textId="77777777" w:rsidR="00075BFD" w:rsidRPr="00075BFD" w:rsidRDefault="00075BFD" w:rsidP="00075BFD">
      <w:pPr>
        <w:spacing w:after="0" w:line="240" w:lineRule="auto"/>
        <w:ind w:right="5668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63-100 Śrem</w:t>
      </w:r>
    </w:p>
    <w:p w14:paraId="33AA6214" w14:textId="77777777" w:rsidR="00075BFD" w:rsidRPr="00075BFD" w:rsidRDefault="00075BFD" w:rsidP="00075BFD">
      <w:pPr>
        <w:spacing w:after="0" w:line="240" w:lineRule="auto"/>
        <w:jc w:val="right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Śrem, 10 lutego 2025 roku</w:t>
      </w:r>
    </w:p>
    <w:p w14:paraId="2A816E63" w14:textId="77777777" w:rsidR="00075BFD" w:rsidRPr="00075BFD" w:rsidRDefault="00075BFD" w:rsidP="00075BFD">
      <w:pPr>
        <w:spacing w:after="0" w:line="240" w:lineRule="auto"/>
        <w:jc w:val="both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PPSOŚ.6220.1.2022.BM</w:t>
      </w:r>
    </w:p>
    <w:p w14:paraId="42748CA1" w14:textId="77777777" w:rsidR="00075BFD" w:rsidRPr="00075BFD" w:rsidRDefault="00075BFD" w:rsidP="00075BFD">
      <w:pPr>
        <w:spacing w:after="120" w:line="240" w:lineRule="auto"/>
        <w:jc w:val="center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>Decyzja</w:t>
      </w:r>
    </w:p>
    <w:p w14:paraId="0C43CCF7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Na podstawie art. 105 </w:t>
      </w:r>
      <w:bookmarkStart w:id="1" w:name="_Hlk113432182"/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>§</w:t>
      </w:r>
      <w:bookmarkEnd w:id="1"/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1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075BFD">
          <w:rPr>
            <w:rFonts w:ascii="Calibri" w:eastAsia="Times New Roman" w:hAnsi="Calibri" w:cs="Calibri"/>
            <w:bCs/>
            <w:sz w:val="28"/>
            <w:szCs w:val="28"/>
            <w:lang w:eastAsia="pl-PL"/>
          </w:rPr>
          <w:t>14 czerwca 19</w:t>
        </w:r>
      </w:smartTag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60 r. - Kodeks postępowania administracyjnego (Dz. U. 2024 r. poz. 572), zwanej dalej K.p.a., w związku z art. </w:t>
      </w:r>
      <w:r w:rsidRPr="00075BFD">
        <w:rPr>
          <w:rFonts w:ascii="Calibri" w:eastAsia="Calibri" w:hAnsi="Calibri" w:cs="Calibri"/>
          <w:bCs/>
          <w:sz w:val="28"/>
          <w:szCs w:val="28"/>
        </w:rPr>
        <w:t xml:space="preserve">71 ust. 2 pkt 2, art. </w:t>
      </w: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73 ust 1 </w:t>
      </w:r>
      <w:r w:rsidRPr="00075BFD">
        <w:rPr>
          <w:rFonts w:ascii="Calibri" w:eastAsia="Calibri" w:hAnsi="Calibri" w:cs="Calibri"/>
          <w:bCs/>
          <w:sz w:val="28"/>
          <w:szCs w:val="28"/>
        </w:rPr>
        <w:t>oraz art. 75 ust. 1 pkt 4 ustawy z dnia 3 października 2008 r. o udostępnianiu informacji o środowisku i jego ochronie, udziale społeczeństwa w ochronie środowiska oraz o ocenach oddziaływania na środowisko (Dz. U. z 2024 r. poz. 1112, 1940 i 1881)</w:t>
      </w: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>, zwanej dalej u.o.o.ś.</w:t>
      </w:r>
      <w:r w:rsidRPr="00075BFD">
        <w:rPr>
          <w:rFonts w:ascii="Calibri" w:eastAsia="Calibri" w:hAnsi="Calibri" w:cs="Calibri"/>
          <w:bCs/>
          <w:sz w:val="28"/>
          <w:szCs w:val="28"/>
        </w:rPr>
        <w:t>,</w:t>
      </w:r>
    </w:p>
    <w:p w14:paraId="201AD65B" w14:textId="77777777" w:rsidR="00075BFD" w:rsidRPr="00075BFD" w:rsidRDefault="00075BFD" w:rsidP="00075BFD">
      <w:pPr>
        <w:spacing w:after="120" w:line="240" w:lineRule="auto"/>
        <w:jc w:val="center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b/>
          <w:sz w:val="28"/>
          <w:szCs w:val="28"/>
          <w:lang w:eastAsia="pl-PL"/>
        </w:rPr>
        <w:t>umarzam</w:t>
      </w:r>
    </w:p>
    <w:p w14:paraId="409E247F" w14:textId="77777777" w:rsidR="00075BFD" w:rsidRPr="00075BFD" w:rsidRDefault="00075BFD" w:rsidP="00075BFD">
      <w:pPr>
        <w:spacing w:after="120" w:line="240" w:lineRule="auto"/>
        <w:rPr>
          <w:rFonts w:ascii="Calibri" w:eastAsia="Calibri" w:hAnsi="Calibri" w:cs="Calibri"/>
          <w:bCs/>
          <w:sz w:val="28"/>
          <w:szCs w:val="28"/>
        </w:rPr>
      </w:pPr>
      <w:r w:rsidRPr="00075BFD">
        <w:rPr>
          <w:rFonts w:ascii="Calibri" w:eastAsia="Times New Roman" w:hAnsi="Calibri" w:cs="Calibri"/>
          <w:b/>
          <w:sz w:val="28"/>
          <w:szCs w:val="28"/>
          <w:lang w:eastAsia="pl-PL"/>
        </w:rPr>
        <w:t>w całości, jako bezprzedmiotowe, postępowanie administracyjne</w:t>
      </w: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 xml:space="preserve"> wszczęte na wniosek </w:t>
      </w:r>
      <w:bookmarkStart w:id="2" w:name="_Hlk172188250"/>
      <w:r w:rsidRPr="00075BFD">
        <w:rPr>
          <w:rFonts w:ascii="Calibri" w:eastAsia="Calibri" w:hAnsi="Calibri" w:cs="Calibri"/>
          <w:sz w:val="28"/>
          <w:szCs w:val="28"/>
        </w:rPr>
        <w:t>spółki Green Capital Spółka Akcyjna z siedzibą w Warszawie, Aleje Jerozolimskie 85/21, 02-001 Warszawa, o wydanie decyzji o środowiskowych uwarunkowaniach dla planowanego przedsięwzięcia polegającego na budowie farmy fotowoltaicznej o mocy do 500 kW oraz trzech zespołów kontenerowych magazynów energii o mocy do 10 MW każdy i jednego zespołu kontenerowych magazynów energii o mocy do 80 MW, o łącznej powierzchni zabudowy do 2,70 ha wraz z niezbędną infrastrukturą techniczną, na działce o numerze ewidencyjnym 421/4, obręb Mechlin</w:t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.</w:t>
      </w:r>
      <w:bookmarkEnd w:id="2"/>
    </w:p>
    <w:p w14:paraId="0DEAE1E6" w14:textId="77777777" w:rsidR="00075BFD" w:rsidRPr="00075BFD" w:rsidRDefault="00075BFD" w:rsidP="00075BFD">
      <w:pPr>
        <w:spacing w:after="12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Uzasadnienie</w:t>
      </w:r>
    </w:p>
    <w:p w14:paraId="06E8EC28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10.01.2022 r. spółka Green Capital Spółka Akcyjna z siedzibą w Warszawie, Aleje Jerozolimskie 85/21, 02-001 Warszawa (0000589101), działająca przez pełnomocnika Panią Sylwię Kupc, zwróciła się do Burmistrza Śremu z wnioskiem, uzupełnionym 21.02.2022 r., 31.03.2022 r. i 01.04.2022 r., o wydanie decyzji o środowiskowych uwarunkowaniach dla planowanego przedsięwzięcia polegającego na budowie farmy fotowoltaicznej o mocy do 500 kW oraz trzech zespołów kontenerowych magazynów energii o mocy do 10 MW każdy i jednego zespołu kontenerowych magazynów energii o mocy do 80 MW, o łącznej powierzchni zabudowy do 2,70 ha wraz z niezbędną infrastrukturą techniczną, na działce o numerze ewidencyjnym 421/4, obręb Mechlin. Do wniosku załączona została karta informacyjna przedsięwzięcia wraz z wymaganymi załącznikami oraz pełnomocnictwo. </w:t>
      </w:r>
    </w:p>
    <w:p w14:paraId="30B86577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lastRenderedPageBreak/>
        <w:t>Zgodnie z art. 73 ust. 1 u.o.o.ś. postępowanie w sprawie wydania decyzji o środowiskowych uwarunkowaniach wszczyna się na wniosek podmiotu planującego podjęcie realizacji przedsięwzięcia.</w:t>
      </w:r>
    </w:p>
    <w:p w14:paraId="2D196325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Na podstawie art. 75 ust. 1 pkt 4 u.o.o.ś., w przypadku przedmiotowego przedsięwzięcia, właściwym organem do wydania decyzji o środowiskowych uwarunkowaniach jest Burmistrz Śremu.</w:t>
      </w:r>
    </w:p>
    <w:p w14:paraId="41FD3EE9" w14:textId="77777777" w:rsidR="00075BFD" w:rsidRPr="00075BFD" w:rsidRDefault="00075BFD" w:rsidP="00075BFD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Planowane przedsięwzięcie miało obejmować w szczególności montaż paneli fotowoltaicznych, stacji transformatorowej, kontenerowych magazynów energii, linii energetyczno-światłowodowych oraz budowę drogi wewnętrznej, na terenie o łącznej powierzchni do 2,7 ha.</w:t>
      </w:r>
    </w:p>
    <w:p w14:paraId="2B633A87" w14:textId="77777777" w:rsidR="00075BFD" w:rsidRPr="00075BFD" w:rsidRDefault="00075BFD" w:rsidP="00075BFD">
      <w:pPr>
        <w:spacing w:after="12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Przedmiotowe przedsięwzięcie zakwalifikowano do przedsięwzięć mogących potencjalnie znacząco oddziaływać na środowisko, dla których obowiązek przeprowadzenia oceny oddziaływania na środowisko może być stwierdzony, wymienionych w rozporządzeniu Rady Ministrów z dnia 10 września 2019 r. w sprawie przedsięwzięć mogących znacząco oddziaływać na środowisko (Dz. U. poz. 1839) w § 3 ust. 1 pkt 54 lit. b: „zabudowa przemysłowa, w tym zabudowa systemami fotowoltaicznymi, lub magazynowa, wraz z towarzyszącą jej infrastrukturą, o powierzchni zabudowy nie mniejszej niż 1 ha na obszarach innych niż wymienione w lit. a.”.</w:t>
      </w:r>
    </w:p>
    <w:p w14:paraId="18C90445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Stosownie do art. 74 ust. 3a u.o.o.ś. Burmistrz Śremu ustalił krąg podmiotów, którym przysługuje przymiot strony. Przymiot strony postępowania otrzymali więc wnioskodawca i właściciel terenu, na którym miało być realizowane przedsięwzięcie (działka o numerze ewidencyjnym: 421/4, obręb Mechlin) </w:t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oraz podmioty, którym przysługuje prawo rzeczowe do nieruchomości znajdujących się w obszarze wyznaczonym w odległości 100 m od granic terenu przedsięwzięcia. Obszar ten objął więc działki o numerach ewidencyjnych: 415/4; 412; 413/12; 413/13; 413/14; 419; 421/2; 421/3; 417; 420; 413/3; 413/4; 413/6; 413/5; 413/2; 416/4; 416/7; 416/10; 416/11; 416/21; 416/92; 416/93; 414/1; 414/15; 416/15; 416/16; 416/3; 416/6; 416/20; 416/64; 416/65; 416/66; 416/67; 416/68; 416/69; 416/70; 416/71; 416/72; 416/73; 416/74; 416/75; 416/76; 416/77; 416/78; 416/79; 416/80; 416/81; 416/82; 416/83; 416/84; 416/85; 416/86; 416/87; 416/88; 416/89; 416/90; 418; 437; 414/9 i 414/14, obręb Mechlin.</w:t>
      </w:r>
    </w:p>
    <w:p w14:paraId="72B57985" w14:textId="77777777" w:rsidR="00075BFD" w:rsidRPr="00075BFD" w:rsidRDefault="00075BFD" w:rsidP="00075BFD">
      <w:pPr>
        <w:spacing w:after="0" w:line="240" w:lineRule="auto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br w:type="page"/>
      </w:r>
    </w:p>
    <w:p w14:paraId="3703D4D5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lastRenderedPageBreak/>
        <w:t>Zgodnie z art. 74 ust. 3 u.o.o.ś. strony postępowania zostały powiadomione o wszczęciu postępowania w formie obwieszczenia z 04.04.2022 r. Obwieszczenie zamieszczono w Biuletynie Informacji Publicznej Urzędu Miejskiego w Śremie (</w:t>
      </w:r>
      <w:bookmarkStart w:id="3" w:name="_Hlk140833879"/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fldChar w:fldCharType="begin"/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instrText>HYPERLINK "https://bip.srem.pl/public/?id=219042"</w:instrText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fldChar w:fldCharType="separate"/>
      </w:r>
      <w:r w:rsidRPr="00075BFD">
        <w:rPr>
          <w:rFonts w:ascii="Calibri" w:eastAsia="Times New Roman" w:hAnsi="Calibri" w:cs="Calibri"/>
          <w:color w:val="467886"/>
          <w:sz w:val="28"/>
          <w:szCs w:val="28"/>
          <w:u w:val="single"/>
          <w:lang w:eastAsia="pl-PL"/>
        </w:rPr>
        <w:t>https://bip.srem.pl/public/?id=219042</w:t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fldChar w:fldCharType="end"/>
      </w: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), w gablotach informacyjnych Urzędu oraz na tablicy ogłoszeniowej w Mechlinie.</w:t>
      </w:r>
    </w:p>
    <w:bookmarkEnd w:id="3"/>
    <w:p w14:paraId="2908D06A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Zgodnie z art. 64 ust. 1 u.o.o.ś. Burmistrz Śremu, pismem z 04.04.2022 r., wystąpił do Państwowego Powiatowego Inspektora Sanitarnego w Śremie, Regionalnego Dyrektora Ochrony Środowiska w Poznaniu oraz Dyrektora Zarządu Zlewni Państwowego Gospodarstwa Wodnego Wody Polskie w Poznaniu, Wielkopolskiego Państwowego Wojewódzkiego Inspektora Sanitarnego, o opinię w sprawie obowiązku przeprowadzenia oceny oddziaływania przedmiotowego przedsięwzięcia na środowisko i określenia zakresu ewentualnego raportu. </w:t>
      </w:r>
    </w:p>
    <w:p w14:paraId="52302E99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bCs/>
          <w:sz w:val="28"/>
          <w:szCs w:val="28"/>
        </w:rPr>
        <w:t>Dyrektor Zarządu Zlewni Państwowego Gospodarstwa Wodnego Wody Polskie w Poznaniu</w:t>
      </w:r>
      <w:r w:rsidRPr="00075BFD">
        <w:rPr>
          <w:rFonts w:ascii="Calibri" w:eastAsia="Calibri" w:hAnsi="Calibri" w:cs="Calibri"/>
          <w:sz w:val="28"/>
          <w:szCs w:val="28"/>
        </w:rPr>
        <w:t xml:space="preserve"> w piśmie z 08.04.2022 r. znak PO.ZZŚ.4.435.206.2022.MS.1 </w:t>
      </w:r>
      <w:r w:rsidRPr="00075BFD">
        <w:rPr>
          <w:rFonts w:ascii="Calibri" w:eastAsia="Calibri" w:hAnsi="Calibri" w:cs="Calibri"/>
          <w:bCs/>
          <w:sz w:val="28"/>
          <w:szCs w:val="28"/>
        </w:rPr>
        <w:t>nie stwierdził potrzeby przeprowadzenia oceny oddziaływania</w:t>
      </w:r>
      <w:r w:rsidRPr="00075BFD">
        <w:rPr>
          <w:rFonts w:ascii="Calibri" w:eastAsia="Calibri" w:hAnsi="Calibri" w:cs="Calibri"/>
          <w:sz w:val="28"/>
          <w:szCs w:val="28"/>
        </w:rPr>
        <w:t xml:space="preserve"> planowanego przedsięwzięcia na środowisko. </w:t>
      </w:r>
    </w:p>
    <w:p w14:paraId="1D789759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075BFD">
        <w:rPr>
          <w:rFonts w:ascii="Calibri" w:eastAsia="Calibri" w:hAnsi="Calibri" w:cs="Calibri"/>
          <w:bCs/>
          <w:sz w:val="28"/>
          <w:szCs w:val="28"/>
        </w:rPr>
        <w:t>Wielkopolski Państwowy Wojewódzki Inspektor Sanitarny w piśmie z 13.04.2022 r. znak DN-NS.9011.463.2022 wyraził opinię, że dla planowanego przedsięwzięcia nie istnieje konieczność przeprowadzenia oceny oddziaływania na środowisko.</w:t>
      </w:r>
    </w:p>
    <w:p w14:paraId="3652FD29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bCs/>
          <w:sz w:val="28"/>
          <w:szCs w:val="28"/>
        </w:rPr>
      </w:pPr>
      <w:r w:rsidRPr="00075BFD">
        <w:rPr>
          <w:rFonts w:ascii="Calibri" w:eastAsia="Calibri" w:hAnsi="Calibri" w:cs="Calibri"/>
          <w:bCs/>
          <w:sz w:val="28"/>
          <w:szCs w:val="28"/>
        </w:rPr>
        <w:t>Państwowy Powiatowy Inspektor Sanitarny w Śremie</w:t>
      </w:r>
      <w:r w:rsidRPr="00075BFD">
        <w:rPr>
          <w:rFonts w:ascii="Calibri" w:eastAsia="Calibri" w:hAnsi="Calibri" w:cs="Calibri"/>
          <w:sz w:val="28"/>
          <w:szCs w:val="28"/>
        </w:rPr>
        <w:t xml:space="preserve"> w piśmie z 14.04.2021 r. znak ON-NS.9011.18.15.2022 </w:t>
      </w:r>
      <w:r w:rsidRPr="00075BFD">
        <w:rPr>
          <w:rFonts w:ascii="Calibri" w:eastAsia="Calibri" w:hAnsi="Calibri" w:cs="Calibri"/>
          <w:bCs/>
          <w:sz w:val="28"/>
          <w:szCs w:val="28"/>
        </w:rPr>
        <w:t xml:space="preserve">wyraził opinię, że przeprowadzenie oceny na środowisko nie jest wymagane. </w:t>
      </w:r>
    </w:p>
    <w:p w14:paraId="28C6E0D8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bCs/>
          <w:sz w:val="28"/>
          <w:szCs w:val="28"/>
        </w:rPr>
        <w:t>Regionalny Dyrektor Ochrony Środowiska w Poznaniu</w:t>
      </w:r>
      <w:r w:rsidRPr="00075BFD">
        <w:rPr>
          <w:rFonts w:ascii="Calibri" w:eastAsia="Calibri" w:hAnsi="Calibri" w:cs="Calibri"/>
          <w:sz w:val="28"/>
          <w:szCs w:val="28"/>
        </w:rPr>
        <w:t xml:space="preserve"> w postanowieniu z 05.05.2022 r. znak WOO-IV.4220.411.2022.GL.2 </w:t>
      </w:r>
      <w:r w:rsidRPr="00075BFD">
        <w:rPr>
          <w:rFonts w:ascii="Calibri" w:eastAsia="Calibri" w:hAnsi="Calibri" w:cs="Calibri"/>
          <w:bCs/>
          <w:sz w:val="28"/>
          <w:szCs w:val="28"/>
        </w:rPr>
        <w:t>wyraził opinię, że dla planowanego przedsięwzięcia istnieje potrzeba przeprowadzenia oceny oddziaływania na środowisko</w:t>
      </w:r>
      <w:r w:rsidRPr="00075BFD">
        <w:rPr>
          <w:rFonts w:ascii="Calibri" w:eastAsia="Calibri" w:hAnsi="Calibri" w:cs="Calibri"/>
          <w:b/>
          <w:sz w:val="28"/>
          <w:szCs w:val="28"/>
        </w:rPr>
        <w:t xml:space="preserve"> </w:t>
      </w:r>
      <w:r w:rsidRPr="00075BFD">
        <w:rPr>
          <w:rFonts w:ascii="Calibri" w:eastAsia="Calibri" w:hAnsi="Calibri" w:cs="Calibri"/>
          <w:sz w:val="28"/>
          <w:szCs w:val="28"/>
        </w:rPr>
        <w:t xml:space="preserve">i ustalił zakres raportu o oddziaływaniu przedsięwzięcia na środowisko. </w:t>
      </w:r>
    </w:p>
    <w:p w14:paraId="70AC74DD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Po przeanalizowaniu stanowisk Organów opiniujących, informacji zawartych w karcie informacyjnej przedsięwzięcia oraz uwzględniając łącznie uwarunkowania zawarte w art. 63 ust. 1 u.o.o.ś., Burmistrz Śremu, na mocy postanowienia z 10.05.2022 r., nałożył na Wnioskodawcę obowiązek przeprowadzenia oceny oddziaływania przedsięwzięcia na środowisko i ustalił zakres raportu.</w:t>
      </w:r>
    </w:p>
    <w:p w14:paraId="230C3D8B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lastRenderedPageBreak/>
        <w:t xml:space="preserve">Następnie, zgodnie z art. 63 ust. 5 u.o.o.ś. Burmistrz Śremu, na mocy postanowienia z 01.06.2022 r., zawiesił przedmiotowe postępowanie i wskazał na art. 63 ust. 5a u.o.o.ś., zgodnie z którym, jeżeli w terminie 3 lat od dnia zawieszenia postępowania, strona nie złoży raportu o oddziaływaniu przedsięwzięcia na środowisko, żądanie wszczęcia postępowania w sprawie wydania decyzji o środowiskowych uwarunkowaniach uważa się za wycofane. </w:t>
      </w:r>
    </w:p>
    <w:p w14:paraId="27A1CFB2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23.01.2025 r., do Burmistrza Śremu wpłynął wniosek Wnioskodawcy, działającego przez pełnomocnika Panią Małgorzatę Rydwelską, uzupełniony 05.02.2025 r., o wycofanie wniosku o wydanie decyzji o środowiskowych uwarunkowaniach. </w:t>
      </w:r>
    </w:p>
    <w:p w14:paraId="05A99D1C" w14:textId="77777777" w:rsidR="00075BFD" w:rsidRPr="00075BFD" w:rsidRDefault="00075BFD" w:rsidP="00075BFD">
      <w:pPr>
        <w:spacing w:after="12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Zgodnie z art. 105 § 1 K.p.a., gdy postępowanie z jakiejkolwiek przyczyny stało się bezprzedmiotowe w całości albo w części, organ administracji publicznej wydaje decyzję o umorzeniu postępowania odpowiednio w całości albo w części. </w:t>
      </w:r>
    </w:p>
    <w:p w14:paraId="56FCEC8C" w14:textId="77777777" w:rsidR="00075BFD" w:rsidRPr="00075BFD" w:rsidRDefault="00075BFD" w:rsidP="00075BFD">
      <w:pPr>
        <w:spacing w:after="12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O bezprzedmiotowości postępowania można mówić wówczas, gdy w sposób oczywisty organ stwierdzi brak podstaw prawnych i faktycznych (wycofanie wniosku) do merytorycznego rozpatrzenia sprawy.</w:t>
      </w:r>
    </w:p>
    <w:p w14:paraId="400BAB99" w14:textId="77777777" w:rsidR="00075BFD" w:rsidRPr="00075BFD" w:rsidRDefault="00075BFD" w:rsidP="00075BFD">
      <w:pPr>
        <w:spacing w:after="12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„</w:t>
      </w:r>
      <w:r w:rsidRPr="00075BFD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W myśl art. 105 § 1 k.p.a. gdy postępowanie z jakiejkolwiek przyczyny stało się bezprzedmiotowe, organ administracji publicznej wydaje decyzję o umorzeniu postępowania. Sprawa administracyjna jest bezprzedmiotowa w rozumieniu art. 105 § 1 k.p.a. wtedy, gdy nie ma materialnoprawnych podstaw do władczej, w formie decyzji administracyjnej, ingerencji organu administracyjnego.” (wyrok WSA w Warszawie z 08.07.2021 r. sygn. akt VII SA/Wa 18/21).</w:t>
      </w:r>
    </w:p>
    <w:p w14:paraId="1AC2E646" w14:textId="77777777" w:rsidR="00075BFD" w:rsidRPr="00075BFD" w:rsidRDefault="00075BFD" w:rsidP="00075BFD">
      <w:pPr>
        <w:spacing w:after="12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W związku z wycofaniem przez Wnioskodawcę wniosku o</w:t>
      </w:r>
      <w:r w:rsidRPr="00075BFD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 xml:space="preserve"> wydanie decyzji o środowiskowych uwarunkowaniach </w:t>
      </w:r>
      <w:r w:rsidRPr="00075BFD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postępowanie organu w przedmiotowej sprawie stało się bezprzedmiotowe.</w:t>
      </w:r>
    </w:p>
    <w:p w14:paraId="4208CF2A" w14:textId="77777777" w:rsidR="00075BFD" w:rsidRPr="00075BFD" w:rsidRDefault="00075BFD" w:rsidP="00075BFD">
      <w:pPr>
        <w:spacing w:after="12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Należy mieć na uwadze, że Wnioskodawca (Inwestor) jako dysponent wniosku może nie tylko dokonać jego modyfikacji, ale może również wniosek wycofać, co miało miejsce w niniejszej sprawie.</w:t>
      </w:r>
    </w:p>
    <w:p w14:paraId="67005FE3" w14:textId="77777777" w:rsidR="00075BFD" w:rsidRPr="00075BFD" w:rsidRDefault="00075BFD" w:rsidP="00075BFD">
      <w:pPr>
        <w:spacing w:after="12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:shd w:val="clear" w:color="auto" w:fill="FFFFFF"/>
          <w14:ligatures w14:val="standardContextual"/>
        </w:rPr>
        <w:t>„Umorzenie postępowania administracyjnego, z powodu jego bezprzedmiotowości, jest rozstrzygnięciem o charakterze procesowym, które kończy postępowanie bez merytorycznego załatwienia sprawy, ze względu na nieistnienie sprawy administracyjnej, zarówno w ujęciu podmiotowym, jak i przedmiotowym.” (wyrok WSA w Rzeszowie z 19.10.2021 r. sygn. akt I SA/Rz 645/21).</w:t>
      </w:r>
    </w:p>
    <w:p w14:paraId="146B7B4F" w14:textId="77777777" w:rsidR="00075BFD" w:rsidRPr="00075BFD" w:rsidRDefault="00075BFD" w:rsidP="00075BFD">
      <w:pPr>
        <w:spacing w:after="60" w:line="240" w:lineRule="auto"/>
        <w:ind w:firstLine="567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lastRenderedPageBreak/>
        <w:t>Biorąc powyższe pod uwagę umorzenie w całości postępowania jest uzasadnione.</w:t>
      </w:r>
    </w:p>
    <w:p w14:paraId="7A663221" w14:textId="77777777" w:rsidR="00075BFD" w:rsidRPr="00075BFD" w:rsidRDefault="00075BFD" w:rsidP="00075BFD">
      <w:pPr>
        <w:spacing w:after="60" w:line="240" w:lineRule="auto"/>
        <w:jc w:val="center"/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</w:pPr>
      <w:r w:rsidRPr="00075BFD">
        <w:rPr>
          <w:rFonts w:ascii="Calibri" w:eastAsia="Calibri" w:hAnsi="Calibri" w:cs="Times New Roman"/>
          <w:kern w:val="2"/>
          <w:sz w:val="28"/>
          <w:szCs w:val="28"/>
          <w14:ligatures w14:val="standardContextual"/>
        </w:rPr>
        <w:t>W związku z powyższym orzeczono jak w sentencji.</w:t>
      </w:r>
    </w:p>
    <w:p w14:paraId="3D9E112D" w14:textId="77777777" w:rsidR="00075BFD" w:rsidRPr="00075BFD" w:rsidRDefault="00075BFD" w:rsidP="00075BFD">
      <w:pPr>
        <w:spacing w:after="60" w:line="240" w:lineRule="auto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Pouczenie</w:t>
      </w:r>
    </w:p>
    <w:p w14:paraId="7405C87B" w14:textId="77777777" w:rsidR="00075BFD" w:rsidRPr="00075BFD" w:rsidRDefault="00075BFD" w:rsidP="00075BFD">
      <w:pPr>
        <w:spacing w:after="60" w:line="240" w:lineRule="auto"/>
        <w:ind w:firstLine="708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Od niniejszej decyzji służy Stronie prawo wniesienia odwołania do Samorządowego Kolegium Odwoławczego w Poznaniu, za moim pośrednictwem, w terminie 14 dni od dnia doręczenia. </w:t>
      </w:r>
    </w:p>
    <w:p w14:paraId="1CE90E6C" w14:textId="77777777" w:rsidR="00075BFD" w:rsidRPr="00075BFD" w:rsidRDefault="00075BFD" w:rsidP="00075BFD">
      <w:pPr>
        <w:spacing w:after="60" w:line="240" w:lineRule="auto"/>
        <w:ind w:firstLine="709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 xml:space="preserve">Przed upływem terminu do wniesienia odwołania Strona może, zgodnie z art. 127a § 1 K.p.a.,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prawomocna. </w:t>
      </w:r>
    </w:p>
    <w:p w14:paraId="33DB02E7" w14:textId="48EEEC17" w:rsidR="00075BFD" w:rsidRPr="00075BFD" w:rsidRDefault="00075BFD" w:rsidP="00FD4B02">
      <w:pPr>
        <w:spacing w:after="120" w:line="240" w:lineRule="auto"/>
        <w:ind w:left="2829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z up. BURMISTRZA</w:t>
      </w:r>
    </w:p>
    <w:p w14:paraId="740B1E33" w14:textId="77777777" w:rsidR="00075BFD" w:rsidRPr="00075BFD" w:rsidRDefault="00075BFD" w:rsidP="00075BFD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Sławomir Ratajczak</w:t>
      </w:r>
    </w:p>
    <w:p w14:paraId="699272E6" w14:textId="77777777" w:rsidR="00075BFD" w:rsidRPr="00075BFD" w:rsidRDefault="00075BFD" w:rsidP="00075BFD">
      <w:pPr>
        <w:spacing w:after="0" w:line="240" w:lineRule="auto"/>
        <w:ind w:left="2832"/>
        <w:jc w:val="center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Zastępca Burmistrza</w:t>
      </w:r>
    </w:p>
    <w:p w14:paraId="175FDF57" w14:textId="77777777" w:rsidR="00075BFD" w:rsidRPr="00075BFD" w:rsidRDefault="00075BFD" w:rsidP="00075BFD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Sprawę prowadzi:</w:t>
      </w:r>
    </w:p>
    <w:p w14:paraId="5407D2AA" w14:textId="77777777" w:rsidR="00075BFD" w:rsidRPr="00075BFD" w:rsidRDefault="00075BFD" w:rsidP="00075BFD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Małgorzata Borowska</w:t>
      </w:r>
    </w:p>
    <w:p w14:paraId="4B29973A" w14:textId="77777777" w:rsidR="00075BFD" w:rsidRPr="00075BFD" w:rsidRDefault="00075BFD" w:rsidP="00075BFD">
      <w:pPr>
        <w:spacing w:after="0" w:line="240" w:lineRule="auto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inspektor</w:t>
      </w:r>
    </w:p>
    <w:p w14:paraId="159B7340" w14:textId="77777777" w:rsidR="00075BFD" w:rsidRPr="00075BFD" w:rsidRDefault="00075BFD" w:rsidP="00075BFD">
      <w:pPr>
        <w:spacing w:after="120" w:line="240" w:lineRule="auto"/>
        <w:rPr>
          <w:rFonts w:ascii="Calibri" w:eastAsia="Calibri" w:hAnsi="Calibri" w:cs="Calibri"/>
          <w:sz w:val="28"/>
          <w:szCs w:val="28"/>
        </w:rPr>
      </w:pPr>
      <w:r w:rsidRPr="00075BFD">
        <w:rPr>
          <w:rFonts w:ascii="Calibri" w:eastAsia="Calibri" w:hAnsi="Calibri" w:cs="Calibri"/>
          <w:sz w:val="28"/>
          <w:szCs w:val="28"/>
        </w:rPr>
        <w:t>tel. 61 28 47 140</w:t>
      </w:r>
    </w:p>
    <w:p w14:paraId="07A1164D" w14:textId="77777777" w:rsidR="00075BFD" w:rsidRPr="00075BFD" w:rsidRDefault="00075BFD" w:rsidP="00075BFD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Otrzymują:</w:t>
      </w:r>
    </w:p>
    <w:p w14:paraId="49E1365A" w14:textId="77777777" w:rsidR="00075BFD" w:rsidRPr="00075BFD" w:rsidRDefault="00075BFD" w:rsidP="00075BFD">
      <w:pPr>
        <w:numPr>
          <w:ilvl w:val="0"/>
          <w:numId w:val="34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Strony postępowania:</w:t>
      </w:r>
    </w:p>
    <w:p w14:paraId="5FEF053E" w14:textId="77777777" w:rsidR="00075BFD" w:rsidRPr="00075BFD" w:rsidRDefault="00075BFD" w:rsidP="00075BFD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Green Capital S.A., Aleje Jerozolimskie 85/21, 02-001 Warszawa</w:t>
      </w:r>
    </w:p>
    <w:p w14:paraId="6FA90099" w14:textId="77777777" w:rsidR="00075BFD" w:rsidRPr="00075BFD" w:rsidRDefault="00075BFD" w:rsidP="00075BFD">
      <w:pPr>
        <w:spacing w:after="0" w:line="240" w:lineRule="auto"/>
        <w:ind w:left="284"/>
        <w:contextualSpacing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Pełnomocnik: Pani Małgorzata Rydwelska, Green Capital S.A., ul. Szubińska 13, 87-100 Toruń</w:t>
      </w:r>
    </w:p>
    <w:p w14:paraId="4188EF0F" w14:textId="77777777" w:rsidR="00075BFD" w:rsidRPr="00075BFD" w:rsidRDefault="00075BFD" w:rsidP="00075BFD">
      <w:pPr>
        <w:numPr>
          <w:ilvl w:val="0"/>
          <w:numId w:val="33"/>
        </w:numPr>
        <w:spacing w:after="0" w:line="240" w:lineRule="auto"/>
        <w:ind w:left="284" w:hanging="284"/>
        <w:contextualSpacing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 xml:space="preserve">Pozostałe strony postępowania przez obwieszczenie, zgodnie z art. 74 ust. 3 u.o.o.ś. </w:t>
      </w:r>
    </w:p>
    <w:p w14:paraId="3D47E77E" w14:textId="77777777" w:rsidR="00075BFD" w:rsidRPr="00075BFD" w:rsidRDefault="00075BFD" w:rsidP="00075BFD">
      <w:pPr>
        <w:numPr>
          <w:ilvl w:val="0"/>
          <w:numId w:val="34"/>
        </w:numPr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aa</w:t>
      </w:r>
    </w:p>
    <w:p w14:paraId="0A88ACD6" w14:textId="77777777" w:rsidR="00075BFD" w:rsidRPr="00075BFD" w:rsidRDefault="00075BFD" w:rsidP="00075BFD">
      <w:pPr>
        <w:spacing w:after="0" w:line="240" w:lineRule="auto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Do wiadomości:</w:t>
      </w:r>
    </w:p>
    <w:p w14:paraId="385B3BF9" w14:textId="77777777" w:rsidR="00075BFD" w:rsidRPr="00075BFD" w:rsidRDefault="00075BFD" w:rsidP="00075BFD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Regionalny Dyrektor Ochrony Środowiska w Poznaniu (ePUAP)</w:t>
      </w:r>
    </w:p>
    <w:p w14:paraId="1F189C12" w14:textId="77777777" w:rsidR="00075BFD" w:rsidRPr="00075BFD" w:rsidRDefault="00075BFD" w:rsidP="00075BFD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Państwowy Powiatowy Inspektor Sanitarny w Śremie (ePUAP)</w:t>
      </w:r>
    </w:p>
    <w:p w14:paraId="0E282580" w14:textId="77777777" w:rsidR="00075BFD" w:rsidRPr="00075BFD" w:rsidRDefault="00075BFD" w:rsidP="00075BFD">
      <w:pPr>
        <w:numPr>
          <w:ilvl w:val="0"/>
          <w:numId w:val="2"/>
        </w:numPr>
        <w:tabs>
          <w:tab w:val="left" w:pos="300"/>
        </w:tabs>
        <w:spacing w:after="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Dyrektor Zarządu Zlewni Państwowego Gospodarstwa Wodnego Wody Polskie w Poznaniu (ePUAP)</w:t>
      </w:r>
    </w:p>
    <w:p w14:paraId="35335380" w14:textId="77777777" w:rsidR="00075BFD" w:rsidRPr="00075BFD" w:rsidRDefault="00075BFD" w:rsidP="00075BFD">
      <w:pPr>
        <w:numPr>
          <w:ilvl w:val="0"/>
          <w:numId w:val="2"/>
        </w:numPr>
        <w:tabs>
          <w:tab w:val="left" w:pos="300"/>
        </w:tabs>
        <w:spacing w:after="120" w:line="240" w:lineRule="auto"/>
        <w:ind w:left="284" w:hanging="284"/>
        <w:jc w:val="both"/>
        <w:rPr>
          <w:rFonts w:ascii="Calibri" w:eastAsia="Times New Roman" w:hAnsi="Calibri" w:cs="Calibri"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sz w:val="28"/>
          <w:szCs w:val="28"/>
          <w:lang w:eastAsia="pl-PL"/>
        </w:rPr>
        <w:t>Wielkopolski Państwowy Wojewódzki Inspektor Sanitarny (ePUAP)</w:t>
      </w:r>
    </w:p>
    <w:p w14:paraId="0D173197" w14:textId="77777777" w:rsidR="00075BFD" w:rsidRPr="00075BFD" w:rsidRDefault="00075BFD" w:rsidP="00075BFD">
      <w:pPr>
        <w:spacing w:after="120" w:line="240" w:lineRule="auto"/>
        <w:rPr>
          <w:rFonts w:ascii="Calibri" w:eastAsia="Times New Roman" w:hAnsi="Calibri" w:cs="Calibri"/>
          <w:bCs/>
          <w:sz w:val="28"/>
          <w:szCs w:val="28"/>
          <w:lang w:eastAsia="pl-PL"/>
        </w:rPr>
      </w:pPr>
      <w:r w:rsidRPr="00075BFD">
        <w:rPr>
          <w:rFonts w:ascii="Calibri" w:eastAsia="Times New Roman" w:hAnsi="Calibri" w:cs="Calibri"/>
          <w:bCs/>
          <w:sz w:val="28"/>
          <w:szCs w:val="28"/>
          <w:lang w:eastAsia="pl-PL"/>
        </w:rPr>
        <w:t>Zwolniono od opłaty skarbowej na podstawie cz. I pkt 53 załącznika do ustawy z dnia 16 listopada 2006 r. o opłacie skarbowej (Dz. U. z 2023 r. poz. 2111, z 2024 r. poz. 1222 i 1757).</w:t>
      </w:r>
      <w:bookmarkEnd w:id="0"/>
    </w:p>
    <w:sectPr w:rsidR="00075BFD" w:rsidRPr="00075BFD" w:rsidSect="004F329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F0959" w14:textId="77777777" w:rsidR="00DD27E4" w:rsidRDefault="00DD27E4" w:rsidP="00053E5A">
      <w:pPr>
        <w:spacing w:after="0" w:line="240" w:lineRule="auto"/>
      </w:pPr>
      <w:r>
        <w:separator/>
      </w:r>
    </w:p>
  </w:endnote>
  <w:endnote w:type="continuationSeparator" w:id="0">
    <w:p w14:paraId="0ADDFF5A" w14:textId="77777777" w:rsidR="00DD27E4" w:rsidRDefault="00DD27E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5763017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1FC54B3" w14:textId="0A37A047" w:rsidR="00265CEF" w:rsidRDefault="00265CEF">
            <w:pPr>
              <w:pStyle w:val="Stopka"/>
              <w:jc w:val="center"/>
            </w:pP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PAGE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  <w:r w:rsidRPr="00265CEF">
              <w:rPr>
                <w:sz w:val="28"/>
                <w:szCs w:val="28"/>
              </w:rPr>
              <w:t xml:space="preserve"> z </w:t>
            </w:r>
            <w:r w:rsidRPr="00265CEF">
              <w:rPr>
                <w:sz w:val="28"/>
                <w:szCs w:val="28"/>
              </w:rPr>
              <w:fldChar w:fldCharType="begin"/>
            </w:r>
            <w:r w:rsidRPr="00265CEF">
              <w:rPr>
                <w:sz w:val="28"/>
                <w:szCs w:val="28"/>
              </w:rPr>
              <w:instrText>NUMPAGES</w:instrText>
            </w:r>
            <w:r w:rsidRPr="00265CEF">
              <w:rPr>
                <w:sz w:val="28"/>
                <w:szCs w:val="28"/>
              </w:rPr>
              <w:fldChar w:fldCharType="separate"/>
            </w:r>
            <w:r w:rsidRPr="00265CEF">
              <w:rPr>
                <w:sz w:val="28"/>
                <w:szCs w:val="28"/>
              </w:rPr>
              <w:t>2</w:t>
            </w:r>
            <w:r w:rsidRPr="00265CEF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88C97E7" w:rsidR="00945706" w:rsidRPr="00353E61" w:rsidRDefault="00945706" w:rsidP="00353E61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353E61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53E61" w:rsidRPr="00353E61">
      <w:rPr>
        <w:sz w:val="28"/>
        <w:szCs w:val="28"/>
      </w:rPr>
      <w:t xml:space="preserve">1 z </w:t>
    </w:r>
    <w:r w:rsidR="00BC37DE">
      <w:rPr>
        <w:sz w:val="28"/>
        <w:szCs w:val="28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75BC7" w14:textId="77777777" w:rsidR="00DD27E4" w:rsidRDefault="00DD27E4" w:rsidP="00053E5A">
      <w:pPr>
        <w:spacing w:after="0" w:line="240" w:lineRule="auto"/>
      </w:pPr>
      <w:r>
        <w:separator/>
      </w:r>
    </w:p>
  </w:footnote>
  <w:footnote w:type="continuationSeparator" w:id="0">
    <w:p w14:paraId="3B3C9DE2" w14:textId="77777777" w:rsidR="00DD27E4" w:rsidRDefault="00DD27E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C5618"/>
    <w:multiLevelType w:val="hybridMultilevel"/>
    <w:tmpl w:val="4C3647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B415E"/>
    <w:multiLevelType w:val="hybridMultilevel"/>
    <w:tmpl w:val="E42C29A8"/>
    <w:lvl w:ilvl="0" w:tplc="A27CDF86">
      <w:start w:val="1"/>
      <w:numFmt w:val="bullet"/>
      <w:lvlText w:val=""/>
      <w:lvlJc w:val="left"/>
      <w:pPr>
        <w:ind w:left="8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" w15:restartNumberingAfterBreak="0">
    <w:nsid w:val="06ED576A"/>
    <w:multiLevelType w:val="hybridMultilevel"/>
    <w:tmpl w:val="7F764FAE"/>
    <w:lvl w:ilvl="0" w:tplc="8800EEC8">
      <w:start w:val="2"/>
      <w:numFmt w:val="decimal"/>
      <w:lvlText w:val="%1."/>
      <w:lvlJc w:val="left"/>
      <w:pPr>
        <w:ind w:left="858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3228AB"/>
    <w:multiLevelType w:val="hybridMultilevel"/>
    <w:tmpl w:val="06DC7DD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19155C"/>
    <w:multiLevelType w:val="hybridMultilevel"/>
    <w:tmpl w:val="3D868D82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84F1B"/>
    <w:multiLevelType w:val="hybridMultilevel"/>
    <w:tmpl w:val="1DF0D41C"/>
    <w:lvl w:ilvl="0" w:tplc="E6B8B57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7F83626"/>
    <w:multiLevelType w:val="hybridMultilevel"/>
    <w:tmpl w:val="2B3E520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81DD8"/>
    <w:multiLevelType w:val="hybridMultilevel"/>
    <w:tmpl w:val="4424AE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E7589B"/>
    <w:multiLevelType w:val="hybridMultilevel"/>
    <w:tmpl w:val="EBDC029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704C3A"/>
    <w:multiLevelType w:val="hybridMultilevel"/>
    <w:tmpl w:val="FEE2AFE8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5050DF"/>
    <w:multiLevelType w:val="hybridMultilevel"/>
    <w:tmpl w:val="9CE2F0C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1412"/>
    <w:multiLevelType w:val="hybridMultilevel"/>
    <w:tmpl w:val="36EE9E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354C8"/>
    <w:multiLevelType w:val="hybridMultilevel"/>
    <w:tmpl w:val="0B40ED42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AC6FC3"/>
    <w:multiLevelType w:val="hybridMultilevel"/>
    <w:tmpl w:val="AD8085E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391066D5"/>
    <w:multiLevelType w:val="hybridMultilevel"/>
    <w:tmpl w:val="A3A4459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9B75E9A"/>
    <w:multiLevelType w:val="hybridMultilevel"/>
    <w:tmpl w:val="231C3C96"/>
    <w:lvl w:ilvl="0" w:tplc="2AD6C718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EE24F9"/>
    <w:multiLevelType w:val="hybridMultilevel"/>
    <w:tmpl w:val="A27C01E2"/>
    <w:lvl w:ilvl="0" w:tplc="8BC6B3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4D6632"/>
    <w:multiLevelType w:val="hybridMultilevel"/>
    <w:tmpl w:val="8CCE21E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7A4D14"/>
    <w:multiLevelType w:val="hybridMultilevel"/>
    <w:tmpl w:val="79C27B36"/>
    <w:lvl w:ilvl="0" w:tplc="E57C8C7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6647F"/>
    <w:multiLevelType w:val="hybridMultilevel"/>
    <w:tmpl w:val="57E0A01A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554ED1"/>
    <w:multiLevelType w:val="hybridMultilevel"/>
    <w:tmpl w:val="F4A03CDA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599454D0"/>
    <w:multiLevelType w:val="hybridMultilevel"/>
    <w:tmpl w:val="866EBA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C42A0E"/>
    <w:multiLevelType w:val="multilevel"/>
    <w:tmpl w:val="7F8C8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8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6DDA066E"/>
    <w:multiLevelType w:val="hybridMultilevel"/>
    <w:tmpl w:val="B4A6E944"/>
    <w:lvl w:ilvl="0" w:tplc="D04A44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FA3C71"/>
    <w:multiLevelType w:val="hybridMultilevel"/>
    <w:tmpl w:val="36164A94"/>
    <w:lvl w:ilvl="0" w:tplc="0060DD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856B56"/>
    <w:multiLevelType w:val="singleLevel"/>
    <w:tmpl w:val="D368E248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hAnsiTheme="minorHAnsi" w:cstheme="minorHAnsi" w:hint="default"/>
        <w:color w:val="auto"/>
        <w:sz w:val="28"/>
        <w:szCs w:val="28"/>
      </w:rPr>
    </w:lvl>
  </w:abstractNum>
  <w:abstractNum w:abstractNumId="26" w15:restartNumberingAfterBreak="0">
    <w:nsid w:val="762539E9"/>
    <w:multiLevelType w:val="hybridMultilevel"/>
    <w:tmpl w:val="DEA296C4"/>
    <w:lvl w:ilvl="0" w:tplc="DD9A01E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793911"/>
    <w:multiLevelType w:val="hybridMultilevel"/>
    <w:tmpl w:val="1BBAFEA0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9B0F7E"/>
    <w:multiLevelType w:val="hybridMultilevel"/>
    <w:tmpl w:val="2D662D44"/>
    <w:lvl w:ilvl="0" w:tplc="DD9A01E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1A2188"/>
    <w:multiLevelType w:val="hybridMultilevel"/>
    <w:tmpl w:val="46547A96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75510B"/>
    <w:multiLevelType w:val="hybridMultilevel"/>
    <w:tmpl w:val="9B92B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C074B5"/>
    <w:multiLevelType w:val="hybridMultilevel"/>
    <w:tmpl w:val="1BE44F5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3B75A4"/>
    <w:multiLevelType w:val="hybridMultilevel"/>
    <w:tmpl w:val="C504BC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91654990">
    <w:abstractNumId w:val="22"/>
  </w:num>
  <w:num w:numId="2" w16cid:durableId="623274661">
    <w:abstractNumId w:val="27"/>
  </w:num>
  <w:num w:numId="3" w16cid:durableId="428895939">
    <w:abstractNumId w:val="5"/>
  </w:num>
  <w:num w:numId="4" w16cid:durableId="165706803">
    <w:abstractNumId w:val="16"/>
  </w:num>
  <w:num w:numId="5" w16cid:durableId="53897451">
    <w:abstractNumId w:val="13"/>
  </w:num>
  <w:num w:numId="6" w16cid:durableId="1220093233">
    <w:abstractNumId w:val="21"/>
  </w:num>
  <w:num w:numId="7" w16cid:durableId="19164920">
    <w:abstractNumId w:val="4"/>
  </w:num>
  <w:num w:numId="8" w16cid:durableId="1827088856">
    <w:abstractNumId w:val="0"/>
  </w:num>
  <w:num w:numId="9" w16cid:durableId="275522973">
    <w:abstractNumId w:val="20"/>
  </w:num>
  <w:num w:numId="10" w16cid:durableId="972096702">
    <w:abstractNumId w:val="10"/>
  </w:num>
  <w:num w:numId="11" w16cid:durableId="358287635">
    <w:abstractNumId w:val="9"/>
  </w:num>
  <w:num w:numId="12" w16cid:durableId="1662274468">
    <w:abstractNumId w:val="7"/>
  </w:num>
  <w:num w:numId="13" w16cid:durableId="273447051">
    <w:abstractNumId w:val="1"/>
  </w:num>
  <w:num w:numId="14" w16cid:durableId="1104770598">
    <w:abstractNumId w:val="3"/>
  </w:num>
  <w:num w:numId="15" w16cid:durableId="889344273">
    <w:abstractNumId w:val="12"/>
  </w:num>
  <w:num w:numId="16" w16cid:durableId="1224830862">
    <w:abstractNumId w:val="19"/>
  </w:num>
  <w:num w:numId="17" w16cid:durableId="1681195092">
    <w:abstractNumId w:val="30"/>
  </w:num>
  <w:num w:numId="18" w16cid:durableId="1463188495">
    <w:abstractNumId w:val="6"/>
  </w:num>
  <w:num w:numId="19" w16cid:durableId="1139804516">
    <w:abstractNumId w:val="33"/>
  </w:num>
  <w:num w:numId="20" w16cid:durableId="2021925747">
    <w:abstractNumId w:val="14"/>
  </w:num>
  <w:num w:numId="21" w16cid:durableId="842628017">
    <w:abstractNumId w:val="15"/>
  </w:num>
  <w:num w:numId="22" w16cid:durableId="190263225">
    <w:abstractNumId w:val="17"/>
  </w:num>
  <w:num w:numId="23" w16cid:durableId="2143618388">
    <w:abstractNumId w:val="28"/>
  </w:num>
  <w:num w:numId="24" w16cid:durableId="284700550">
    <w:abstractNumId w:val="26"/>
  </w:num>
  <w:num w:numId="25" w16cid:durableId="1485781487">
    <w:abstractNumId w:val="11"/>
  </w:num>
  <w:num w:numId="26" w16cid:durableId="1397435856">
    <w:abstractNumId w:val="29"/>
  </w:num>
  <w:num w:numId="27" w16cid:durableId="1899245635">
    <w:abstractNumId w:val="23"/>
  </w:num>
  <w:num w:numId="28" w16cid:durableId="1634945764">
    <w:abstractNumId w:val="18"/>
  </w:num>
  <w:num w:numId="29" w16cid:durableId="582572878">
    <w:abstractNumId w:val="25"/>
  </w:num>
  <w:num w:numId="30" w16cid:durableId="1370496559">
    <w:abstractNumId w:val="8"/>
  </w:num>
  <w:num w:numId="31" w16cid:durableId="61373815">
    <w:abstractNumId w:val="2"/>
  </w:num>
  <w:num w:numId="32" w16cid:durableId="972753116">
    <w:abstractNumId w:val="32"/>
  </w:num>
  <w:num w:numId="33" w16cid:durableId="692995961">
    <w:abstractNumId w:val="31"/>
  </w:num>
  <w:num w:numId="34" w16cid:durableId="562431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25934"/>
    <w:rsid w:val="00033D69"/>
    <w:rsid w:val="00053E5A"/>
    <w:rsid w:val="000569BA"/>
    <w:rsid w:val="000617DF"/>
    <w:rsid w:val="00075BFD"/>
    <w:rsid w:val="001531D4"/>
    <w:rsid w:val="00157B44"/>
    <w:rsid w:val="00167A26"/>
    <w:rsid w:val="001C4D68"/>
    <w:rsid w:val="001E4093"/>
    <w:rsid w:val="001E5E33"/>
    <w:rsid w:val="00204B96"/>
    <w:rsid w:val="00250690"/>
    <w:rsid w:val="00262D59"/>
    <w:rsid w:val="00265CEF"/>
    <w:rsid w:val="00272D72"/>
    <w:rsid w:val="002D0591"/>
    <w:rsid w:val="002D6590"/>
    <w:rsid w:val="002D7B69"/>
    <w:rsid w:val="002E76FA"/>
    <w:rsid w:val="00314D2D"/>
    <w:rsid w:val="00345EB6"/>
    <w:rsid w:val="00353E61"/>
    <w:rsid w:val="00354C05"/>
    <w:rsid w:val="003A09D4"/>
    <w:rsid w:val="003A4C6C"/>
    <w:rsid w:val="003D0930"/>
    <w:rsid w:val="003D6D00"/>
    <w:rsid w:val="003E33EB"/>
    <w:rsid w:val="0042442E"/>
    <w:rsid w:val="00435889"/>
    <w:rsid w:val="004519AC"/>
    <w:rsid w:val="00463950"/>
    <w:rsid w:val="0048459B"/>
    <w:rsid w:val="00487C97"/>
    <w:rsid w:val="004F3296"/>
    <w:rsid w:val="00525346"/>
    <w:rsid w:val="0054093D"/>
    <w:rsid w:val="00566AC2"/>
    <w:rsid w:val="005811F1"/>
    <w:rsid w:val="005968A5"/>
    <w:rsid w:val="005E5887"/>
    <w:rsid w:val="005F048F"/>
    <w:rsid w:val="005F23DE"/>
    <w:rsid w:val="0063592D"/>
    <w:rsid w:val="006868C5"/>
    <w:rsid w:val="0069519F"/>
    <w:rsid w:val="006A6944"/>
    <w:rsid w:val="006A6F3E"/>
    <w:rsid w:val="006C7416"/>
    <w:rsid w:val="00723012"/>
    <w:rsid w:val="007362FC"/>
    <w:rsid w:val="00757413"/>
    <w:rsid w:val="007859F4"/>
    <w:rsid w:val="007C6800"/>
    <w:rsid w:val="0081559F"/>
    <w:rsid w:val="00837187"/>
    <w:rsid w:val="00883133"/>
    <w:rsid w:val="008A1C0E"/>
    <w:rsid w:val="008D0CA6"/>
    <w:rsid w:val="00903D98"/>
    <w:rsid w:val="009105D1"/>
    <w:rsid w:val="00912874"/>
    <w:rsid w:val="00917C21"/>
    <w:rsid w:val="00945706"/>
    <w:rsid w:val="0095451D"/>
    <w:rsid w:val="00956BE5"/>
    <w:rsid w:val="009614DC"/>
    <w:rsid w:val="0096622E"/>
    <w:rsid w:val="009B23EC"/>
    <w:rsid w:val="00A27232"/>
    <w:rsid w:val="00A3580C"/>
    <w:rsid w:val="00A6049F"/>
    <w:rsid w:val="00A62257"/>
    <w:rsid w:val="00AC23FB"/>
    <w:rsid w:val="00B109BE"/>
    <w:rsid w:val="00B34A40"/>
    <w:rsid w:val="00B43811"/>
    <w:rsid w:val="00B5697F"/>
    <w:rsid w:val="00B91287"/>
    <w:rsid w:val="00BA179E"/>
    <w:rsid w:val="00BC37DE"/>
    <w:rsid w:val="00BD5A34"/>
    <w:rsid w:val="00BE2331"/>
    <w:rsid w:val="00BF3905"/>
    <w:rsid w:val="00C07730"/>
    <w:rsid w:val="00C356BB"/>
    <w:rsid w:val="00C54B8B"/>
    <w:rsid w:val="00C82934"/>
    <w:rsid w:val="00C860D0"/>
    <w:rsid w:val="00D0263E"/>
    <w:rsid w:val="00D54DF8"/>
    <w:rsid w:val="00D74D8E"/>
    <w:rsid w:val="00D77FE9"/>
    <w:rsid w:val="00DA25D3"/>
    <w:rsid w:val="00DA2EEC"/>
    <w:rsid w:val="00DB7013"/>
    <w:rsid w:val="00DB7313"/>
    <w:rsid w:val="00DD27E4"/>
    <w:rsid w:val="00DF00A7"/>
    <w:rsid w:val="00E10C32"/>
    <w:rsid w:val="00E170E7"/>
    <w:rsid w:val="00E20F9D"/>
    <w:rsid w:val="00E315B4"/>
    <w:rsid w:val="00E34C2B"/>
    <w:rsid w:val="00E37B37"/>
    <w:rsid w:val="00E62C27"/>
    <w:rsid w:val="00EB6131"/>
    <w:rsid w:val="00EC2009"/>
    <w:rsid w:val="00ED6DB5"/>
    <w:rsid w:val="00F27EE0"/>
    <w:rsid w:val="00FD1B21"/>
    <w:rsid w:val="00FD4B02"/>
    <w:rsid w:val="00FD6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D5A3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D5A34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BD5A3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66A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6AC2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829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16259).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1821</Words>
  <Characters>10928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50</cp:revision>
  <cp:lastPrinted>2024-12-23T06:46:00Z</cp:lastPrinted>
  <dcterms:created xsi:type="dcterms:W3CDTF">2021-04-23T10:50:00Z</dcterms:created>
  <dcterms:modified xsi:type="dcterms:W3CDTF">2025-02-11T06:36:00Z</dcterms:modified>
</cp:coreProperties>
</file>