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E14AB42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bookmarkStart w:id="0" w:name="_Hlk191560024"/>
      <w:r w:rsidRPr="005A07CF">
        <w:rPr>
          <w:rFonts w:eastAsia="Calibri" w:cstheme="minorHAnsi"/>
          <w:sz w:val="28"/>
          <w:szCs w:val="28"/>
        </w:rPr>
        <w:t>Burmistrz Śremu</w:t>
      </w:r>
    </w:p>
    <w:p w14:paraId="29FAE4AF" w14:textId="77777777" w:rsidR="00F15E46" w:rsidRPr="005A07CF" w:rsidRDefault="00F15E46" w:rsidP="00F15E46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923E205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bookmarkEnd w:id="0"/>
    <w:p w14:paraId="10A2A87F" w14:textId="3EAC8C33" w:rsidR="00F15E46" w:rsidRPr="005A07CF" w:rsidRDefault="00F15E46" w:rsidP="00F15E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>
        <w:rPr>
          <w:rFonts w:eastAsia="Calibri" w:cstheme="minorHAnsi"/>
          <w:sz w:val="28"/>
          <w:szCs w:val="28"/>
        </w:rPr>
        <w:t xml:space="preserve"> </w:t>
      </w:r>
      <w:r w:rsidR="00DD6D0D">
        <w:rPr>
          <w:rFonts w:eastAsia="Calibri" w:cstheme="minorHAnsi"/>
          <w:sz w:val="28"/>
          <w:szCs w:val="28"/>
        </w:rPr>
        <w:t>25</w:t>
      </w:r>
      <w:r>
        <w:rPr>
          <w:rFonts w:eastAsia="Calibri" w:cstheme="minorHAnsi"/>
          <w:sz w:val="28"/>
          <w:szCs w:val="28"/>
        </w:rPr>
        <w:t xml:space="preserve"> </w:t>
      </w:r>
      <w:r w:rsidR="00697E33">
        <w:rPr>
          <w:rFonts w:eastAsia="Calibri" w:cstheme="minorHAnsi"/>
          <w:sz w:val="28"/>
          <w:szCs w:val="28"/>
        </w:rPr>
        <w:t>marca</w:t>
      </w:r>
      <w:r>
        <w:rPr>
          <w:rFonts w:eastAsia="Calibri" w:cstheme="minorHAnsi"/>
          <w:sz w:val="28"/>
          <w:szCs w:val="28"/>
        </w:rPr>
        <w:t xml:space="preserve"> 2025 r.</w:t>
      </w:r>
    </w:p>
    <w:p w14:paraId="4B26B8F9" w14:textId="479BB45E" w:rsidR="00F15E46" w:rsidRPr="005A07CF" w:rsidRDefault="00F15E46" w:rsidP="00F15E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PP.6730.1</w:t>
      </w:r>
      <w:r w:rsidR="00697E33">
        <w:rPr>
          <w:rFonts w:eastAsia="Calibri" w:cstheme="minorHAnsi"/>
          <w:sz w:val="28"/>
          <w:szCs w:val="28"/>
        </w:rPr>
        <w:t>88</w:t>
      </w:r>
      <w:r>
        <w:rPr>
          <w:rFonts w:eastAsia="Calibri" w:cstheme="minorHAnsi"/>
          <w:sz w:val="28"/>
          <w:szCs w:val="28"/>
        </w:rPr>
        <w:t>.2024.GMON</w:t>
      </w:r>
    </w:p>
    <w:p w14:paraId="4DC34FAB" w14:textId="17CCF6EB" w:rsidR="00F15E46" w:rsidRPr="00832B24" w:rsidRDefault="00F15E46" w:rsidP="00832B2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>wydaniu decyzji o warunkach zabudowy</w:t>
      </w:r>
    </w:p>
    <w:p w14:paraId="58D438DF" w14:textId="749E5936" w:rsidR="00F15E46" w:rsidRPr="009F6A6D" w:rsidRDefault="00F15E46" w:rsidP="009F6A6D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14133">
        <w:rPr>
          <w:rFonts w:cstheme="minorHAnsi"/>
          <w:sz w:val="28"/>
          <w:szCs w:val="28"/>
        </w:rPr>
        <w:t>W związku z</w:t>
      </w:r>
      <w:r w:rsidR="009F6A6D">
        <w:rPr>
          <w:rFonts w:cstheme="minorHAnsi"/>
          <w:sz w:val="28"/>
          <w:szCs w:val="28"/>
        </w:rPr>
        <w:t xml:space="preserve"> </w:t>
      </w:r>
      <w:r w:rsidRPr="009F6A6D">
        <w:rPr>
          <w:rFonts w:cstheme="minorHAnsi"/>
          <w:sz w:val="28"/>
          <w:szCs w:val="28"/>
        </w:rPr>
        <w:t>nieuregulowanym stanem prawnym nieruchomości (</w:t>
      </w:r>
      <w:r w:rsidR="00697E33" w:rsidRPr="009F6A6D">
        <w:rPr>
          <w:rFonts w:cstheme="minorHAnsi"/>
          <w:sz w:val="28"/>
          <w:szCs w:val="28"/>
        </w:rPr>
        <w:t>działki o nr ewid. 369, 371/1 i 372/2, obręb Wyrzeka</w:t>
      </w:r>
      <w:r w:rsidRPr="009F6A6D">
        <w:rPr>
          <w:rFonts w:cstheme="minorHAnsi"/>
          <w:sz w:val="28"/>
          <w:szCs w:val="28"/>
        </w:rPr>
        <w:t>) 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 w:rsidRPr="009F6A6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Śremie</w:t>
      </w:r>
      <w:r w:rsidR="0082337D" w:rsidRPr="009F6A6D">
        <w:rPr>
          <w:rFonts w:cstheme="minorHAnsi"/>
          <w:sz w:val="28"/>
          <w:szCs w:val="28"/>
        </w:rPr>
        <w:t xml:space="preserve"> oraz</w:t>
      </w:r>
      <w:r w:rsidR="00C2361B" w:rsidRPr="00C2361B">
        <w:rPr>
          <w:rFonts w:cstheme="minorHAnsi"/>
          <w:sz w:val="28"/>
          <w:szCs w:val="28"/>
        </w:rPr>
        <w:t xml:space="preserve"> </w:t>
      </w:r>
      <w:r w:rsidR="00832B24" w:rsidRPr="00832B24">
        <w:rPr>
          <w:rFonts w:cstheme="minorHAnsi"/>
          <w:sz w:val="28"/>
          <w:szCs w:val="28"/>
        </w:rPr>
        <w:t>podaj</w:t>
      </w:r>
      <w:r w:rsidR="00832B24">
        <w:rPr>
          <w:rFonts w:cstheme="minorHAnsi"/>
          <w:sz w:val="28"/>
          <w:szCs w:val="28"/>
        </w:rPr>
        <w:t>ę</w:t>
      </w:r>
      <w:r w:rsidR="00832B24" w:rsidRPr="00832B24">
        <w:rPr>
          <w:rFonts w:cstheme="minorHAnsi"/>
          <w:sz w:val="28"/>
          <w:szCs w:val="28"/>
        </w:rPr>
        <w:t xml:space="preserve"> do publicznej wiadomości informacj</w:t>
      </w:r>
      <w:r w:rsidR="00832B24">
        <w:rPr>
          <w:rFonts w:cstheme="minorHAnsi"/>
          <w:sz w:val="28"/>
          <w:szCs w:val="28"/>
        </w:rPr>
        <w:t>ę</w:t>
      </w:r>
      <w:r w:rsidR="00832B24" w:rsidRPr="00832B24">
        <w:rPr>
          <w:rFonts w:cstheme="minorHAnsi"/>
          <w:sz w:val="28"/>
          <w:szCs w:val="28"/>
        </w:rPr>
        <w:t xml:space="preserve"> o</w:t>
      </w:r>
      <w:r w:rsidR="00832B24">
        <w:rPr>
          <w:rFonts w:cstheme="minorHAnsi"/>
          <w:sz w:val="28"/>
          <w:szCs w:val="28"/>
        </w:rPr>
        <w:t> </w:t>
      </w:r>
      <w:r w:rsidR="00832B24" w:rsidRPr="00832B24">
        <w:rPr>
          <w:rFonts w:cstheme="minorHAnsi"/>
          <w:sz w:val="28"/>
          <w:szCs w:val="28"/>
        </w:rPr>
        <w:t xml:space="preserve">wydanej </w:t>
      </w:r>
      <w:r w:rsidR="0082709F">
        <w:rPr>
          <w:rFonts w:cstheme="minorHAnsi"/>
          <w:sz w:val="28"/>
          <w:szCs w:val="28"/>
        </w:rPr>
        <w:t>24.03</w:t>
      </w:r>
      <w:r w:rsidRPr="009F6A6D">
        <w:rPr>
          <w:rFonts w:cstheme="minorHAnsi"/>
          <w:sz w:val="28"/>
          <w:szCs w:val="28"/>
        </w:rPr>
        <w:t xml:space="preserve">.2025 r. decyzji Burmistrza Śremu nr </w:t>
      </w:r>
      <w:r w:rsidR="00697E33" w:rsidRPr="009F6A6D">
        <w:rPr>
          <w:rFonts w:cstheme="minorHAnsi"/>
          <w:sz w:val="28"/>
          <w:szCs w:val="28"/>
        </w:rPr>
        <w:t>27</w:t>
      </w:r>
      <w:r w:rsidRPr="009F6A6D">
        <w:rPr>
          <w:rFonts w:cstheme="minorHAnsi"/>
          <w:sz w:val="28"/>
          <w:szCs w:val="28"/>
        </w:rPr>
        <w:t xml:space="preserve">/2025 o warunkach zabudowy dla przedsięwzięcia polegającego na </w:t>
      </w:r>
      <w:r w:rsidR="00697E33" w:rsidRPr="009F6A6D">
        <w:rPr>
          <w:rFonts w:cstheme="minorHAnsi"/>
          <w:sz w:val="28"/>
          <w:szCs w:val="28"/>
        </w:rPr>
        <w:t>rozbudowie budynku inwentarskiego (obory) na terenie działki o nr ewid. 371, obręb Wyrzeka (ul. Ks. P. Wawrzyniaka)</w:t>
      </w:r>
      <w:r w:rsidRPr="009F6A6D">
        <w:rPr>
          <w:rFonts w:cstheme="minorHAnsi"/>
          <w:sz w:val="28"/>
          <w:szCs w:val="28"/>
        </w:rPr>
        <w:t>, na rzecz osoby fizycznej.</w:t>
      </w:r>
    </w:p>
    <w:p w14:paraId="6096B679" w14:textId="57806989" w:rsidR="00F15E46" w:rsidRPr="005832E1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85DDC">
        <w:rPr>
          <w:rFonts w:cstheme="minorHAnsi"/>
          <w:sz w:val="28"/>
          <w:szCs w:val="28"/>
        </w:rPr>
        <w:t>W związku z powyższym informuję</w:t>
      </w:r>
      <w:r w:rsidR="00113ED1">
        <w:rPr>
          <w:rFonts w:cstheme="minorHAnsi"/>
          <w:sz w:val="28"/>
          <w:szCs w:val="28"/>
        </w:rPr>
        <w:t xml:space="preserve"> o </w:t>
      </w:r>
      <w:r w:rsidRPr="00085DDC">
        <w:rPr>
          <w:rFonts w:cstheme="minorHAnsi"/>
          <w:sz w:val="28"/>
          <w:szCs w:val="28"/>
        </w:rPr>
        <w:t>mo</w:t>
      </w:r>
      <w:r w:rsidR="00113ED1">
        <w:rPr>
          <w:rFonts w:cstheme="minorHAnsi"/>
          <w:sz w:val="28"/>
          <w:szCs w:val="28"/>
        </w:rPr>
        <w:t xml:space="preserve">żliwości </w:t>
      </w:r>
      <w:r w:rsidRPr="00085DDC">
        <w:rPr>
          <w:rFonts w:cstheme="minorHAnsi"/>
          <w:sz w:val="28"/>
          <w:szCs w:val="28"/>
        </w:rPr>
        <w:t>zapozna</w:t>
      </w:r>
      <w:r w:rsidR="00113ED1">
        <w:rPr>
          <w:rFonts w:cstheme="minorHAnsi"/>
          <w:sz w:val="28"/>
          <w:szCs w:val="28"/>
        </w:rPr>
        <w:t>nia</w:t>
      </w:r>
      <w:r w:rsidRPr="00085DDC">
        <w:rPr>
          <w:rFonts w:cstheme="minorHAnsi"/>
          <w:sz w:val="28"/>
          <w:szCs w:val="28"/>
        </w:rPr>
        <w:t xml:space="preserve"> się z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 xml:space="preserve">wydaną decyzją oraz </w:t>
      </w:r>
      <w:r w:rsidR="00113ED1">
        <w:rPr>
          <w:rFonts w:cstheme="minorHAnsi"/>
          <w:sz w:val="28"/>
          <w:szCs w:val="28"/>
        </w:rPr>
        <w:t>z dokumentacją sprawy</w:t>
      </w:r>
      <w:r w:rsidRPr="00085DDC">
        <w:rPr>
          <w:rFonts w:cstheme="minorHAnsi"/>
          <w:sz w:val="28"/>
          <w:szCs w:val="28"/>
        </w:rPr>
        <w:t xml:space="preserve">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Zespole Planowania Przestrzennego (biuro nr 34) Urzędu Miejskiego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Śremie, ul. Plac 20 Października 1, 63-100 Śrem, w godzinach od 7:00 do</w:t>
      </w:r>
      <w:r w:rsidR="00CA5F5B"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 xml:space="preserve">15:00. </w:t>
      </w:r>
    </w:p>
    <w:p w14:paraId="10E33CA4" w14:textId="77777777" w:rsidR="00F15E46" w:rsidRPr="00B2252F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 dnia 14 czerwca 1960 r. – Kodeks postępowania administracyjnego (Dz. U. z 2024 r. poz. 572). </w:t>
      </w:r>
      <w:r w:rsidRPr="001E448B">
        <w:rPr>
          <w:rFonts w:cstheme="minorHAnsi"/>
          <w:sz w:val="28"/>
          <w:szCs w:val="28"/>
        </w:rPr>
        <w:t xml:space="preserve"> </w:t>
      </w:r>
    </w:p>
    <w:p w14:paraId="789A1CA4" w14:textId="77777777" w:rsidR="00F15E46" w:rsidRPr="001A1B1C" w:rsidRDefault="00F15E46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12CA6492" w14:textId="2D294301" w:rsidR="00F15E46" w:rsidRPr="00832B24" w:rsidRDefault="00F15E46" w:rsidP="00832B24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79810223" w14:textId="28BE8F84" w:rsidR="00F15E46" w:rsidRPr="005A07CF" w:rsidRDefault="00F15E46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32B24">
        <w:rPr>
          <w:rFonts w:eastAsia="Times New Roman" w:cstheme="minorHAnsi"/>
          <w:sz w:val="28"/>
          <w:szCs w:val="28"/>
          <w:lang w:eastAsia="pl-PL"/>
        </w:rPr>
        <w:t>25.03.</w:t>
      </w:r>
      <w:r>
        <w:rPr>
          <w:rFonts w:eastAsia="Times New Roman" w:cstheme="minorHAnsi"/>
          <w:sz w:val="28"/>
          <w:szCs w:val="28"/>
          <w:lang w:eastAsia="pl-PL"/>
        </w:rPr>
        <w:t>2025 r.</w:t>
      </w:r>
    </w:p>
    <w:p w14:paraId="4A0F8952" w14:textId="6B3AF1E8" w:rsidR="00F15E46" w:rsidRDefault="00F15E46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</w:t>
      </w:r>
      <w:r w:rsidR="00832B24">
        <w:rPr>
          <w:rFonts w:eastAsia="Calibri" w:cstheme="minorHAnsi"/>
          <w:sz w:val="28"/>
          <w:szCs w:val="28"/>
        </w:rPr>
        <w:t>..04.2025 r.</w:t>
      </w:r>
    </w:p>
    <w:p w14:paraId="5A005DF3" w14:textId="77777777" w:rsidR="00675339" w:rsidRDefault="00675339" w:rsidP="005667E5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42652132" w14:textId="77777777" w:rsidR="00675339" w:rsidRDefault="00675339" w:rsidP="00D60D3B">
      <w:pPr>
        <w:spacing w:after="0" w:line="240" w:lineRule="auto"/>
        <w:ind w:right="6095"/>
        <w:rPr>
          <w:rFonts w:eastAsia="Calibri" w:cstheme="minorHAnsi"/>
          <w:sz w:val="28"/>
          <w:szCs w:val="28"/>
        </w:rPr>
        <w:sectPr w:rsidR="00675339" w:rsidSect="00ED48F7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</w:p>
    <w:p w14:paraId="1564679A" w14:textId="77777777" w:rsidR="00716C65" w:rsidRPr="00716C65" w:rsidRDefault="00716C65" w:rsidP="00903DCA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716C65">
        <w:rPr>
          <w:rFonts w:ascii="Calibri" w:hAnsi="Calibri" w:cs="Calibri"/>
          <w:bCs/>
          <w:sz w:val="28"/>
          <w:szCs w:val="28"/>
        </w:rPr>
        <w:lastRenderedPageBreak/>
        <w:t>Burmistrz Śremu</w:t>
      </w:r>
    </w:p>
    <w:p w14:paraId="47E74CB9" w14:textId="77777777" w:rsidR="00716C65" w:rsidRPr="00716C65" w:rsidRDefault="00716C65" w:rsidP="00716C65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716C65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0F771D84" w14:textId="77777777" w:rsidR="00716C65" w:rsidRPr="00716C65" w:rsidRDefault="00716C65" w:rsidP="00716C65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716C65">
        <w:rPr>
          <w:rFonts w:ascii="Calibri" w:hAnsi="Calibri" w:cs="Calibri"/>
          <w:bCs/>
          <w:sz w:val="28"/>
          <w:szCs w:val="28"/>
        </w:rPr>
        <w:t>63 – 100 Śrem</w:t>
      </w:r>
    </w:p>
    <w:p w14:paraId="743EA5B1" w14:textId="77777777" w:rsidR="005667E5" w:rsidRPr="005667E5" w:rsidRDefault="005667E5" w:rsidP="005667E5">
      <w:pPr>
        <w:spacing w:after="120" w:line="240" w:lineRule="auto"/>
        <w:ind w:left="567"/>
        <w:jc w:val="right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Śrem, 24 marca 2025 r.</w:t>
      </w:r>
    </w:p>
    <w:p w14:paraId="226773FC" w14:textId="77777777" w:rsidR="005667E5" w:rsidRPr="005667E5" w:rsidRDefault="005667E5" w:rsidP="005667E5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PPSPP.6730.188.2024.GMON</w:t>
      </w:r>
    </w:p>
    <w:p w14:paraId="2B9D2D4D" w14:textId="7F7B9700" w:rsidR="005667E5" w:rsidRPr="005667E5" w:rsidRDefault="005667E5" w:rsidP="005667E5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Decyzja nr 27/2025</w:t>
      </w:r>
      <w:r w:rsidRPr="005667E5">
        <w:rPr>
          <w:rFonts w:cstheme="minorHAnsi"/>
          <w:sz w:val="28"/>
          <w:szCs w:val="28"/>
        </w:rPr>
        <w:br/>
        <w:t>o warunkach zabudowy</w:t>
      </w:r>
    </w:p>
    <w:p w14:paraId="47DF9FBD" w14:textId="77777777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="Times New Roman"/>
          <w:sz w:val="28"/>
          <w:szCs w:val="28"/>
        </w:rPr>
        <w:t>Na podstawie art. 4 ust. 2 pkt 2 w związku z art. 59 ust. 1, art. 60 ust. 1 i art. 61 ust. 4 ustawy z dnia 27 marca 2003 r. o planowaniu i zagospodarowaniu przestrzennym (</w:t>
      </w:r>
      <w:r w:rsidRPr="005667E5">
        <w:rPr>
          <w:rFonts w:cstheme="minorHAnsi"/>
          <w:sz w:val="28"/>
          <w:szCs w:val="28"/>
        </w:rPr>
        <w:t>Dz. U. z 2024 r. poz. 1130, 1907 i 1940</w:t>
      </w:r>
      <w:r w:rsidRPr="005667E5">
        <w:rPr>
          <w:rFonts w:cs="Times New Roman"/>
          <w:sz w:val="28"/>
          <w:szCs w:val="28"/>
        </w:rPr>
        <w:t xml:space="preserve">), </w:t>
      </w:r>
      <w:r w:rsidRPr="005667E5">
        <w:rPr>
          <w:rFonts w:cstheme="minorHAnsi"/>
          <w:sz w:val="28"/>
          <w:szCs w:val="28"/>
        </w:rPr>
        <w:t>zwanej dalej u.p.z.p.,</w:t>
      </w:r>
      <w:r w:rsidRPr="005667E5">
        <w:rPr>
          <w:rFonts w:cs="Times New Roman"/>
          <w:sz w:val="28"/>
          <w:szCs w:val="28"/>
        </w:rPr>
        <w:t xml:space="preserve"> oraz art. 104 ustawy z dnia 14 czerwca 1960 r. – Kodeks postępowania administracyjnego (Dz. U. z 2024 r. poz. 572), zwanej dalej k.p.a., po rozpatrzeniu wniosku </w:t>
      </w:r>
      <w:r w:rsidRPr="005667E5">
        <w:rPr>
          <w:rFonts w:cstheme="minorHAnsi"/>
          <w:sz w:val="28"/>
          <w:szCs w:val="28"/>
        </w:rPr>
        <w:t>złożonego 29.11.2024 r. i uzupełnionego 12.12.2024 r., przez:</w:t>
      </w:r>
    </w:p>
    <w:p w14:paraId="68FFFB69" w14:textId="0E72BE79" w:rsidR="005667E5" w:rsidRPr="005667E5" w:rsidRDefault="002F0F3C" w:rsidP="005667E5">
      <w:pPr>
        <w:spacing w:after="120" w:line="240" w:lineRule="auto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osobę fizyczną</w:t>
      </w:r>
    </w:p>
    <w:p w14:paraId="3F5CDE9C" w14:textId="77777777" w:rsidR="005667E5" w:rsidRPr="005667E5" w:rsidRDefault="005667E5" w:rsidP="005667E5">
      <w:pPr>
        <w:widowControl w:val="0"/>
        <w:tabs>
          <w:tab w:val="left" w:pos="0"/>
        </w:tabs>
        <w:autoSpaceDE w:val="0"/>
        <w:autoSpaceDN w:val="0"/>
        <w:adjustRightInd w:val="0"/>
        <w:spacing w:after="120" w:line="240" w:lineRule="auto"/>
        <w:rPr>
          <w:rFonts w:cstheme="minorHAnsi"/>
          <w:bCs/>
          <w:sz w:val="28"/>
        </w:rPr>
      </w:pPr>
      <w:r w:rsidRPr="005667E5">
        <w:rPr>
          <w:rFonts w:cstheme="minorHAnsi"/>
          <w:sz w:val="28"/>
          <w:szCs w:val="28"/>
        </w:rPr>
        <w:t>w sprawie ustalenia warunków zabudowy dla przedsięwzięcia:</w:t>
      </w:r>
      <w:r w:rsidRPr="005667E5">
        <w:rPr>
          <w:rFonts w:cstheme="minorHAnsi"/>
          <w:sz w:val="28"/>
        </w:rPr>
        <w:t xml:space="preserve"> „rozbudowa obory” na terenie działki o nr ewid. 371, obręb Wyrzeka,</w:t>
      </w:r>
    </w:p>
    <w:p w14:paraId="68D4DCFD" w14:textId="77777777" w:rsidR="005667E5" w:rsidRPr="005667E5" w:rsidRDefault="005667E5" w:rsidP="005667E5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ustalam</w:t>
      </w:r>
      <w:r w:rsidRPr="005667E5">
        <w:rPr>
          <w:rFonts w:cstheme="minorHAnsi"/>
          <w:sz w:val="28"/>
          <w:szCs w:val="28"/>
        </w:rPr>
        <w:br/>
        <w:t>na rzecz Wnioskodawczyni</w:t>
      </w:r>
      <w:r w:rsidRPr="005667E5">
        <w:rPr>
          <w:rFonts w:cstheme="minorHAnsi"/>
          <w:sz w:val="28"/>
          <w:szCs w:val="28"/>
        </w:rPr>
        <w:br/>
        <w:t>następujące warunki zabudowy i zagospodarowania terenu:</w:t>
      </w:r>
    </w:p>
    <w:p w14:paraId="492EB957" w14:textId="77777777" w:rsidR="005667E5" w:rsidRPr="005667E5" w:rsidRDefault="005667E5" w:rsidP="002F0F3C">
      <w:pPr>
        <w:numPr>
          <w:ilvl w:val="0"/>
          <w:numId w:val="17"/>
        </w:numPr>
        <w:tabs>
          <w:tab w:val="left" w:pos="426"/>
        </w:tabs>
        <w:spacing w:after="120" w:line="240" w:lineRule="auto"/>
        <w:ind w:left="414" w:hanging="357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Opis inwestycji:</w:t>
      </w:r>
    </w:p>
    <w:p w14:paraId="208919DF" w14:textId="77777777" w:rsidR="005667E5" w:rsidRPr="005667E5" w:rsidRDefault="005667E5" w:rsidP="002F0F3C">
      <w:pPr>
        <w:numPr>
          <w:ilvl w:val="0"/>
          <w:numId w:val="7"/>
        </w:numPr>
        <w:tabs>
          <w:tab w:val="left" w:pos="567"/>
        </w:tabs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rodzaj: budynek inwentarski (obora);</w:t>
      </w:r>
    </w:p>
    <w:p w14:paraId="46B23CA1" w14:textId="77777777" w:rsidR="005667E5" w:rsidRPr="005667E5" w:rsidRDefault="005667E5" w:rsidP="002F0F3C">
      <w:pPr>
        <w:numPr>
          <w:ilvl w:val="0"/>
          <w:numId w:val="7"/>
        </w:numPr>
        <w:tabs>
          <w:tab w:val="left" w:pos="567"/>
        </w:tabs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 xml:space="preserve">lokalizacja: działka o nr ewid. </w:t>
      </w:r>
      <w:r w:rsidRPr="005667E5">
        <w:rPr>
          <w:rFonts w:cstheme="minorHAnsi"/>
          <w:sz w:val="28"/>
        </w:rPr>
        <w:t>371, obręb Wyrzeka</w:t>
      </w:r>
      <w:r w:rsidRPr="005667E5">
        <w:rPr>
          <w:rFonts w:cstheme="minorHAnsi"/>
          <w:sz w:val="28"/>
          <w:szCs w:val="28"/>
        </w:rPr>
        <w:t>, zgodnie z liniami rozgraniczającymi teren inwestycji wyznaczonymi na mapie, stanowiącej załącznik nr 1 do decyzji;</w:t>
      </w:r>
    </w:p>
    <w:p w14:paraId="3ECCC44E" w14:textId="77777777" w:rsidR="005667E5" w:rsidRPr="005667E5" w:rsidRDefault="005667E5" w:rsidP="002F0F3C">
      <w:pPr>
        <w:numPr>
          <w:ilvl w:val="0"/>
          <w:numId w:val="7"/>
        </w:numPr>
        <w:tabs>
          <w:tab w:val="left" w:pos="567"/>
        </w:tabs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funkcja zabudowy i zagospodarowania terenu: rolnicza, w tym zabudowa zagrodowa.</w:t>
      </w:r>
    </w:p>
    <w:p w14:paraId="5093B9AE" w14:textId="77777777" w:rsidR="005667E5" w:rsidRPr="005667E5" w:rsidRDefault="005667E5" w:rsidP="002F0F3C">
      <w:pPr>
        <w:numPr>
          <w:ilvl w:val="0"/>
          <w:numId w:val="17"/>
        </w:numPr>
        <w:tabs>
          <w:tab w:val="left" w:pos="426"/>
        </w:tabs>
        <w:spacing w:after="120" w:line="240" w:lineRule="auto"/>
        <w:ind w:left="414" w:hanging="357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Warunki i szczegółowe zasady zagospodarowania terenu oraz jego zabudowy wynikające z przepisów odrębnych w zakresie:</w:t>
      </w:r>
    </w:p>
    <w:p w14:paraId="4E471DC7" w14:textId="77777777" w:rsidR="005667E5" w:rsidRPr="005667E5" w:rsidRDefault="005667E5" w:rsidP="002F0F3C">
      <w:pPr>
        <w:numPr>
          <w:ilvl w:val="0"/>
          <w:numId w:val="8"/>
        </w:numPr>
        <w:tabs>
          <w:tab w:val="left" w:pos="567"/>
        </w:tabs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warunków i wymagań ochrony i kształtowania ładu przestrzennego:</w:t>
      </w:r>
    </w:p>
    <w:p w14:paraId="194E45C5" w14:textId="77777777" w:rsidR="005667E5" w:rsidRPr="005667E5" w:rsidRDefault="005667E5" w:rsidP="002F0F3C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 xml:space="preserve">linia zabudowy: wyznaczona jako nieprzekraczalna i oznaczająca linię wyznaczającą najmniejszą odległość, w której mogą być zlokalizowane zewnętrzne krawędzie ścian zewnętrznych budynku, wzdłuż istniejącego na działce budynku mieszkalnego jednorodzinnego </w:t>
      </w:r>
      <w:r w:rsidRPr="005667E5">
        <w:rPr>
          <w:rFonts w:cs="Times New Roman"/>
          <w:sz w:val="28"/>
          <w:szCs w:val="28"/>
        </w:rPr>
        <w:t>i budynku gospodarczego, od strony drogi wewnętrznej – ul. Ks. P. Wawrzyniaka (działki o nr ewid. 367, obręb Wyrzeka)</w:t>
      </w:r>
      <w:r w:rsidRPr="005667E5">
        <w:rPr>
          <w:rFonts w:cstheme="minorHAnsi"/>
          <w:sz w:val="28"/>
          <w:szCs w:val="28"/>
        </w:rPr>
        <w:t xml:space="preserve">, zgodnie z załącznikiem nr 1 do decyzji, </w:t>
      </w:r>
    </w:p>
    <w:p w14:paraId="6AD74E50" w14:textId="77777777" w:rsidR="005667E5" w:rsidRPr="005667E5" w:rsidRDefault="005667E5" w:rsidP="002F0F3C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lastRenderedPageBreak/>
        <w:t>maksymalna intensywność zabudowy: 0,15,</w:t>
      </w:r>
    </w:p>
    <w:p w14:paraId="60E4324B" w14:textId="77777777" w:rsidR="005667E5" w:rsidRPr="005667E5" w:rsidRDefault="005667E5" w:rsidP="002F0F3C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nadziemna intensywność zabudowy: od 0,10 do 0,15,</w:t>
      </w:r>
    </w:p>
    <w:p w14:paraId="2D6A625B" w14:textId="77777777" w:rsidR="005667E5" w:rsidRPr="005667E5" w:rsidRDefault="005667E5" w:rsidP="002F0F3C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udział powierzchni zabudowy: od 8,1% do 13,1%,</w:t>
      </w:r>
    </w:p>
    <w:p w14:paraId="654C013E" w14:textId="77777777" w:rsidR="005667E5" w:rsidRPr="005667E5" w:rsidRDefault="005667E5" w:rsidP="002F0F3C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szerokość elewacji frontowej</w:t>
      </w:r>
      <w:r w:rsidRPr="005667E5">
        <w:rPr>
          <w:rFonts w:cstheme="minorHAnsi"/>
          <w:sz w:val="28"/>
          <w:szCs w:val="28"/>
          <w:vertAlign w:val="superscript"/>
        </w:rPr>
        <w:footnoteReference w:id="2"/>
      </w:r>
      <w:r w:rsidRPr="005667E5">
        <w:rPr>
          <w:rFonts w:cstheme="minorHAnsi"/>
          <w:sz w:val="28"/>
          <w:szCs w:val="28"/>
        </w:rPr>
        <w:t>: od 30,0 m do 36,0 m,</w:t>
      </w:r>
    </w:p>
    <w:p w14:paraId="2FD88C9A" w14:textId="77777777" w:rsidR="005667E5" w:rsidRPr="005667E5" w:rsidRDefault="005667E5" w:rsidP="002F0F3C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wysokość zabudowy: od 6,0 m do 8,0 m,</w:t>
      </w:r>
    </w:p>
    <w:p w14:paraId="2196CB0F" w14:textId="77777777" w:rsidR="005667E5" w:rsidRPr="005667E5" w:rsidRDefault="005667E5" w:rsidP="002F0F3C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liczba kondygnacji nadziemnych: 1,</w:t>
      </w:r>
    </w:p>
    <w:p w14:paraId="30F8D37E" w14:textId="77777777" w:rsidR="005667E5" w:rsidRPr="005667E5" w:rsidRDefault="005667E5" w:rsidP="002F0F3C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geometria dachu:</w:t>
      </w:r>
    </w:p>
    <w:p w14:paraId="54D668D5" w14:textId="77777777" w:rsidR="005667E5" w:rsidRPr="005667E5" w:rsidRDefault="005667E5" w:rsidP="002F0F3C">
      <w:pPr>
        <w:numPr>
          <w:ilvl w:val="0"/>
          <w:numId w:val="10"/>
        </w:numPr>
        <w:spacing w:after="120" w:line="240" w:lineRule="auto"/>
        <w:ind w:left="924" w:hanging="357"/>
        <w:contextualSpacing/>
        <w:rPr>
          <w:rFonts w:cstheme="minorHAnsi"/>
          <w:sz w:val="28"/>
          <w:szCs w:val="28"/>
        </w:rPr>
      </w:pPr>
      <w:bookmarkStart w:id="1" w:name="_Hlk151465828"/>
      <w:r w:rsidRPr="005667E5">
        <w:rPr>
          <w:rFonts w:cstheme="minorHAnsi"/>
          <w:sz w:val="28"/>
          <w:szCs w:val="28"/>
        </w:rPr>
        <w:t>kąt nachylenia: od 35° do 45°,</w:t>
      </w:r>
    </w:p>
    <w:p w14:paraId="408087F9" w14:textId="77777777" w:rsidR="005667E5" w:rsidRPr="005667E5" w:rsidRDefault="005667E5" w:rsidP="002F0F3C">
      <w:pPr>
        <w:numPr>
          <w:ilvl w:val="0"/>
          <w:numId w:val="10"/>
        </w:numPr>
        <w:spacing w:after="120" w:line="240" w:lineRule="auto"/>
        <w:ind w:left="924" w:hanging="357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rodzaj dachu: dwuspadowy</w:t>
      </w:r>
    </w:p>
    <w:p w14:paraId="1DED3812" w14:textId="77777777" w:rsidR="005667E5" w:rsidRPr="005667E5" w:rsidRDefault="005667E5" w:rsidP="002F0F3C">
      <w:pPr>
        <w:numPr>
          <w:ilvl w:val="0"/>
          <w:numId w:val="10"/>
        </w:numPr>
        <w:spacing w:after="120" w:line="240" w:lineRule="auto"/>
        <w:ind w:left="924" w:hanging="357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 xml:space="preserve">układ połaci dachowych: </w:t>
      </w:r>
      <w:bookmarkEnd w:id="1"/>
      <w:r w:rsidRPr="005667E5">
        <w:rPr>
          <w:rFonts w:cstheme="minorHAnsi"/>
          <w:sz w:val="28"/>
          <w:szCs w:val="28"/>
        </w:rPr>
        <w:t>symetryczny,</w:t>
      </w:r>
    </w:p>
    <w:p w14:paraId="308CD17F" w14:textId="77777777" w:rsidR="005667E5" w:rsidRPr="005667E5" w:rsidRDefault="005667E5" w:rsidP="002F0F3C">
      <w:pPr>
        <w:numPr>
          <w:ilvl w:val="0"/>
          <w:numId w:val="10"/>
        </w:numPr>
        <w:spacing w:after="120" w:line="240" w:lineRule="auto"/>
        <w:ind w:left="924" w:hanging="357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kierunek głównej kalenicy w stosunku do frontu terenu: kalenicowy,</w:t>
      </w:r>
    </w:p>
    <w:p w14:paraId="254DCF81" w14:textId="77777777" w:rsidR="005667E5" w:rsidRPr="005667E5" w:rsidRDefault="005667E5" w:rsidP="002F0F3C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minimalny udział powierzchni biologicznie czynnej: 79,0%;</w:t>
      </w:r>
    </w:p>
    <w:p w14:paraId="351E3D96" w14:textId="77777777" w:rsidR="005667E5" w:rsidRPr="005667E5" w:rsidRDefault="005667E5" w:rsidP="002F0F3C">
      <w:pPr>
        <w:numPr>
          <w:ilvl w:val="0"/>
          <w:numId w:val="8"/>
        </w:numPr>
        <w:spacing w:after="0" w:line="240" w:lineRule="auto"/>
        <w:ind w:left="567"/>
        <w:contextualSpacing/>
        <w:rPr>
          <w:rFonts w:cs="Times New Roman"/>
          <w:sz w:val="28"/>
          <w:szCs w:val="28"/>
        </w:rPr>
      </w:pPr>
      <w:r w:rsidRPr="005667E5">
        <w:rPr>
          <w:rFonts w:cs="Times New Roman"/>
          <w:sz w:val="28"/>
          <w:szCs w:val="28"/>
        </w:rPr>
        <w:t xml:space="preserve">ochrony środowiska i zdrowia ludzi oraz dziedzictwa kulturowego i zabytków oraz dóbr kultury współczesnej: </w:t>
      </w:r>
    </w:p>
    <w:p w14:paraId="642D8665" w14:textId="77777777" w:rsidR="005667E5" w:rsidRPr="005667E5" w:rsidRDefault="005667E5" w:rsidP="002F0F3C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cs="Times New Roman"/>
          <w:sz w:val="28"/>
          <w:szCs w:val="28"/>
        </w:rPr>
      </w:pPr>
      <w:r w:rsidRPr="005667E5">
        <w:rPr>
          <w:rFonts w:cs="Times New Roman"/>
          <w:sz w:val="28"/>
          <w:szCs w:val="28"/>
        </w:rPr>
        <w:t>konieczność ochrony wód, gleby i ziemi przed zanieczyszczeniem w związku z prowadzeniem gospodarki rolnej: zgodnie z ustaleniami decyzji, o której mowa w lit. b,</w:t>
      </w:r>
    </w:p>
    <w:p w14:paraId="4189C7E7" w14:textId="77777777" w:rsidR="005667E5" w:rsidRPr="005667E5" w:rsidRDefault="005667E5" w:rsidP="002F0F3C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cs="Times New Roman"/>
          <w:sz w:val="28"/>
          <w:szCs w:val="28"/>
        </w:rPr>
      </w:pPr>
      <w:r w:rsidRPr="005667E5">
        <w:rPr>
          <w:rFonts w:cs="Times New Roman"/>
          <w:sz w:val="28"/>
          <w:szCs w:val="28"/>
        </w:rPr>
        <w:t xml:space="preserve">uwzględnienie warunków korzystania ze środowiska w fazie realizacji i eksploatacji lub użytkowania przedsięwzięcia ustalonych w ostatecznej decyzji Burmistrza Śremu znak PPSOŚ.6220.11.2024.BM z 09.10.2024 r. o środowiskowych uwarunkowaniach dla przedsięwzięcia polegającego na rozbudowie gospodarstwa rolnego na terenie działki o nr ewid. 371, obręb Wyrzeka, </w:t>
      </w:r>
    </w:p>
    <w:p w14:paraId="5DC6C261" w14:textId="77777777" w:rsidR="005667E5" w:rsidRPr="005667E5" w:rsidRDefault="005667E5" w:rsidP="002F0F3C">
      <w:pPr>
        <w:numPr>
          <w:ilvl w:val="0"/>
          <w:numId w:val="23"/>
        </w:numPr>
        <w:spacing w:after="0" w:line="240" w:lineRule="auto"/>
        <w:ind w:left="714" w:hanging="357"/>
        <w:contextualSpacing/>
        <w:rPr>
          <w:rFonts w:cs="Times New Roman"/>
          <w:sz w:val="28"/>
          <w:szCs w:val="28"/>
        </w:rPr>
      </w:pPr>
      <w:r w:rsidRPr="005667E5">
        <w:rPr>
          <w:rFonts w:cs="Times New Roman"/>
          <w:sz w:val="28"/>
          <w:szCs w:val="28"/>
        </w:rPr>
        <w:t xml:space="preserve">liczba DJP dla gospodarstwa rolnego po rozbudowie: nie większa niż 109,75; </w:t>
      </w:r>
    </w:p>
    <w:p w14:paraId="2D1BFECC" w14:textId="77777777" w:rsidR="005667E5" w:rsidRPr="005667E5" w:rsidRDefault="005667E5" w:rsidP="002F0F3C">
      <w:pPr>
        <w:numPr>
          <w:ilvl w:val="0"/>
          <w:numId w:val="8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obsługi w zakresie infrastruktury technicznej i komunikacji:</w:t>
      </w:r>
    </w:p>
    <w:p w14:paraId="260A9FBE" w14:textId="77777777" w:rsidR="005667E5" w:rsidRPr="005667E5" w:rsidRDefault="005667E5" w:rsidP="002F0F3C">
      <w:pPr>
        <w:numPr>
          <w:ilvl w:val="0"/>
          <w:numId w:val="21"/>
        </w:numPr>
        <w:tabs>
          <w:tab w:val="left" w:pos="709"/>
        </w:tabs>
        <w:spacing w:after="120" w:line="240" w:lineRule="auto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sposób zaopatrzenia w energię elektryczną: sieć elektroenergetyczna,</w:t>
      </w:r>
    </w:p>
    <w:p w14:paraId="009F0861" w14:textId="77777777" w:rsidR="005667E5" w:rsidRPr="005667E5" w:rsidRDefault="005667E5" w:rsidP="002F0F3C">
      <w:pPr>
        <w:numPr>
          <w:ilvl w:val="0"/>
          <w:numId w:val="21"/>
        </w:numPr>
        <w:tabs>
          <w:tab w:val="left" w:pos="709"/>
        </w:tabs>
        <w:spacing w:after="120" w:line="240" w:lineRule="auto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5D416C13" w14:textId="19BAEF04" w:rsidR="005667E5" w:rsidRPr="00675339" w:rsidRDefault="005667E5" w:rsidP="00675339">
      <w:pPr>
        <w:numPr>
          <w:ilvl w:val="0"/>
          <w:numId w:val="21"/>
        </w:numPr>
        <w:tabs>
          <w:tab w:val="left" w:pos="709"/>
        </w:tabs>
        <w:spacing w:after="120" w:line="240" w:lineRule="auto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gospodarowanie odpadami: zgodnie z przepisami odrębnymi,</w:t>
      </w:r>
    </w:p>
    <w:p w14:paraId="31DBF809" w14:textId="77777777" w:rsidR="005667E5" w:rsidRPr="005667E5" w:rsidRDefault="005667E5" w:rsidP="005667E5">
      <w:pPr>
        <w:numPr>
          <w:ilvl w:val="0"/>
          <w:numId w:val="21"/>
        </w:numPr>
        <w:tabs>
          <w:tab w:val="left" w:pos="709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lastRenderedPageBreak/>
        <w:t>dostęp do drogi publicznej: pośredni do drogi wojewódzkiej – ul. Śremskiej (działki o nr ewid. 344, obręb Wyrzeka) lub do drogi powiatowej – ul. Szkolnej (działki o nr ewid. 432/2, obręb Wyrzeka), poprzez drogę wewnętrzną – ul. Ks. P. Wawrzyniaka (działkę o nr ewid. 367, obręb Wyrzeka), poprzez istniejący zjazd</w:t>
      </w:r>
      <w:r w:rsidRPr="005667E5">
        <w:rPr>
          <w:rFonts w:cstheme="minorHAnsi"/>
          <w:sz w:val="28"/>
        </w:rPr>
        <w:t>;</w:t>
      </w:r>
    </w:p>
    <w:p w14:paraId="5EC730A8" w14:textId="77777777" w:rsidR="005667E5" w:rsidRPr="005667E5" w:rsidRDefault="005667E5" w:rsidP="005667E5">
      <w:pPr>
        <w:numPr>
          <w:ilvl w:val="0"/>
          <w:numId w:val="8"/>
        </w:numPr>
        <w:spacing w:after="120" w:line="240" w:lineRule="auto"/>
        <w:ind w:left="635" w:hanging="425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wymagań dotyczących ochrony interesów osób trzecich:</w:t>
      </w:r>
    </w:p>
    <w:p w14:paraId="1AA29080" w14:textId="77777777" w:rsidR="005667E5" w:rsidRPr="005667E5" w:rsidRDefault="005667E5" w:rsidP="005667E5">
      <w:pPr>
        <w:numPr>
          <w:ilvl w:val="0"/>
          <w:numId w:val="11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 xml:space="preserve">warunki ochrony przed pozbawieniem: </w:t>
      </w:r>
    </w:p>
    <w:p w14:paraId="698E2E74" w14:textId="77777777" w:rsidR="005667E5" w:rsidRPr="005667E5" w:rsidRDefault="005667E5" w:rsidP="005667E5">
      <w:pPr>
        <w:numPr>
          <w:ilvl w:val="0"/>
          <w:numId w:val="12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0E98FB93" w14:textId="77777777" w:rsidR="005667E5" w:rsidRPr="005667E5" w:rsidRDefault="005667E5" w:rsidP="005667E5">
      <w:pPr>
        <w:numPr>
          <w:ilvl w:val="0"/>
          <w:numId w:val="12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1DF7EB4E" w14:textId="77777777" w:rsidR="005667E5" w:rsidRPr="005667E5" w:rsidRDefault="005667E5" w:rsidP="005667E5">
      <w:pPr>
        <w:numPr>
          <w:ilvl w:val="0"/>
          <w:numId w:val="11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4B0ACBF4" w14:textId="77777777" w:rsidR="005667E5" w:rsidRPr="005667E5" w:rsidRDefault="005667E5" w:rsidP="005667E5">
      <w:pPr>
        <w:numPr>
          <w:ilvl w:val="0"/>
          <w:numId w:val="17"/>
        </w:numPr>
        <w:tabs>
          <w:tab w:val="left" w:pos="426"/>
        </w:tabs>
        <w:spacing w:after="120" w:line="240" w:lineRule="auto"/>
        <w:ind w:left="414" w:hanging="357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Linie rozgraniczające teren inwestycji wyznaczone na mapie zasadniczej w skali 1:1000.</w:t>
      </w:r>
    </w:p>
    <w:p w14:paraId="783F2774" w14:textId="77777777" w:rsidR="005667E5" w:rsidRPr="005667E5" w:rsidRDefault="005667E5" w:rsidP="005667E5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Uzasadnienie</w:t>
      </w:r>
    </w:p>
    <w:p w14:paraId="29D988D9" w14:textId="77777777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 xml:space="preserve">Wniosek o ustalenie warunków zabudowy został złożony 29.11.2024 r., a więc po dniu wejścia w życie ustawy z dnia 7 lipca 2023 r. o zmianie ustawy o planowaniu i zagospodarowaniu przestrzennym oraz niektórych innych ustaw (Dz. U. poz. 1688 i z 2024 r. poz. 1824) oraz po dniu wejścia w życie rozporządzenia Ministra Rozwoju i Technologii z dnia 15 lipca 2024 r. w sprawie sposobu ustalania wymagań dotyczących nowej zabudowy i zagospodarowania terenu w przypadku braku miejscowego planu zagospodarowania przestrzennego (Dz. U. poz. 1116). </w:t>
      </w:r>
    </w:p>
    <w:p w14:paraId="55AFEA1B" w14:textId="77777777" w:rsidR="00675339" w:rsidRDefault="00675339" w:rsidP="005667E5">
      <w:pPr>
        <w:spacing w:after="120" w:line="240" w:lineRule="auto"/>
        <w:ind w:firstLine="567"/>
        <w:contextualSpacing/>
        <w:rPr>
          <w:rFonts w:ascii="Calibri" w:hAnsi="Calibri" w:cs="Times New Roman"/>
          <w:sz w:val="28"/>
          <w:szCs w:val="28"/>
        </w:rPr>
      </w:pPr>
    </w:p>
    <w:p w14:paraId="314124CB" w14:textId="77777777" w:rsidR="00675339" w:rsidRDefault="00675339" w:rsidP="005667E5">
      <w:pPr>
        <w:spacing w:after="120" w:line="240" w:lineRule="auto"/>
        <w:ind w:firstLine="567"/>
        <w:contextualSpacing/>
        <w:rPr>
          <w:rFonts w:ascii="Calibri" w:hAnsi="Calibri" w:cs="Times New Roman"/>
          <w:sz w:val="28"/>
          <w:szCs w:val="28"/>
        </w:rPr>
      </w:pPr>
    </w:p>
    <w:p w14:paraId="054007C3" w14:textId="77777777" w:rsidR="00675339" w:rsidRDefault="00675339" w:rsidP="005667E5">
      <w:pPr>
        <w:spacing w:after="120" w:line="240" w:lineRule="auto"/>
        <w:ind w:firstLine="567"/>
        <w:contextualSpacing/>
        <w:rPr>
          <w:rFonts w:ascii="Calibri" w:hAnsi="Calibri" w:cs="Times New Roman"/>
          <w:sz w:val="28"/>
          <w:szCs w:val="28"/>
        </w:rPr>
      </w:pPr>
    </w:p>
    <w:p w14:paraId="6F747FE8" w14:textId="0476893A" w:rsidR="00675339" w:rsidRPr="005667E5" w:rsidRDefault="005667E5" w:rsidP="00675339">
      <w:pPr>
        <w:spacing w:after="120" w:line="240" w:lineRule="auto"/>
        <w:ind w:firstLine="567"/>
        <w:contextualSpacing/>
        <w:rPr>
          <w:rFonts w:ascii="Calibri" w:hAnsi="Calibri" w:cs="Times New Roman"/>
          <w:sz w:val="28"/>
          <w:szCs w:val="28"/>
        </w:rPr>
      </w:pPr>
      <w:r w:rsidRPr="005667E5">
        <w:rPr>
          <w:rFonts w:ascii="Calibri" w:hAnsi="Calibri" w:cs="Times New Roman"/>
          <w:sz w:val="28"/>
          <w:szCs w:val="28"/>
        </w:rPr>
        <w:lastRenderedPageBreak/>
        <w:t>Okoliczność ta miała doniosłe znaczenie prawne, bowiem w analizowanej sprawie zastosowanie znalazły następujące przepisy:</w:t>
      </w:r>
    </w:p>
    <w:p w14:paraId="23288D67" w14:textId="77777777" w:rsidR="005667E5" w:rsidRPr="005667E5" w:rsidRDefault="005667E5" w:rsidP="005667E5">
      <w:pPr>
        <w:numPr>
          <w:ilvl w:val="1"/>
          <w:numId w:val="24"/>
        </w:numPr>
        <w:tabs>
          <w:tab w:val="left" w:pos="567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Calibri" w:hAnsi="Calibri" w:cs="Times New Roman"/>
          <w:b/>
          <w:bCs/>
          <w:sz w:val="28"/>
          <w:szCs w:val="28"/>
        </w:rPr>
      </w:pPr>
      <w:r w:rsidRPr="005667E5">
        <w:rPr>
          <w:rFonts w:ascii="Calibri" w:hAnsi="Calibri" w:cs="Times New Roman"/>
          <w:sz w:val="28"/>
          <w:szCs w:val="28"/>
        </w:rPr>
        <w:t xml:space="preserve">art. 59 ust. 2 ustawy z dnia 7 lipca 2023 r. o zmianie ustawy o planowaniu i zagospodarowaniu przestrzennym oraz niektórych innych ustaw: </w:t>
      </w:r>
      <w:r w:rsidRPr="005667E5">
        <w:rPr>
          <w:rFonts w:ascii="Calibri" w:hAnsi="Calibri" w:cs="Times New Roman"/>
          <w:b/>
          <w:bCs/>
          <w:sz w:val="28"/>
          <w:szCs w:val="28"/>
        </w:rPr>
        <w:t>do spraw dotyczących (…) wydania decyzji o warunkach zabudowy, wszczętych od dnia wejścia w życie niniejszej ustawy i przed dniem utraty mocy studium uwarunkowań i kierunków zagospodarowania przestrzennego gminy w danej gminie:</w:t>
      </w:r>
    </w:p>
    <w:p w14:paraId="65C55C0B" w14:textId="77777777" w:rsidR="005667E5" w:rsidRPr="005667E5" w:rsidRDefault="005667E5" w:rsidP="005667E5">
      <w:pPr>
        <w:numPr>
          <w:ilvl w:val="0"/>
          <w:numId w:val="26"/>
        </w:numPr>
        <w:tabs>
          <w:tab w:val="left" w:pos="993"/>
        </w:tabs>
        <w:spacing w:after="0" w:line="240" w:lineRule="auto"/>
        <w:contextualSpacing/>
        <w:jc w:val="both"/>
        <w:rPr>
          <w:rFonts w:ascii="Calibri" w:hAnsi="Calibri" w:cs="Times New Roman"/>
          <w:sz w:val="28"/>
          <w:szCs w:val="28"/>
        </w:rPr>
      </w:pPr>
      <w:r w:rsidRPr="005667E5">
        <w:rPr>
          <w:rFonts w:ascii="Calibri" w:hAnsi="Calibri" w:cs="Times New Roman"/>
          <w:sz w:val="28"/>
          <w:szCs w:val="28"/>
        </w:rPr>
        <w:t>stosuje się przepisy art. 54 oraz art. 61 ust. 1 pkt 1, ust. 2, 3 i 5a ustawy zmienianej w art. 1 w brzmieniu dotychczasowym;</w:t>
      </w:r>
    </w:p>
    <w:p w14:paraId="5F68F19A" w14:textId="77777777" w:rsidR="005667E5" w:rsidRPr="005667E5" w:rsidRDefault="005667E5" w:rsidP="005667E5">
      <w:pPr>
        <w:numPr>
          <w:ilvl w:val="0"/>
          <w:numId w:val="26"/>
        </w:numPr>
        <w:tabs>
          <w:tab w:val="left" w:pos="993"/>
        </w:tabs>
        <w:spacing w:after="0" w:line="240" w:lineRule="auto"/>
        <w:contextualSpacing/>
        <w:jc w:val="both"/>
        <w:rPr>
          <w:rFonts w:ascii="Calibri" w:hAnsi="Calibri" w:cs="Times New Roman"/>
          <w:sz w:val="28"/>
          <w:szCs w:val="28"/>
        </w:rPr>
      </w:pPr>
      <w:r w:rsidRPr="005667E5">
        <w:rPr>
          <w:rFonts w:ascii="Calibri" w:hAnsi="Calibri" w:cs="Times New Roman"/>
          <w:sz w:val="28"/>
          <w:szCs w:val="28"/>
        </w:rPr>
        <w:t>nie stosuje się przepisów art. 61 ust. 1 pkt 1, ust. 2, 3 i 5a ustawy zmienianej w art.1;</w:t>
      </w:r>
    </w:p>
    <w:p w14:paraId="58099874" w14:textId="77777777" w:rsidR="005667E5" w:rsidRPr="005667E5" w:rsidRDefault="005667E5" w:rsidP="005667E5">
      <w:pPr>
        <w:numPr>
          <w:ilvl w:val="0"/>
          <w:numId w:val="25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rozporządzenia Ministra Rozwoju i Technologii z dnia 15 lipca 2024 r. w sprawie sposobu ustalania wymagań dotyczących nowej zabudowy i zagospodarowania terenu w przypadku braku miejscowego planu zagospodarowania przestrzennego.</w:t>
      </w:r>
    </w:p>
    <w:p w14:paraId="032A8F7B" w14:textId="77777777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Stosownie do art. 4 ust. 2 pkt 2 u.p.z.p. w przypadku braku miejscowego planu zagospodarowania przestrzennego określenie sposobów zagospodarowania i warunków zabudowy terenu dla lokalizacji inwestycji innych niż celu publicznego następuje w drodze decyzji o warunkach zabudowy.</w:t>
      </w:r>
    </w:p>
    <w:p w14:paraId="12CF2665" w14:textId="77777777" w:rsidR="005667E5" w:rsidRPr="005667E5" w:rsidRDefault="005667E5" w:rsidP="005667E5">
      <w:pPr>
        <w:spacing w:after="120" w:line="240" w:lineRule="auto"/>
        <w:ind w:firstLine="567"/>
        <w:rPr>
          <w:sz w:val="28"/>
          <w:szCs w:val="28"/>
        </w:rPr>
      </w:pPr>
      <w:r w:rsidRPr="005667E5">
        <w:rPr>
          <w:sz w:val="28"/>
          <w:szCs w:val="28"/>
        </w:rPr>
        <w:t>W myśl art. 59 ust. 1 u.p.z.p. zmiana zagospodarowania terenu w przypadku braku planu miejscowego, a także zmiana sposobu użytkowania obiektu budowlanego lub jego części, z uwzględnieniem art. 50 ust. 1 i art. 86, wymaga ustalenia, w drodze decyzji, warunków zabudowy. Przepis art. 50 ust. 2 pkt 1 stosuje się odpowiednio.</w:t>
      </w:r>
    </w:p>
    <w:p w14:paraId="3000B9D3" w14:textId="77777777" w:rsidR="005667E5" w:rsidRPr="005667E5" w:rsidRDefault="005667E5" w:rsidP="005667E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sz w:val="28"/>
          <w:szCs w:val="28"/>
        </w:rPr>
      </w:pPr>
      <w:r w:rsidRPr="005667E5">
        <w:rPr>
          <w:sz w:val="28"/>
          <w:szCs w:val="28"/>
        </w:rPr>
        <w:t xml:space="preserve">Zgodnie z art. 60 ust. 1 u.p.z.p. decyzję o warunkach zabudowy wydaje (…) wójt, burmistrz albo prezydent miasta po uzgodnieniu z organami, o których mowa w art. 53 ust. 4, i uzyskaniu uzgodnień lub decyzji wymaganych przepisami odrębnymi. </w:t>
      </w:r>
    </w:p>
    <w:p w14:paraId="26E5A8EC" w14:textId="77777777" w:rsidR="005667E5" w:rsidRPr="005667E5" w:rsidRDefault="005667E5" w:rsidP="005667E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sz w:val="28"/>
          <w:szCs w:val="28"/>
        </w:rPr>
      </w:pPr>
      <w:r w:rsidRPr="005667E5">
        <w:rPr>
          <w:sz w:val="28"/>
          <w:szCs w:val="28"/>
        </w:rPr>
        <w:t>Stosownie do art. 104 § 1 i § 2 k.p.a. organ administracji publicznej załatwia sprawę przez wydanie decyzji, chyba że przepisy kodeksu stanowią inaczej. Decyzje rozstrzygają sprawę co do jej istoty w całości lub w części albo w inny sposób kończą sprawę w danej instancji.</w:t>
      </w:r>
    </w:p>
    <w:p w14:paraId="538E3455" w14:textId="77777777" w:rsidR="005667E5" w:rsidRPr="005667E5" w:rsidRDefault="005667E5" w:rsidP="005667E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sz w:val="28"/>
          <w:szCs w:val="28"/>
        </w:rPr>
      </w:pPr>
    </w:p>
    <w:p w14:paraId="117A8F7A" w14:textId="77777777" w:rsidR="005667E5" w:rsidRPr="005667E5" w:rsidRDefault="005667E5" w:rsidP="005667E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sz w:val="28"/>
          <w:szCs w:val="28"/>
        </w:rPr>
      </w:pPr>
    </w:p>
    <w:p w14:paraId="7511530E" w14:textId="77777777" w:rsidR="005667E5" w:rsidRPr="005667E5" w:rsidRDefault="005667E5" w:rsidP="00675339">
      <w:pPr>
        <w:widowControl w:val="0"/>
        <w:autoSpaceDE w:val="0"/>
        <w:autoSpaceDN w:val="0"/>
        <w:adjustRightInd w:val="0"/>
        <w:spacing w:after="120" w:line="240" w:lineRule="auto"/>
        <w:ind w:right="-1"/>
        <w:rPr>
          <w:sz w:val="28"/>
          <w:szCs w:val="28"/>
        </w:rPr>
      </w:pPr>
    </w:p>
    <w:p w14:paraId="34AC295C" w14:textId="77777777" w:rsidR="005667E5" w:rsidRPr="005667E5" w:rsidRDefault="005667E5" w:rsidP="005667E5">
      <w:pPr>
        <w:tabs>
          <w:tab w:val="left" w:pos="993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lastRenderedPageBreak/>
        <w:t xml:space="preserve">Do wniosku o ustalenie warunków zabudowy Wnioskodawczyni załączyła charakterystykę zabudowy i zagospodarowania terenu, w tym przeznaczenia i gabarytów projektowanego obiektu budowlanego oraz powierzchni terenu podlegającej przekształceniu, przedstawioną w formie opisowej i graficznej, która znajduje się w aktach sprawy oraz kopię decyzji PPSOŚ.6220.11.2024.BM z 09.10.2024 r. o środowiskowych uwarunkowaniach. Treść wniosku oraz załącznik graficzny do wniosku są ze sobą spójne. W części graficznej Wnioskodawczyni wskazała również </w:t>
      </w:r>
      <w:r w:rsidRPr="005667E5">
        <w:rPr>
          <w:rFonts w:cstheme="minorHAnsi"/>
          <w:sz w:val="28"/>
        </w:rPr>
        <w:t>obszar, na który planowana inwestycja będzie oddziaływać</w:t>
      </w:r>
      <w:r w:rsidRPr="005667E5">
        <w:rPr>
          <w:rFonts w:cstheme="minorHAnsi"/>
          <w:sz w:val="28"/>
          <w:szCs w:val="28"/>
        </w:rPr>
        <w:t xml:space="preserve">. Wniosek zatem był kompletny. </w:t>
      </w:r>
    </w:p>
    <w:p w14:paraId="4BBB9034" w14:textId="77777777" w:rsidR="005667E5" w:rsidRPr="005667E5" w:rsidRDefault="005667E5" w:rsidP="005667E5">
      <w:pPr>
        <w:tabs>
          <w:tab w:val="left" w:pos="993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 xml:space="preserve">Planowana inwestycja polega na rozbudowie istniejącego budynku inwentarskiego. Planowana rozbudowa budynku będzie stanowić jedną bryłę z istniejącym budynkiem inwentarskim. </w:t>
      </w:r>
    </w:p>
    <w:p w14:paraId="7597F64D" w14:textId="77777777" w:rsidR="005667E5" w:rsidRPr="005667E5" w:rsidRDefault="005667E5" w:rsidP="005667E5">
      <w:pPr>
        <w:tabs>
          <w:tab w:val="left" w:pos="993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Przedmiotowy teren o powierzchni 12968 m</w:t>
      </w:r>
      <w:r w:rsidRPr="005667E5">
        <w:rPr>
          <w:rFonts w:cstheme="minorHAnsi"/>
          <w:sz w:val="28"/>
          <w:szCs w:val="28"/>
          <w:vertAlign w:val="superscript"/>
        </w:rPr>
        <w:t>2</w:t>
      </w:r>
      <w:r w:rsidRPr="005667E5">
        <w:rPr>
          <w:rFonts w:cstheme="minorHAnsi"/>
          <w:sz w:val="28"/>
          <w:szCs w:val="28"/>
        </w:rPr>
        <w:t xml:space="preserve">, zgodnie z prowadzoną przez Starostę Śremskiego ewidencją gruntów i budynków, stanowi </w:t>
      </w:r>
      <w:r w:rsidRPr="005667E5">
        <w:rPr>
          <w:rFonts w:eastAsia="Times New Roman" w:cstheme="minorHAnsi"/>
          <w:sz w:val="28"/>
          <w:lang w:eastAsia="pl-PL"/>
        </w:rPr>
        <w:t>w części grunty rolne zabudowane Br-RIIIa, grunty orne RIIIa, sady S-RIIIa i łąki trwałe ŁIV</w:t>
      </w:r>
      <w:r w:rsidRPr="005667E5">
        <w:rPr>
          <w:rFonts w:cstheme="minorHAnsi"/>
          <w:sz w:val="28"/>
          <w:szCs w:val="28"/>
        </w:rPr>
        <w:t xml:space="preserve">. Front terenu o szerokości ca 36,4 m to część przylegająca do drogi wewnętrznej – ul. Ks. P. Wawrzyniaka (działki o nr ewid. 367, obręb Wyrzeka). Teren objęty wnioskiem </w:t>
      </w:r>
      <w:r w:rsidRPr="005667E5">
        <w:rPr>
          <w:sz w:val="28"/>
        </w:rPr>
        <w:t>od strony zachodniej graniczy z drogą wewnętrzną, od strony północnej graniczy z zabudową zagrodową i zabudową mieszkaniową, od strony południowej w części z zabudową mieszkaniową, od pozostałych stron graniczy z gruntami ornymi</w:t>
      </w:r>
      <w:r w:rsidRPr="005667E5">
        <w:rPr>
          <w:rFonts w:cstheme="minorHAnsi"/>
          <w:sz w:val="28"/>
        </w:rPr>
        <w:t>.</w:t>
      </w:r>
    </w:p>
    <w:p w14:paraId="61D0D8E3" w14:textId="77777777" w:rsidR="005667E5" w:rsidRPr="005667E5" w:rsidRDefault="005667E5" w:rsidP="005667E5">
      <w:pPr>
        <w:tabs>
          <w:tab w:val="left" w:pos="993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Dla terenu projektowanej inwestycji nie został uchwalony miejscowy plan zagospodarowania przestrzennego oraz plan ogólny gminy ani nie została podjęta uchwała w sprawie przystąpienia do sporządzenia miejscowego planu zagospodarowania przestrzennego.</w:t>
      </w:r>
    </w:p>
    <w:p w14:paraId="241D727B" w14:textId="77777777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Stosownie do art. 53 ust. 3 w związku z art. 64 ust. 1 u.p.z.p. przeprowadzone zostały analizy: warunków i zasad zagospodarowania terenu oraz jego zabudowy, wynikających z przepisów odrębnych, oraz stanu faktycznego i prawnego terenu, na którym przewiduje się realizację inwestycji. Analizy znajdują się w aktach sprawy.</w:t>
      </w:r>
    </w:p>
    <w:p w14:paraId="18BD8F62" w14:textId="77777777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 xml:space="preserve">Zgodnie z art. 60 ust. 4 u.p.z.p. sporządzenie projektu decyzji o warunków zabudowy powierzono osobie spełniającej warunki określone w art. 5 pkt 4. Projekt decyzji znajduje się w aktach sprawy. </w:t>
      </w:r>
      <w:bookmarkStart w:id="2" w:name="_Hlk151540389"/>
    </w:p>
    <w:p w14:paraId="3B326D02" w14:textId="77777777" w:rsidR="005667E5" w:rsidRPr="005667E5" w:rsidRDefault="005667E5" w:rsidP="005667E5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188CA75E" w14:textId="77777777" w:rsidR="005667E5" w:rsidRPr="005667E5" w:rsidRDefault="005667E5" w:rsidP="005667E5">
      <w:pPr>
        <w:numPr>
          <w:ilvl w:val="0"/>
          <w:numId w:val="13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lastRenderedPageBreak/>
        <w:t>występowaniem złóż kopalin oraz obecnych i przyszłych potrzeb eksploatacji tych złóż;</w:t>
      </w:r>
    </w:p>
    <w:p w14:paraId="66FD791E" w14:textId="77777777" w:rsidR="005667E5" w:rsidRPr="005667E5" w:rsidRDefault="005667E5" w:rsidP="005667E5">
      <w:pPr>
        <w:numPr>
          <w:ilvl w:val="0"/>
          <w:numId w:val="13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potrzebami w zakresie zapobiegania ruchom masowym ziemi i ich skutkom;</w:t>
      </w:r>
    </w:p>
    <w:p w14:paraId="251C680A" w14:textId="77777777" w:rsidR="005667E5" w:rsidRPr="005667E5" w:rsidRDefault="005667E5" w:rsidP="005667E5">
      <w:pPr>
        <w:numPr>
          <w:ilvl w:val="0"/>
          <w:numId w:val="13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4DD00FF0" w14:textId="77777777" w:rsidR="005667E5" w:rsidRPr="005667E5" w:rsidRDefault="005667E5" w:rsidP="005667E5">
      <w:pPr>
        <w:numPr>
          <w:ilvl w:val="0"/>
          <w:numId w:val="13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ograniczeniami wynikającymi z ustanowienia w trybie ustawy z dnia 16 kwietnia 2004 r. o ochronie przyrody (Dz. U. z 2024 r. poz. 1478 i 1940) form ochrony przyrody oraz ustaleń obowiązujących planów ochrony;</w:t>
      </w:r>
    </w:p>
    <w:p w14:paraId="42004EE4" w14:textId="77777777" w:rsidR="005667E5" w:rsidRPr="005667E5" w:rsidRDefault="005667E5" w:rsidP="005667E5">
      <w:pPr>
        <w:numPr>
          <w:ilvl w:val="0"/>
          <w:numId w:val="13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ograniczeniami wynikającymi z ustalenia w trybie przepisów ustawy z dnia 20 lipca 2017 r. – Prawo wodne (Dz. U. z 2024 r. poz. 1087, 1089, 1473 i z 2023 r. poz. 877 i z 2025 r. poz. 216) warunków korzystania z wód regionu wodnego i zlewni oraz ustanowienia stref ochronnych ujęć wód, a także obszarów ochronnych zbiorników wód śródlądowych,</w:t>
      </w:r>
    </w:p>
    <w:p w14:paraId="20DF5F77" w14:textId="77777777" w:rsidR="005667E5" w:rsidRPr="005667E5" w:rsidRDefault="005667E5" w:rsidP="005667E5">
      <w:pPr>
        <w:numPr>
          <w:ilvl w:val="0"/>
          <w:numId w:val="13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ograniczeniami w zabudowie i zagospodarowaniu terenu wynikających z lokalizacji terenu w strefie ochrony konserwatorskiej lub wykonywaniem robót budowlanych w budynku wpisanym do rejestru lub gminnej ewidencji zabytków;</w:t>
      </w:r>
    </w:p>
    <w:p w14:paraId="345E1B84" w14:textId="77777777" w:rsidR="005667E5" w:rsidRPr="005667E5" w:rsidRDefault="005667E5" w:rsidP="005667E5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oraz ochroną obiektów budowlanych na terenach górniczych, w zakresie granic i sposobów zagospodarowania terenów lub obiektów podlegających ochronie, ustalonych na podstawie odrębnych przepisów, w tym terenów górniczych, a także narażonych na niebezpieczeństwo powodzi oraz zagrożonych osuwaniem się mas ziemnych,</w:t>
      </w:r>
    </w:p>
    <w:p w14:paraId="19527524" w14:textId="77777777" w:rsidR="005667E5" w:rsidRPr="005667E5" w:rsidRDefault="005667E5" w:rsidP="005667E5">
      <w:pPr>
        <w:widowControl w:val="0"/>
        <w:tabs>
          <w:tab w:val="left" w:pos="993"/>
        </w:tabs>
        <w:autoSpaceDE w:val="0"/>
        <w:spacing w:after="120" w:line="240" w:lineRule="auto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0B64A5EC" w14:textId="77777777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Wydanie decyzji o warunkach zabudowy jest możliwe jedynie w przypadku łącznego spełnienia warunków, o których mowa w art. 61 ust. 1 u.p.z.p., a mianowicie:</w:t>
      </w:r>
    </w:p>
    <w:p w14:paraId="2F3DF8EC" w14:textId="77777777" w:rsidR="005667E5" w:rsidRPr="005667E5" w:rsidRDefault="005667E5" w:rsidP="005667E5">
      <w:pPr>
        <w:numPr>
          <w:ilvl w:val="0"/>
          <w:numId w:val="18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co najmniej jedna działka sąsiednia, dostępna z tej samej drogi publicznej, jest zabudowana w sposób pozwalający na określenie wymagań dotyczących nowej zabudowy w zakresie kontynuacji funkcji, parametrów, cech i wskaźników kształtowania zabudowy oraz zagospodarowania terenu, w tym gabarytów i formy architektonicznej obiektów budowlanych, linii zabudowy oraz intensywności wykorzystania terenu;</w:t>
      </w:r>
    </w:p>
    <w:p w14:paraId="77833353" w14:textId="77777777" w:rsidR="005667E5" w:rsidRDefault="005667E5" w:rsidP="005667E5">
      <w:pPr>
        <w:numPr>
          <w:ilvl w:val="0"/>
          <w:numId w:val="18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teren ma dostęp do drogi publicznej rozumiany jako bezpośredni dostęp do tej drogi albo dostęp do niej przez drogę wewnętrzną lub przez ustanowienie odpowiedniej służebności drogowej;</w:t>
      </w:r>
    </w:p>
    <w:p w14:paraId="100BA9C3" w14:textId="77777777" w:rsidR="0082709F" w:rsidRPr="005667E5" w:rsidRDefault="0082709F" w:rsidP="0082709F">
      <w:pPr>
        <w:tabs>
          <w:tab w:val="left" w:pos="851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</w:p>
    <w:p w14:paraId="7F54DCD4" w14:textId="77777777" w:rsidR="005667E5" w:rsidRPr="005667E5" w:rsidRDefault="005667E5" w:rsidP="005667E5">
      <w:pPr>
        <w:numPr>
          <w:ilvl w:val="0"/>
          <w:numId w:val="18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lastRenderedPageBreak/>
        <w:t>istniejące lub projektowane uzbrojenie terenu jest wystarczające dla zamierzenia budowlanego, przy czym warunek uznaje się za spełniony, jeżeli wykonanie uzbrojenia terenu zostanie zagwarantowane w drodze umowy zawartej między właściwą jednostką organizacyjną a inwestorem;</w:t>
      </w:r>
    </w:p>
    <w:p w14:paraId="75A89D95" w14:textId="77777777" w:rsidR="005667E5" w:rsidRPr="005667E5" w:rsidRDefault="005667E5" w:rsidP="005667E5">
      <w:pPr>
        <w:numPr>
          <w:ilvl w:val="0"/>
          <w:numId w:val="18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teren nie wymaga uzyskania zgody na zmianę przeznaczenia gruntów rolnych i leśnych na cele nierolnicze i nieleśne albo jest objęty zgodą uzyskaną przy sporządzaniu miejscowych planów, które utraciły moc na podstawie art. 67 ustawy, o której mowa w art. 88 ust. 1;</w:t>
      </w:r>
    </w:p>
    <w:p w14:paraId="60B264F9" w14:textId="77777777" w:rsidR="005667E5" w:rsidRPr="005667E5" w:rsidRDefault="005667E5" w:rsidP="005667E5">
      <w:pPr>
        <w:numPr>
          <w:ilvl w:val="0"/>
          <w:numId w:val="18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decyzja jest zgodna z przepisami odrębnymi;</w:t>
      </w:r>
    </w:p>
    <w:p w14:paraId="36D88A6F" w14:textId="77777777" w:rsidR="005667E5" w:rsidRPr="005667E5" w:rsidRDefault="005667E5" w:rsidP="005667E5">
      <w:pPr>
        <w:numPr>
          <w:ilvl w:val="0"/>
          <w:numId w:val="18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  <w:shd w:val="clear" w:color="auto" w:fill="FFFFFF"/>
        </w:rPr>
        <w:t>zamierzenie budowlane nie znajdzie się w obszarze</w:t>
      </w:r>
      <w:r w:rsidRPr="005667E5">
        <w:rPr>
          <w:rFonts w:cstheme="minorHAnsi"/>
          <w:sz w:val="28"/>
          <w:szCs w:val="28"/>
          <w:lang w:eastAsia="pl-PL"/>
        </w:rPr>
        <w:t xml:space="preserve">: </w:t>
      </w:r>
    </w:p>
    <w:p w14:paraId="2C43A655" w14:textId="77777777" w:rsidR="005667E5" w:rsidRPr="005667E5" w:rsidRDefault="005667E5" w:rsidP="005667E5">
      <w:pPr>
        <w:numPr>
          <w:ilvl w:val="0"/>
          <w:numId w:val="15"/>
        </w:numPr>
        <w:tabs>
          <w:tab w:val="left" w:pos="1134"/>
        </w:tabs>
        <w:spacing w:after="120" w:line="240" w:lineRule="auto"/>
        <w:ind w:left="1134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w stosunku do którego decyzją o ustaleniu lokalizacji strategicznej inwestycji w zakresie sieci przesyłowej, o której mowa w art. 5 ust. 1 ustawy z dnia 24 lipca 2015 r. o przygotowaniu i realizacji strategicznych inwestycji w zakresie sieci przesyłowych (Dz. U. z 2024 r. poz. 1199), ustanowiony został zakaz, o którym mowa w art. 22 ust. 2 pkt 1 tej ustawy,</w:t>
      </w:r>
    </w:p>
    <w:p w14:paraId="3A50D4D5" w14:textId="77777777" w:rsidR="005667E5" w:rsidRPr="005667E5" w:rsidRDefault="005667E5" w:rsidP="005667E5">
      <w:pPr>
        <w:numPr>
          <w:ilvl w:val="0"/>
          <w:numId w:val="15"/>
        </w:numPr>
        <w:tabs>
          <w:tab w:val="left" w:pos="1134"/>
        </w:tabs>
        <w:spacing w:after="120" w:line="240" w:lineRule="auto"/>
        <w:ind w:left="1134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  <w:lang w:eastAsia="pl-PL"/>
        </w:rPr>
        <w:t>strefy kontrolowanej wyznaczonej po obu stronach gazociągu, o którym mowa w art. 53 ust. 5e pkt 2 u.p.z.p.,</w:t>
      </w:r>
    </w:p>
    <w:p w14:paraId="4A01D3EF" w14:textId="77777777" w:rsidR="005667E5" w:rsidRPr="005667E5" w:rsidRDefault="005667E5" w:rsidP="005667E5">
      <w:pPr>
        <w:numPr>
          <w:ilvl w:val="0"/>
          <w:numId w:val="15"/>
        </w:numPr>
        <w:tabs>
          <w:tab w:val="left" w:pos="1134"/>
        </w:tabs>
        <w:spacing w:after="120" w:line="240" w:lineRule="auto"/>
        <w:ind w:left="1134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  <w:lang w:eastAsia="pl-PL"/>
        </w:rPr>
        <w:t>strefy bezpieczeństwa wyznaczonej po obu stronach rurociągu.</w:t>
      </w:r>
    </w:p>
    <w:p w14:paraId="432C4886" w14:textId="77777777" w:rsidR="005667E5" w:rsidRPr="005667E5" w:rsidRDefault="005667E5" w:rsidP="005667E5">
      <w:pPr>
        <w:tabs>
          <w:tab w:val="left" w:pos="993"/>
        </w:tabs>
        <w:spacing w:after="120" w:line="240" w:lineRule="auto"/>
        <w:ind w:firstLine="567"/>
        <w:rPr>
          <w:rFonts w:cs="Times New Roman"/>
          <w:sz w:val="28"/>
          <w:szCs w:val="28"/>
        </w:rPr>
      </w:pPr>
      <w:r w:rsidRPr="005667E5">
        <w:rPr>
          <w:rFonts w:cs="Times New Roman"/>
          <w:sz w:val="28"/>
          <w:szCs w:val="28"/>
        </w:rPr>
        <w:t xml:space="preserve">Zgodnie z informacją Wnioskodawczyni, zawartą we wniosku, powierzchnia gospodarstwa rolnego związanego z tą zabudową wynosi ca 19 ha, przy średniej powierzchni gospodarstwa rolnego w gminie Śrem wynoszącej 14,5119 ha. </w:t>
      </w:r>
    </w:p>
    <w:p w14:paraId="14E70836" w14:textId="77777777" w:rsidR="005667E5" w:rsidRPr="005667E5" w:rsidRDefault="005667E5" w:rsidP="0082709F">
      <w:pPr>
        <w:tabs>
          <w:tab w:val="left" w:pos="993"/>
        </w:tabs>
        <w:spacing w:after="120" w:line="240" w:lineRule="auto"/>
        <w:ind w:firstLine="567"/>
        <w:rPr>
          <w:rFonts w:cs="Times New Roman"/>
          <w:sz w:val="28"/>
          <w:szCs w:val="28"/>
        </w:rPr>
      </w:pPr>
      <w:r w:rsidRPr="005667E5">
        <w:rPr>
          <w:rFonts w:cs="Times New Roman"/>
          <w:sz w:val="28"/>
          <w:szCs w:val="28"/>
        </w:rPr>
        <w:t>W związku z powyższym w analizowanej sprawie zastosowanie ma art. 61 ust. 4 u.p.z.p., który głosi, że w przypadku, gdy powierzchnia gospodarstwa rolnego związanego z zabudową zagrodową przekracza średnią powierzchnię gospodarstwa rolnego w danej gminie przepisów art. 61 ust 1 pkt 1 u.p.z.p. nie stosuje się (spełnienia wymogów zasady tzw. dobrego sąsiedztwa).</w:t>
      </w:r>
    </w:p>
    <w:p w14:paraId="7E32B6B0" w14:textId="77777777" w:rsidR="005667E5" w:rsidRPr="005667E5" w:rsidRDefault="005667E5" w:rsidP="0082709F">
      <w:pPr>
        <w:tabs>
          <w:tab w:val="left" w:pos="993"/>
        </w:tabs>
        <w:spacing w:after="120" w:line="240" w:lineRule="auto"/>
        <w:ind w:firstLine="567"/>
        <w:rPr>
          <w:rFonts w:cs="Times New Roman"/>
          <w:sz w:val="28"/>
          <w:szCs w:val="28"/>
        </w:rPr>
      </w:pPr>
      <w:r w:rsidRPr="005667E5">
        <w:rPr>
          <w:rFonts w:cs="Times New Roman"/>
          <w:sz w:val="28"/>
          <w:szCs w:val="28"/>
        </w:rPr>
        <w:t>Biorąc powyższe pod uwagę analiza warunków, o których mowa w art. 61 ust. 1 pkt 2 – 6 u.p.z.p., dokonana w trakcie prowadzonego postępowania potwierdza, że zostały one spełnione, bowiem</w:t>
      </w:r>
      <w:r w:rsidRPr="005667E5">
        <w:rPr>
          <w:rFonts w:cstheme="minorHAnsi"/>
          <w:sz w:val="28"/>
          <w:szCs w:val="28"/>
        </w:rPr>
        <w:t>:</w:t>
      </w:r>
    </w:p>
    <w:p w14:paraId="7A976B2E" w14:textId="77777777" w:rsidR="005667E5" w:rsidRPr="005667E5" w:rsidRDefault="005667E5" w:rsidP="0082709F">
      <w:pPr>
        <w:numPr>
          <w:ilvl w:val="0"/>
          <w:numId w:val="19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 xml:space="preserve">spełniony – teren objęty wnioskiem ma zapewniony </w:t>
      </w:r>
      <w:r w:rsidRPr="005667E5">
        <w:rPr>
          <w:rFonts w:cstheme="minorHAnsi"/>
          <w:sz w:val="28"/>
        </w:rPr>
        <w:t>pośredni dostęp do drogi wojewódzkiej – ul. Śremskiej lub do drogi powiatowej – ul. Szkolnej, poprzez drogę wewnętrzną – ul. Ks. P. Wawrzyniaka, poprzez istniejący zjazd</w:t>
      </w:r>
      <w:r w:rsidRPr="005667E5">
        <w:rPr>
          <w:rFonts w:cstheme="minorHAnsi"/>
          <w:sz w:val="28"/>
          <w:szCs w:val="28"/>
        </w:rPr>
        <w:t>;</w:t>
      </w:r>
    </w:p>
    <w:p w14:paraId="1DF7BD9F" w14:textId="77777777" w:rsidR="005667E5" w:rsidRPr="005667E5" w:rsidRDefault="005667E5" w:rsidP="0082709F">
      <w:pPr>
        <w:numPr>
          <w:ilvl w:val="0"/>
          <w:numId w:val="19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spełniony – istniejące uzbrojenie terenu jest wystarczające dla planowanego zamierzenia budowlanego;</w:t>
      </w:r>
    </w:p>
    <w:p w14:paraId="4432449E" w14:textId="77777777" w:rsidR="005667E5" w:rsidRPr="005667E5" w:rsidRDefault="005667E5" w:rsidP="0082709F">
      <w:pPr>
        <w:numPr>
          <w:ilvl w:val="0"/>
          <w:numId w:val="19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lastRenderedPageBreak/>
        <w:t xml:space="preserve">spełniony – teren inwestycji nie wymaga uzyskania zgody na zmianę przeznaczenia gruntów rolnych i leśnych na cele nierolnicze i nieleśne, </w:t>
      </w:r>
      <w:r w:rsidRPr="005667E5">
        <w:rPr>
          <w:rFonts w:cs="Times New Roman"/>
          <w:sz w:val="28"/>
          <w:szCs w:val="28"/>
        </w:rPr>
        <w:t>bowiem inwestycja polega na budowie budynku gospodarczego w ramach istniejącego gospodarstwa rolnego, co pozostaje bez wpływu na przeznaczenie terenu (jest dalej przeznaczeniem rolniczym)</w:t>
      </w:r>
      <w:r w:rsidRPr="005667E5">
        <w:rPr>
          <w:rFonts w:cstheme="minorHAnsi"/>
          <w:sz w:val="28"/>
          <w:szCs w:val="28"/>
        </w:rPr>
        <w:t>;</w:t>
      </w:r>
    </w:p>
    <w:p w14:paraId="577F42A7" w14:textId="77777777" w:rsidR="005667E5" w:rsidRPr="005667E5" w:rsidRDefault="005667E5" w:rsidP="0082709F">
      <w:pPr>
        <w:numPr>
          <w:ilvl w:val="0"/>
          <w:numId w:val="19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spełniony – decyzja jest zgodna z przepisami odrębnymi;</w:t>
      </w:r>
    </w:p>
    <w:p w14:paraId="482CF807" w14:textId="77777777" w:rsidR="005667E5" w:rsidRPr="005667E5" w:rsidRDefault="005667E5" w:rsidP="0082709F">
      <w:pPr>
        <w:numPr>
          <w:ilvl w:val="0"/>
          <w:numId w:val="19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spełniony – zamierzenie budowlane nie znajdzie się w obszarze:</w:t>
      </w:r>
    </w:p>
    <w:p w14:paraId="00340BF3" w14:textId="77777777" w:rsidR="005667E5" w:rsidRPr="005667E5" w:rsidRDefault="005667E5" w:rsidP="0082709F">
      <w:pPr>
        <w:numPr>
          <w:ilvl w:val="0"/>
          <w:numId w:val="16"/>
        </w:numPr>
        <w:tabs>
          <w:tab w:val="left" w:pos="1134"/>
        </w:tabs>
        <w:spacing w:after="120" w:line="240" w:lineRule="auto"/>
        <w:ind w:left="1134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  <w:shd w:val="clear" w:color="auto" w:fill="FFFFFF"/>
        </w:rPr>
        <w:t>objętym zakazem wznoszenia i utrzymywania obiektów budowlanych przeznaczonych na pobyt ludzi związanym z lokalizacją sieci przesyłowej,</w:t>
      </w:r>
    </w:p>
    <w:p w14:paraId="67BB0FDD" w14:textId="77777777" w:rsidR="005667E5" w:rsidRPr="005667E5" w:rsidRDefault="005667E5" w:rsidP="0082709F">
      <w:pPr>
        <w:numPr>
          <w:ilvl w:val="0"/>
          <w:numId w:val="16"/>
        </w:numPr>
        <w:tabs>
          <w:tab w:val="left" w:pos="1134"/>
        </w:tabs>
        <w:spacing w:after="120" w:line="240" w:lineRule="auto"/>
        <w:ind w:left="1134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  <w:lang w:eastAsia="pl-PL"/>
        </w:rPr>
        <w:t xml:space="preserve">strefy kontrolowanej wyznaczonej po obu stronach gazociągu, </w:t>
      </w:r>
    </w:p>
    <w:p w14:paraId="0E5C8009" w14:textId="77777777" w:rsidR="005667E5" w:rsidRPr="005667E5" w:rsidRDefault="005667E5" w:rsidP="0082709F">
      <w:pPr>
        <w:numPr>
          <w:ilvl w:val="0"/>
          <w:numId w:val="16"/>
        </w:numPr>
        <w:tabs>
          <w:tab w:val="left" w:pos="1134"/>
        </w:tabs>
        <w:spacing w:after="120" w:line="240" w:lineRule="auto"/>
        <w:ind w:left="1134"/>
        <w:contextualSpacing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  <w:lang w:eastAsia="pl-PL"/>
        </w:rPr>
        <w:t>strefy bezpieczeństwa wyznaczonej po obu stronach rurociągu.</w:t>
      </w:r>
    </w:p>
    <w:p w14:paraId="0DA8869B" w14:textId="77777777" w:rsidR="005667E5" w:rsidRPr="005667E5" w:rsidRDefault="005667E5" w:rsidP="0082709F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Planowana inwestycja (rozbudowa budynku inwentarskiego w ramach istniejącego gospodarstwa rolnego) nie koliduje z funkcją rolniczą (w tym zabudową zagrodową) i funkcją mieszkaniową terenów znajdujących się w obszarze analizowanym.</w:t>
      </w:r>
    </w:p>
    <w:p w14:paraId="154097AB" w14:textId="77777777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Podstawą ustaleń zawartych w niniejszej decyzji jest rozporządzenie Ministra Rozwoju i Technologii z dnia 15 lipca 2024 r. w sprawie sposobu ustalania wymagań dotyczących nowej zabudowy i zagospodarowania terenu w przypadku braku miejscowego planu zagospodarowania przestrzennego (Dz. U. poz. 1116), zwane dalej rozporządzeniem.</w:t>
      </w:r>
    </w:p>
    <w:p w14:paraId="6A0726CD" w14:textId="77777777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Zgodnie z § 3 rozporządzenia linię zabudowy na terenie objętym wnioskiem wyznacza się jako przedłużenie linii zabudowy istniejącej na działkach sąsiednich. W przypadku gdy przebieg linii zabudowy istniejącej na działkach sąsiednich tworzy uskok, linię zabudowy ustala się jako kontynuację linii zabudowy tego budynku, który znajduje się w większej odległości od pasa drogowego. Linie zabudowy ustala się jako nieprzekraczalne lub obowiązujące. Dopuszcza się dodatkowe ustalenie linii zabudowy dla kondygnacji podziemnych lub innych linii zabudowy wynikających z lokalnych uwarunkowań.</w:t>
      </w:r>
    </w:p>
    <w:p w14:paraId="5A396A3B" w14:textId="73024FF5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 xml:space="preserve">Dla planowanej inwestycji ustalono nieprzekraczalną linię zabudowy oznaczającą wzdłuż istniejącego na działce budynku mieszkalnego jednorodzinnego i budynku gospodarczego. Linia zabudowy oznaczona została jako linia ciągła, </w:t>
      </w:r>
      <w:r w:rsidRPr="005667E5">
        <w:rPr>
          <w:sz w:val="28"/>
        </w:rPr>
        <w:t>z umieszczonymi</w:t>
      </w:r>
      <w:r w:rsidRPr="005667E5">
        <w:rPr>
          <w:rFonts w:cstheme="minorHAnsi"/>
          <w:sz w:val="28"/>
          <w:szCs w:val="28"/>
        </w:rPr>
        <w:t xml:space="preserve"> stycznie niewypełnionymi trójkątami. Stosownie bowiem do § 3 ust. 3 rozporządzenia Ministra Infrastruktury z dnia 26 sierpnia 2003 r. w sprawie oznaczeń i nazewnictwa stosowanych w decyzji o ustaleniu lokalizacji inwestycji celu publicznego oraz w decyzji o warunkach zabudowy (Dz. U. Nr 164, poz. 1589) „podstawowe jednobarwne oznaczenia graficzne dotyczące granic i linii regulacyjnych, </w:t>
      </w:r>
      <w:r w:rsidRPr="005667E5">
        <w:rPr>
          <w:rFonts w:cstheme="minorHAnsi"/>
          <w:sz w:val="28"/>
          <w:szCs w:val="28"/>
        </w:rPr>
        <w:lastRenderedPageBreak/>
        <w:t xml:space="preserve">a także elementów zagospodarowania przestrzennego, przeznaczone do stosowania w części graficznej decyzji, o których mowa w ust. 1, stosuje się zgodnie z Polską Normą PN-B-01027 z dnia 11 lipca 2002 r. </w:t>
      </w:r>
    </w:p>
    <w:p w14:paraId="67AD4661" w14:textId="77777777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Wyznaczona w niniejszej decyzji nieprzekraczalna linia zabudowy określa jedynie maksymalny zasięg położenia planowanego budynku inwentarskiego względem drogi wewnętrznej</w:t>
      </w:r>
      <w:r w:rsidRPr="005667E5">
        <w:rPr>
          <w:rFonts w:cstheme="minorHAnsi"/>
          <w:color w:val="1F497D" w:themeColor="text2"/>
          <w:sz w:val="28"/>
          <w:szCs w:val="28"/>
        </w:rPr>
        <w:t xml:space="preserve">, </w:t>
      </w:r>
      <w:r w:rsidRPr="005667E5">
        <w:rPr>
          <w:rFonts w:cstheme="minorHAnsi"/>
          <w:sz w:val="28"/>
          <w:szCs w:val="28"/>
        </w:rPr>
        <w:t>nie przesądzając jednak o ostatecznej (konkretnej) lokalizacji na terenie.</w:t>
      </w:r>
    </w:p>
    <w:p w14:paraId="7D71D51F" w14:textId="77777777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ascii="Calibri" w:hAnsi="Calibri" w:cs="Calibri"/>
          <w:sz w:val="28"/>
          <w:szCs w:val="28"/>
        </w:rPr>
        <w:t>Planowana inwestycja nie zakłóca zastanego ładu przestrzennego. W analizowanej sprawie nie stwierdzono, aby planowana inwestycja pozostawała w kolizji z przepisami prawa materialnego, w tym istniejącym zagospodarowaniem i funkcją terenów.</w:t>
      </w:r>
    </w:p>
    <w:p w14:paraId="1309F6F5" w14:textId="77777777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W niniejszej decyzji Burmistrz Śremu nie określił zasad związanych z lokalizacją miejsc parkingowych na terenie inwestycji, bowiem planowane przedsięwzięcie, ze względu na swój charakter, nie generuje dodatkowych potrzeb parkingowych.</w:t>
      </w:r>
    </w:p>
    <w:p w14:paraId="0053CFAD" w14:textId="77777777" w:rsidR="005667E5" w:rsidRPr="005667E5" w:rsidRDefault="005667E5" w:rsidP="005667E5">
      <w:pPr>
        <w:spacing w:after="120" w:line="240" w:lineRule="auto"/>
        <w:ind w:firstLine="567"/>
        <w:rPr>
          <w:rFonts w:cs="Times New Roman"/>
          <w:sz w:val="28"/>
          <w:szCs w:val="28"/>
        </w:rPr>
      </w:pPr>
      <w:r w:rsidRPr="005667E5">
        <w:rPr>
          <w:rFonts w:ascii="Calibri" w:hAnsi="Calibri" w:cs="Calibri"/>
          <w:sz w:val="28"/>
          <w:szCs w:val="28"/>
        </w:rPr>
        <w:t xml:space="preserve">Planowane przedsięwzięcie zostało zakwalifikowane do przedsięwzięć mogących </w:t>
      </w:r>
      <w:r w:rsidRPr="005667E5">
        <w:rPr>
          <w:rFonts w:ascii="Calibri" w:hAnsi="Calibri" w:cs="Calibri"/>
          <w:color w:val="000000" w:themeColor="text1"/>
          <w:sz w:val="28"/>
          <w:szCs w:val="28"/>
        </w:rPr>
        <w:t xml:space="preserve">znacząco </w:t>
      </w:r>
      <w:r w:rsidRPr="005667E5">
        <w:rPr>
          <w:rFonts w:ascii="Calibri" w:hAnsi="Calibri" w:cs="Calibri"/>
          <w:sz w:val="28"/>
          <w:szCs w:val="28"/>
        </w:rPr>
        <w:t xml:space="preserve">oddziaływać na środowisko, o których mowa w rozporządzeniu Rady Ministrów z dnia 10 września 2019 r. w sprawie przedsięwzięć mogących znacząco oddziaływać na środowisko (Dz. U. poz. 1839 i z 2023 r. 1071). </w:t>
      </w:r>
      <w:r w:rsidRPr="005667E5">
        <w:rPr>
          <w:rFonts w:cs="Times New Roman"/>
          <w:sz w:val="28"/>
          <w:szCs w:val="28"/>
        </w:rPr>
        <w:t>Dla planowanej inwestycji 09.10.2024 r. została wydana decyzja o środowiskowych uwarunkowaniach (PPSOŚ.6220.11.2024.BM), w której określono istotne warunki korzystania ze środowiska w fazie realizacji i eksploatacji lub użytkowania przedsięwzięcia. W ramach postępowania nie przeprowadzono oceny oddziaływania na środowisko dla planowanego przedsięwzięcia. Decyzja stała się ostateczna 09.11.2024 r.</w:t>
      </w:r>
    </w:p>
    <w:p w14:paraId="2A52DBF1" w14:textId="77777777" w:rsidR="005667E5" w:rsidRPr="005667E5" w:rsidRDefault="005667E5" w:rsidP="005667E5">
      <w:pPr>
        <w:widowControl w:val="0"/>
        <w:autoSpaceDE w:val="0"/>
        <w:spacing w:after="120" w:line="240" w:lineRule="auto"/>
        <w:ind w:firstLine="567"/>
        <w:rPr>
          <w:rFonts w:cs="Times New Roman"/>
          <w:sz w:val="28"/>
          <w:szCs w:val="28"/>
        </w:rPr>
      </w:pPr>
      <w:r w:rsidRPr="005667E5">
        <w:rPr>
          <w:rFonts w:cs="Times New Roman"/>
          <w:sz w:val="28"/>
          <w:szCs w:val="28"/>
        </w:rPr>
        <w:t>Projekt decyzji został uzgodniony z organami, o których mowa w art. 53 ust. 4 pkt 2a i pkt 6 w związku z art. 64 ust. 1 u.p.z.p., czyli z:</w:t>
      </w:r>
    </w:p>
    <w:p w14:paraId="47CC79F4" w14:textId="77777777" w:rsidR="005667E5" w:rsidRPr="005667E5" w:rsidRDefault="005667E5" w:rsidP="005667E5">
      <w:pPr>
        <w:widowControl w:val="0"/>
        <w:numPr>
          <w:ilvl w:val="0"/>
          <w:numId w:val="22"/>
        </w:numPr>
        <w:autoSpaceDE w:val="0"/>
        <w:spacing w:after="120" w:line="240" w:lineRule="auto"/>
        <w:contextualSpacing/>
        <w:jc w:val="both"/>
        <w:rPr>
          <w:rFonts w:cs="Times New Roman"/>
          <w:sz w:val="28"/>
          <w:szCs w:val="28"/>
        </w:rPr>
      </w:pPr>
      <w:r w:rsidRPr="005667E5">
        <w:rPr>
          <w:rFonts w:cs="Times New Roman"/>
          <w:sz w:val="28"/>
          <w:szCs w:val="28"/>
        </w:rPr>
        <w:t>Państwowym Powiatowym Inspektorem Sanitarnym w Śremie,</w:t>
      </w:r>
    </w:p>
    <w:p w14:paraId="6DBD22B5" w14:textId="588B53BB" w:rsidR="005667E5" w:rsidRPr="005667E5" w:rsidRDefault="005667E5" w:rsidP="00FD71FB">
      <w:pPr>
        <w:widowControl w:val="0"/>
        <w:numPr>
          <w:ilvl w:val="0"/>
          <w:numId w:val="22"/>
        </w:numPr>
        <w:autoSpaceDE w:val="0"/>
        <w:spacing w:after="120" w:line="240" w:lineRule="auto"/>
        <w:contextualSpacing/>
        <w:jc w:val="both"/>
        <w:rPr>
          <w:sz w:val="28"/>
        </w:rPr>
      </w:pPr>
      <w:r w:rsidRPr="005667E5">
        <w:rPr>
          <w:sz w:val="28"/>
        </w:rPr>
        <w:t>Dyrektorem Zarządu Zlewni Państwowego Gospodarstwa Wodnego Wody Polskie w Poznaniu.</w:t>
      </w:r>
    </w:p>
    <w:p w14:paraId="0BE964E8" w14:textId="77777777" w:rsidR="005667E5" w:rsidRPr="005667E5" w:rsidRDefault="005667E5" w:rsidP="005667E5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Projekt decyzji</w:t>
      </w:r>
      <w:r w:rsidRPr="005667E5">
        <w:rPr>
          <w:rFonts w:cstheme="minorHAnsi"/>
          <w:color w:val="1F497D" w:themeColor="text2"/>
          <w:sz w:val="28"/>
          <w:szCs w:val="28"/>
        </w:rPr>
        <w:t xml:space="preserve"> </w:t>
      </w:r>
      <w:r w:rsidRPr="005667E5">
        <w:rPr>
          <w:rFonts w:cstheme="minorHAnsi"/>
          <w:sz w:val="28"/>
          <w:szCs w:val="28"/>
        </w:rPr>
        <w:t xml:space="preserve">uzyskał stanowisko zarządcy drogi gminnej – </w:t>
      </w:r>
      <w:r w:rsidRPr="005667E5">
        <w:rPr>
          <w:rFonts w:eastAsia="Times New Roman" w:cs="Times New Roman"/>
          <w:sz w:val="28"/>
          <w:lang w:eastAsia="pl-PL"/>
        </w:rPr>
        <w:t>ul. Ks. P. Wawrzyniaka</w:t>
      </w:r>
      <w:r w:rsidRPr="005667E5">
        <w:rPr>
          <w:rFonts w:cstheme="minorHAnsi"/>
          <w:sz w:val="28"/>
          <w:szCs w:val="28"/>
        </w:rPr>
        <w:t xml:space="preserve"> (działki o nr ewid. 367, obręb Wyrzeka), którym jest Burmistrz Śremu, w ramach wewnętrznej procedury.</w:t>
      </w:r>
    </w:p>
    <w:p w14:paraId="13D0C22B" w14:textId="77777777" w:rsidR="005667E5" w:rsidRDefault="005667E5" w:rsidP="005667E5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Projekt decyzji nie wymagał zaopiniowania przez operatorów, o których mowa w art. 53 ust. 5e w związku z art. 64 ust. 1 u.p.z.p.</w:t>
      </w:r>
    </w:p>
    <w:p w14:paraId="7DF505D8" w14:textId="77777777" w:rsidR="0082709F" w:rsidRPr="005667E5" w:rsidRDefault="0082709F" w:rsidP="005667E5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597DC374" w14:textId="3BEE33A5" w:rsidR="00FD71FB" w:rsidRPr="005667E5" w:rsidRDefault="005667E5" w:rsidP="0082709F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lastRenderedPageBreak/>
        <w:t xml:space="preserve">Ponadto, decyzja nie wymagała wcześniejszego uzyskania decyzji wymaganych przepisami odrębnymi, poza wspomnianą decyzją o środowiskowych uwarunkowaniach. </w:t>
      </w:r>
    </w:p>
    <w:p w14:paraId="37BBD031" w14:textId="77777777" w:rsidR="005667E5" w:rsidRPr="005667E5" w:rsidRDefault="005667E5" w:rsidP="005667E5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</w:rPr>
      </w:pPr>
      <w:r w:rsidRPr="005667E5">
        <w:rPr>
          <w:rFonts w:cstheme="minorHAnsi"/>
          <w:sz w:val="28"/>
        </w:rPr>
        <w:t xml:space="preserve">Zgodnie z utrwaloną linią orzecznictwa sądowo-administracyjnego (vide: wyrok NSA z dnia 12.03.2019 r. sygn. akt II OSK 1024/17; wyrok WSA w Poznaniu z dnia 19.09.2019 r. sygn. akt IV SA/Po 417/19) stronami w postępowaniu o ustalenie warunków zabudowy i zagospodarowania terenu mogą być właściciele lub użytkownicy wieczyści działek sąsiednich. Stronami tego postępowania mogą być także, w zależności od okoliczności, właściciele działek niesąsiadujących bezpośrednio z terenem planowanej inwestycji. O interesie prawnym właściciela działki leżącej w sąsiedztwie działki, której dotyczy postępowanie o wydanie warunków zabudowy, decyduje nie charakter tego sąsiedztwa (bezpośredni, pośredni), ale zasięg oddziaływania danej inwestycji na nieruchomości sąsiednie oraz stopień jej uciążliwości dla tych nieruchomości. Organ prowadzący postępowanie w sprawie warunków zabudowy ma obowiązek zbadać rodzaj inwestycji, jej rozmiary oraz stopień i zakres jej uciążliwości dla otoczenia, a następnie ustalić, jak daleko sięgać będzie oddziaływanie planowanej inwestycji. </w:t>
      </w:r>
    </w:p>
    <w:p w14:paraId="3B2EAC70" w14:textId="77777777" w:rsidR="005667E5" w:rsidRPr="005667E5" w:rsidRDefault="005667E5" w:rsidP="005667E5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</w:rPr>
      </w:pPr>
      <w:r w:rsidRPr="005667E5">
        <w:rPr>
          <w:rFonts w:cstheme="minorHAnsi"/>
          <w:sz w:val="28"/>
        </w:rPr>
        <w:t>Zakres tego oddziaływania pozwala na ustalenie kręgu osób, które mają interes prawny w sprawie. W myśl wyroku Wojewódzkiego Sądu Administracyjnego w Poznaniu z dnia 17.01.2019 r. sygn. akt II SA/Po 671/18: „Tylko ograniczenia w zagospodarowaniu nieruchomości wynikające z konkretnego przepisu prawa dają podstawę do uczestnictwa w charakterze strony w postępowaniu administracyjnym dotyczącym konkretnej inwestycji. Natomiast ograniczenia, które nie są wynikiem istnienia przepisów prawnych nie dają podstawy do uznania danego podmiotu za stronę postępowania w tego typu sprawie, wówczas bowiem istnieje interes faktyczny, a nie interes prawny”.</w:t>
      </w:r>
    </w:p>
    <w:p w14:paraId="18059B96" w14:textId="48C01B85" w:rsidR="005667E5" w:rsidRPr="005667E5" w:rsidRDefault="005667E5" w:rsidP="00FD71FB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</w:rPr>
      </w:pPr>
      <w:r w:rsidRPr="005667E5">
        <w:rPr>
          <w:rFonts w:cstheme="minorHAnsi"/>
          <w:sz w:val="28"/>
        </w:rPr>
        <w:t>Ze względu na skalę, charakter inwestycji oraz planowaną zmianę sposobu zagospodarowania terenu zakresem oddziaływania planowanej inwestycji objęty jest teren: działki o nr ewid. 371, obręb Wyrzeka i działki o nr ewid.: 370, 369, 400/3, 407/1, 408, 372/2, 372/1, obręb Wyrzeka.</w:t>
      </w:r>
    </w:p>
    <w:p w14:paraId="2A2E7A6C" w14:textId="77777777" w:rsidR="005667E5" w:rsidRDefault="005667E5" w:rsidP="005667E5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</w:rPr>
      </w:pPr>
      <w:r w:rsidRPr="005667E5">
        <w:rPr>
          <w:rFonts w:cstheme="minorHAnsi"/>
          <w:sz w:val="28"/>
        </w:rPr>
        <w:t xml:space="preserve">Biorąc powyższe pod uwagę za strony postępowania zostali uznani: Wnioskodawczyni, będąca jednocześnie właścicielem działki objętej wnioskiem oraz właściciele / współwłaściciele działek o nr ewid.: 370, 369, 400/3, 407/1, 408, 372/2, 372/1, obręb Wyrzeka. </w:t>
      </w:r>
    </w:p>
    <w:p w14:paraId="7EF1E31F" w14:textId="77777777" w:rsidR="0082709F" w:rsidRPr="005667E5" w:rsidRDefault="0082709F" w:rsidP="005667E5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</w:rPr>
      </w:pPr>
    </w:p>
    <w:p w14:paraId="541B4C29" w14:textId="20A324B5" w:rsidR="005667E5" w:rsidRPr="005667E5" w:rsidRDefault="005667E5" w:rsidP="0082709F">
      <w:pPr>
        <w:tabs>
          <w:tab w:val="left" w:pos="851"/>
        </w:tabs>
        <w:spacing w:after="120" w:line="240" w:lineRule="auto"/>
        <w:ind w:firstLine="567"/>
        <w:rPr>
          <w:rFonts w:cstheme="minorHAnsi"/>
          <w:iCs/>
          <w:sz w:val="28"/>
        </w:rPr>
      </w:pPr>
      <w:r w:rsidRPr="005667E5">
        <w:rPr>
          <w:rFonts w:cstheme="minorHAnsi"/>
          <w:iCs/>
          <w:sz w:val="28"/>
        </w:rPr>
        <w:lastRenderedPageBreak/>
        <w:t xml:space="preserve">Stosownie do art. 53 ust. 1a, ust. 1b i ust. 1c u.p.z.p. prawa rzeczowe do nieruchomości oraz dane dotyczące osób, którym te prawa przysługują, ustala się na podstawie ksiąg wieczystych, ewidencji gruntów i budynków, zbioru dokumentów albo innych dokumentów urzędowych. Adresy osób, którym przysługują prawa rzeczowe do nieruchomości, ustala się na podstawie wszelkich okoliczności, jeżeli są one znane organowi z urzędu lub zostały wskazane przez stronę, w tym również na podstawie ewidencji gruntów i budynków. Doręczenie na tak ustalony adres jest skuteczne. W przypadku nieruchomości o nieuregulowanym stanie prawnym lub uzyskania danych pozwalających na ustalenie adresu właściciela lub użytkownika wieczystego nieruchomości w sposób określony w ust. 1b, zawiadomienia dokonuje się w sposób, o którym mowa w art. 49 k.p.a. Przepisu art. 34 § 1 k.p.a. nie stosuje się. </w:t>
      </w:r>
    </w:p>
    <w:p w14:paraId="3645B350" w14:textId="77777777" w:rsidR="005667E5" w:rsidRPr="005667E5" w:rsidRDefault="005667E5" w:rsidP="005667E5">
      <w:pPr>
        <w:tabs>
          <w:tab w:val="left" w:pos="851"/>
        </w:tabs>
        <w:spacing w:after="120" w:line="240" w:lineRule="auto"/>
        <w:ind w:firstLine="567"/>
        <w:rPr>
          <w:rFonts w:cstheme="minorHAnsi"/>
          <w:iCs/>
          <w:sz w:val="28"/>
        </w:rPr>
      </w:pPr>
      <w:r w:rsidRPr="005667E5">
        <w:rPr>
          <w:rFonts w:cstheme="minorHAnsi"/>
          <w:iCs/>
          <w:sz w:val="28"/>
        </w:rPr>
        <w:t xml:space="preserve">W myśl art.2 pkt 24 u.p.z.p. nieruchomością o nieregulowanym stanie prawnym jest nieruchomość, o której mowa w art. 113 ust. 6 i 7 ustawy z dnia 21 sierpnia 1997 r. o gospodarce nieruchomościami. Zgodnie z art. 113 ust. 6 i ust. 7 ustawy z dnia 21 sierpnia 1997 r. o gospodarce nieruchomościami (Dz. U. z 2024 r. poz. 1145, 1222, 1717 i 1881) nieruchomością taką jest nieruchomość w stosunku do której nie można ustalić osób, którym przysługują do niej prawa rzeczowe lub jeżeli właściciel lub użytkownik wieczysty nieruchomości nie żyje i nie przeprowadzono lub nie zostało zakończone postępowanie spadkowe. </w:t>
      </w:r>
    </w:p>
    <w:p w14:paraId="2AFCC58D" w14:textId="77777777" w:rsidR="005667E5" w:rsidRPr="005667E5" w:rsidRDefault="005667E5" w:rsidP="005667E5">
      <w:pPr>
        <w:tabs>
          <w:tab w:val="left" w:pos="851"/>
        </w:tabs>
        <w:spacing w:after="120" w:line="240" w:lineRule="auto"/>
        <w:ind w:firstLine="567"/>
        <w:rPr>
          <w:rFonts w:cstheme="minorHAnsi"/>
          <w:iCs/>
          <w:sz w:val="28"/>
        </w:rPr>
      </w:pPr>
      <w:r w:rsidRPr="005667E5">
        <w:rPr>
          <w:rFonts w:cstheme="minorHAnsi"/>
          <w:iCs/>
          <w:sz w:val="28"/>
        </w:rPr>
        <w:t>W postępowaniu ustalono, że właściciel działki o nr ewid. 369, obręb Wyrzeka i współwłaściciel działek o nr ewid. 371/1 i 372/2, obręb Wyrzeka, nie żyją. Burmistrz Śremu wystąpił do właściwego sądu o udzielenie informacji czy postępowanie spadkowe zostało przeprowadzone. Sąd Rejonowy w Śremie I Wydział Cywilny poinformował o braku zakończonego lub trwającego postępowania spadkowego.</w:t>
      </w:r>
    </w:p>
    <w:p w14:paraId="3E33829F" w14:textId="77777777" w:rsidR="005667E5" w:rsidRPr="005667E5" w:rsidRDefault="005667E5" w:rsidP="005667E5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</w:rPr>
      </w:pPr>
      <w:r w:rsidRPr="005667E5">
        <w:rPr>
          <w:rFonts w:cstheme="minorHAnsi"/>
          <w:sz w:val="28"/>
        </w:rPr>
        <w:t>Ustalając warunki zabudowy i zagospodarowania terenu dla nowej zabudowy, w rozpatrywanej sprawie, dostosowano je do cech i parametrów architektonicznych i urbanistycznych wyznaczonych przez stan dotychczasowej zabudowy, uwzględniając wymogi ładu przestrzennego.</w:t>
      </w:r>
    </w:p>
    <w:p w14:paraId="5926E3C7" w14:textId="53F72126" w:rsidR="005667E5" w:rsidRDefault="005667E5" w:rsidP="005667E5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 xml:space="preserve">Stosownie do art. 56, w związku z art. 64 u.p.z.p. nie można odmówić ustalenia warunków zabudowy, jeżeli zamierzenie inwestycyjne jest zgodne z przepisami odrębnymi. </w:t>
      </w:r>
    </w:p>
    <w:p w14:paraId="34BB47A5" w14:textId="77777777" w:rsidR="0082709F" w:rsidRDefault="0082709F" w:rsidP="005667E5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2C0553C4" w14:textId="77777777" w:rsidR="0082709F" w:rsidRPr="005667E5" w:rsidRDefault="0082709F" w:rsidP="005667E5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43FD3736" w14:textId="77777777" w:rsidR="005667E5" w:rsidRPr="005667E5" w:rsidRDefault="005667E5" w:rsidP="005667E5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lastRenderedPageBreak/>
        <w:t>Reasumując, Burmistrz Śremu jako organ właściwy do wydania decyzji o warunkach zabudowy jest zobowiązany wydać pozytywne rozstrzygnięcie, jeśli wnioskowane zamierzenie inwestycyjne czyni zadość wszystkim wymogom wynikającym z przepisów prawa powszechnie obowiązującego, co miało miejsce w analizowanej sprawie. Nadto wnioskowana inwestycja spełnia łącznie ustawowe przesłanki, o których mowa w u.p.z.p.</w:t>
      </w:r>
    </w:p>
    <w:p w14:paraId="643BFE5D" w14:textId="77777777" w:rsidR="005667E5" w:rsidRPr="005667E5" w:rsidRDefault="005667E5" w:rsidP="005667E5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 xml:space="preserve">W związku z powyższym orzeczono jak w sentencji. </w:t>
      </w:r>
    </w:p>
    <w:p w14:paraId="6C9A1744" w14:textId="77777777" w:rsidR="005667E5" w:rsidRPr="005667E5" w:rsidRDefault="005667E5" w:rsidP="005667E5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Pouczenie</w:t>
      </w:r>
    </w:p>
    <w:p w14:paraId="6E7B719A" w14:textId="77777777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Stosownie do art. 63 pkt 2 u.p.z.p. decyzja o warunkach zabudowy nie rodzi praw do terenu oraz nie narusza prawa własności i uprawnień osób trzecich.</w:t>
      </w:r>
    </w:p>
    <w:p w14:paraId="10C2225A" w14:textId="77777777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Od niniejszej decyzji służy stronom prawo wniesienia odwołania do Samorządowego Kolegium Odwoławczego w Poznaniu, za moim pośrednictwem, w terminie 14 dni od dnia doręczenia.</w:t>
      </w:r>
    </w:p>
    <w:p w14:paraId="02AC7E7C" w14:textId="77777777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2E7D1FD5" w14:textId="77777777" w:rsidR="005667E5" w:rsidRPr="005667E5" w:rsidRDefault="005667E5" w:rsidP="005667E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113AFE7C" w14:textId="77777777" w:rsidR="005667E5" w:rsidRPr="005667E5" w:rsidRDefault="005667E5" w:rsidP="005667E5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W przypadku niewydania przez Burmistrza Śremu decyzji o warunkach zabudowy w terminie 90 dni od dnia złożenia wniosku o wydanie takiej decyzji, podmiotowi, który wystąpił z wnioskiem o ustalenie warunków zabudowy, przysługuje prawo do wniesienia żądania wymierzenia kary pieniężnej. Żądanie wnosi się za pośrednictwem Burmistrza Śremu w terminie 14 dni od dnia doręczenia decyzji o warunkach zabudowy. Żądanie wniesione po terminie pozostawia się bez rozpoznania.</w:t>
      </w:r>
    </w:p>
    <w:p w14:paraId="7F33FD8C" w14:textId="77777777" w:rsidR="0082709F" w:rsidRPr="0082709F" w:rsidRDefault="0082709F" w:rsidP="0082709F">
      <w:pPr>
        <w:spacing w:after="0" w:line="240" w:lineRule="auto"/>
        <w:ind w:left="354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82709F">
        <w:rPr>
          <w:rFonts w:ascii="Calibri" w:eastAsia="Calibri" w:hAnsi="Calibri" w:cs="Calibri"/>
          <w:kern w:val="2"/>
          <w:sz w:val="28"/>
          <w14:ligatures w14:val="standardContextual"/>
        </w:rPr>
        <w:t>(-) z up. BURMISTRZA</w:t>
      </w:r>
    </w:p>
    <w:p w14:paraId="0892E9FC" w14:textId="77777777" w:rsidR="0082709F" w:rsidRPr="0082709F" w:rsidRDefault="0082709F" w:rsidP="0082709F">
      <w:pPr>
        <w:spacing w:after="0" w:line="240" w:lineRule="auto"/>
        <w:ind w:left="354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82709F">
        <w:rPr>
          <w:rFonts w:ascii="Calibri" w:eastAsia="Calibri" w:hAnsi="Calibri" w:cs="Calibri"/>
          <w:kern w:val="2"/>
          <w:sz w:val="28"/>
          <w14:ligatures w14:val="standardContextual"/>
        </w:rPr>
        <w:t>Katarzyna Bednarowicz</w:t>
      </w:r>
    </w:p>
    <w:p w14:paraId="0727216C" w14:textId="77777777" w:rsidR="0082709F" w:rsidRPr="0082709F" w:rsidRDefault="0082709F" w:rsidP="0082709F">
      <w:pPr>
        <w:spacing w:after="0" w:line="240" w:lineRule="auto"/>
        <w:ind w:left="354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82709F">
        <w:rPr>
          <w:rFonts w:ascii="Calibri" w:eastAsia="Calibri" w:hAnsi="Calibri" w:cs="Calibri"/>
          <w:kern w:val="2"/>
          <w:sz w:val="28"/>
          <w14:ligatures w14:val="standardContextual"/>
        </w:rPr>
        <w:t>naczelnik Pionu Gospodarowania</w:t>
      </w:r>
    </w:p>
    <w:p w14:paraId="0339DA8B" w14:textId="77777777" w:rsidR="0082709F" w:rsidRPr="0082709F" w:rsidRDefault="0082709F" w:rsidP="0082709F">
      <w:pPr>
        <w:spacing w:after="0" w:line="240" w:lineRule="auto"/>
        <w:ind w:left="354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82709F">
        <w:rPr>
          <w:rFonts w:ascii="Calibri" w:eastAsia="Calibri" w:hAnsi="Calibri" w:cs="Calibri"/>
          <w:kern w:val="2"/>
          <w:sz w:val="28"/>
          <w14:ligatures w14:val="standardContextual"/>
        </w:rPr>
        <w:t>Przestrzenią i Środowiskiem</w:t>
      </w:r>
    </w:p>
    <w:p w14:paraId="5D81C3B6" w14:textId="77777777" w:rsidR="0082709F" w:rsidRPr="0082709F" w:rsidRDefault="0082709F" w:rsidP="0082709F">
      <w:pPr>
        <w:spacing w:after="0" w:line="240" w:lineRule="auto"/>
        <w:ind w:left="3540"/>
        <w:jc w:val="center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82709F">
        <w:rPr>
          <w:rFonts w:ascii="Calibri" w:eastAsia="Calibri" w:hAnsi="Calibri" w:cs="Calibri"/>
          <w:kern w:val="2"/>
          <w:sz w:val="28"/>
          <w14:ligatures w14:val="standardContextual"/>
        </w:rPr>
        <w:t>/dokument podpisany elektronicznie/</w:t>
      </w:r>
    </w:p>
    <w:p w14:paraId="2FB80B5B" w14:textId="77777777" w:rsidR="005667E5" w:rsidRPr="005667E5" w:rsidRDefault="005667E5" w:rsidP="005667E5">
      <w:pPr>
        <w:widowControl w:val="0"/>
        <w:autoSpaceDE w:val="0"/>
        <w:autoSpaceDN w:val="0"/>
        <w:adjustRightInd w:val="0"/>
        <w:spacing w:after="120" w:line="240" w:lineRule="auto"/>
        <w:ind w:right="-1"/>
        <w:rPr>
          <w:rFonts w:cstheme="minorHAnsi"/>
          <w:sz w:val="28"/>
          <w:szCs w:val="28"/>
        </w:rPr>
      </w:pPr>
    </w:p>
    <w:p w14:paraId="429866C5" w14:textId="77777777" w:rsidR="005667E5" w:rsidRPr="005667E5" w:rsidRDefault="005667E5" w:rsidP="005667E5">
      <w:pPr>
        <w:widowControl w:val="0"/>
        <w:autoSpaceDE w:val="0"/>
        <w:autoSpaceDN w:val="0"/>
        <w:adjustRightInd w:val="0"/>
        <w:spacing w:after="120" w:line="240" w:lineRule="auto"/>
        <w:ind w:right="-1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Załączniki:</w:t>
      </w:r>
    </w:p>
    <w:p w14:paraId="6BAB5CB2" w14:textId="77777777" w:rsidR="005667E5" w:rsidRPr="005667E5" w:rsidRDefault="005667E5" w:rsidP="005667E5">
      <w:pPr>
        <w:numPr>
          <w:ilvl w:val="0"/>
          <w:numId w:val="14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załącznik nr 1 – część graficzna decyzji,</w:t>
      </w:r>
    </w:p>
    <w:p w14:paraId="07D0461B" w14:textId="254D26FC" w:rsidR="002F0F3C" w:rsidRPr="0082709F" w:rsidRDefault="005667E5" w:rsidP="0082709F">
      <w:pPr>
        <w:numPr>
          <w:ilvl w:val="0"/>
          <w:numId w:val="14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załącznik nr 2 – dane osobowe Stron postępowania (w aktach sprawy).</w:t>
      </w:r>
    </w:p>
    <w:p w14:paraId="0874FDFE" w14:textId="136AEB44" w:rsidR="005667E5" w:rsidRPr="005667E5" w:rsidRDefault="005667E5" w:rsidP="005667E5">
      <w:pPr>
        <w:spacing w:after="0" w:line="240" w:lineRule="auto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lastRenderedPageBreak/>
        <w:t>Sprawę prowadzi:</w:t>
      </w:r>
    </w:p>
    <w:p w14:paraId="0B40A14A" w14:textId="77777777" w:rsidR="005667E5" w:rsidRPr="005667E5" w:rsidRDefault="005667E5" w:rsidP="005667E5">
      <w:pPr>
        <w:spacing w:after="0" w:line="240" w:lineRule="auto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Monika Grzegorek-Wlazły</w:t>
      </w:r>
    </w:p>
    <w:p w14:paraId="49784735" w14:textId="77777777" w:rsidR="005667E5" w:rsidRPr="005667E5" w:rsidRDefault="005667E5" w:rsidP="005667E5">
      <w:pPr>
        <w:spacing w:after="0" w:line="240" w:lineRule="auto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inspektor</w:t>
      </w:r>
    </w:p>
    <w:p w14:paraId="2650A65B" w14:textId="77777777" w:rsidR="005667E5" w:rsidRPr="005667E5" w:rsidRDefault="005667E5" w:rsidP="005667E5">
      <w:pPr>
        <w:spacing w:after="0" w:line="240" w:lineRule="auto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tel. 61 28 47 123</w:t>
      </w:r>
    </w:p>
    <w:p w14:paraId="7F0AAC53" w14:textId="77777777" w:rsidR="005667E5" w:rsidRPr="005667E5" w:rsidRDefault="005667E5" w:rsidP="005667E5">
      <w:pPr>
        <w:spacing w:after="120" w:line="240" w:lineRule="auto"/>
        <w:rPr>
          <w:rFonts w:cstheme="minorHAnsi"/>
          <w:sz w:val="28"/>
          <w:szCs w:val="28"/>
        </w:rPr>
      </w:pPr>
    </w:p>
    <w:p w14:paraId="5781DFFE" w14:textId="77777777" w:rsidR="005667E5" w:rsidRPr="005667E5" w:rsidRDefault="005667E5" w:rsidP="005667E5">
      <w:pPr>
        <w:spacing w:after="120" w:line="240" w:lineRule="auto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Otrzymują:</w:t>
      </w:r>
    </w:p>
    <w:p w14:paraId="2C7AE638" w14:textId="77777777" w:rsidR="005667E5" w:rsidRPr="005667E5" w:rsidRDefault="005667E5" w:rsidP="005667E5">
      <w:pPr>
        <w:numPr>
          <w:ilvl w:val="0"/>
          <w:numId w:val="20"/>
        </w:numPr>
        <w:tabs>
          <w:tab w:val="left" w:pos="851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Strony postępowania zgodnie z załącznikiem nr 2 do decyzji</w:t>
      </w:r>
    </w:p>
    <w:p w14:paraId="01DECF1C" w14:textId="77777777" w:rsidR="005667E5" w:rsidRPr="005667E5" w:rsidRDefault="005667E5" w:rsidP="005667E5">
      <w:pPr>
        <w:numPr>
          <w:ilvl w:val="0"/>
          <w:numId w:val="20"/>
        </w:numPr>
        <w:tabs>
          <w:tab w:val="left" w:pos="851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5667E5">
        <w:rPr>
          <w:rFonts w:cstheme="minorHAnsi"/>
          <w:sz w:val="28"/>
          <w:szCs w:val="28"/>
        </w:rPr>
        <w:t>Aa</w:t>
      </w:r>
    </w:p>
    <w:p w14:paraId="5BBC13B3" w14:textId="77777777" w:rsidR="005667E5" w:rsidRPr="005667E5" w:rsidRDefault="005667E5" w:rsidP="005667E5">
      <w:pPr>
        <w:tabs>
          <w:tab w:val="left" w:pos="851"/>
        </w:tabs>
        <w:spacing w:after="120" w:line="240" w:lineRule="auto"/>
        <w:ind w:left="720"/>
        <w:contextualSpacing/>
        <w:rPr>
          <w:rFonts w:cstheme="minorHAnsi"/>
          <w:sz w:val="28"/>
          <w:szCs w:val="28"/>
        </w:rPr>
      </w:pPr>
    </w:p>
    <w:p w14:paraId="594CB283" w14:textId="77777777" w:rsidR="005667E5" w:rsidRPr="005667E5" w:rsidRDefault="005667E5" w:rsidP="005667E5">
      <w:pPr>
        <w:spacing w:after="120" w:line="240" w:lineRule="auto"/>
        <w:rPr>
          <w:rFonts w:cstheme="minorHAnsi"/>
          <w:sz w:val="2"/>
          <w:szCs w:val="2"/>
        </w:rPr>
      </w:pPr>
      <w:r w:rsidRPr="005667E5">
        <w:rPr>
          <w:rFonts w:cstheme="minorHAnsi"/>
          <w:sz w:val="28"/>
          <w:szCs w:val="28"/>
        </w:rPr>
        <w:t>Decyzja zwolniona od opłaty skarbowej zgodnie z załącznikiem do ustawy z dnia 16 listopada 2006 r. o opłacie skarbowej (Dz. U. z 2023 r. poz. 2111 i z 2024 r. poz. 1222 i 1757) część I ust. 8.</w:t>
      </w:r>
      <w:bookmarkEnd w:id="2"/>
      <w:r w:rsidRPr="005667E5">
        <w:rPr>
          <w:rFonts w:cstheme="minorHAnsi"/>
          <w:sz w:val="2"/>
          <w:szCs w:val="2"/>
        </w:rPr>
        <w:t xml:space="preserve"> </w:t>
      </w:r>
    </w:p>
    <w:p w14:paraId="146394D9" w14:textId="55F04E9D" w:rsidR="00303518" w:rsidRDefault="009F4126" w:rsidP="00303518">
      <w:pPr>
        <w:rPr>
          <w:rFonts w:eastAsia="Calibri" w:cstheme="minorHAnsi"/>
          <w:sz w:val="28"/>
          <w:szCs w:val="28"/>
        </w:rPr>
        <w:sectPr w:rsidR="00303518" w:rsidSect="00ED48F7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>
        <w:rPr>
          <w:rFonts w:eastAsia="Calibri" w:cstheme="minorHAnsi"/>
          <w:sz w:val="28"/>
          <w:szCs w:val="28"/>
        </w:rPr>
        <w:br w:type="page"/>
      </w:r>
    </w:p>
    <w:p w14:paraId="683E1291" w14:textId="4233BD41" w:rsidR="005667E5" w:rsidRPr="00F15E46" w:rsidRDefault="00303518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2E935DF0" wp14:editId="280BCE77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9144000" cy="13098145"/>
            <wp:effectExtent l="0" t="0" r="0" b="0"/>
            <wp:wrapSquare wrapText="bothSides"/>
            <wp:docPr id="1367852972" name="Obraz 1" descr="Obraz zawierający tekst, mapa, diagram, Plan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852972" name="Obraz 1" descr="Obraz zawierający tekst, mapa, diagram, Plan&#10;&#10;Zawartość wygenerowana przez sztuczną inteligencję może być niepoprawna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13098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667E5" w:rsidRPr="00F15E46" w:rsidSect="00303518">
      <w:pgSz w:w="16838" w:h="23811" w:code="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69279" w14:textId="77777777" w:rsidR="00E32C95" w:rsidRDefault="00E32C95" w:rsidP="00053E5A">
      <w:pPr>
        <w:spacing w:after="0" w:line="240" w:lineRule="auto"/>
      </w:pPr>
      <w:r>
        <w:separator/>
      </w:r>
    </w:p>
  </w:endnote>
  <w:endnote w:type="continuationSeparator" w:id="0">
    <w:p w14:paraId="0FBCE5EE" w14:textId="77777777" w:rsidR="00E32C95" w:rsidRDefault="00E32C9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276886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sdt>
        <w:sdtPr>
          <w:rPr>
            <w:sz w:val="28"/>
            <w:szCs w:val="28"/>
          </w:rPr>
          <w:id w:val="-934677944"/>
          <w:docPartObj>
            <w:docPartGallery w:val="Page Numbers (Top of Page)"/>
            <w:docPartUnique/>
          </w:docPartObj>
        </w:sdtPr>
        <w:sdtContent>
          <w:p w14:paraId="0340D4FD" w14:textId="10D72148" w:rsidR="004D6B2B" w:rsidRPr="00675339" w:rsidRDefault="002F0F3C" w:rsidP="00675339">
            <w:pPr>
              <w:pStyle w:val="Stopka"/>
              <w:jc w:val="center"/>
              <w:rPr>
                <w:sz w:val="28"/>
                <w:szCs w:val="28"/>
              </w:rPr>
            </w:pPr>
            <w:r w:rsidRPr="002F0F3C">
              <w:rPr>
                <w:sz w:val="28"/>
                <w:szCs w:val="28"/>
              </w:rPr>
              <w:t xml:space="preserve">Strona </w:t>
            </w:r>
            <w:r w:rsidRPr="002F0F3C">
              <w:rPr>
                <w:sz w:val="32"/>
                <w:szCs w:val="32"/>
              </w:rPr>
              <w:fldChar w:fldCharType="begin"/>
            </w:r>
            <w:r w:rsidRPr="002F0F3C">
              <w:rPr>
                <w:sz w:val="28"/>
                <w:szCs w:val="28"/>
              </w:rPr>
              <w:instrText>PAGE</w:instrText>
            </w:r>
            <w:r w:rsidRPr="002F0F3C">
              <w:rPr>
                <w:sz w:val="32"/>
                <w:szCs w:val="32"/>
              </w:rPr>
              <w:fldChar w:fldCharType="separate"/>
            </w:r>
            <w:r w:rsidRPr="002F0F3C">
              <w:rPr>
                <w:sz w:val="28"/>
                <w:szCs w:val="28"/>
              </w:rPr>
              <w:t>2</w:t>
            </w:r>
            <w:r w:rsidRPr="002F0F3C">
              <w:rPr>
                <w:sz w:val="32"/>
                <w:szCs w:val="32"/>
              </w:rPr>
              <w:fldChar w:fldCharType="end"/>
            </w:r>
            <w:r w:rsidRPr="002F0F3C">
              <w:rPr>
                <w:sz w:val="28"/>
                <w:szCs w:val="28"/>
              </w:rPr>
              <w:t xml:space="preserve"> z </w:t>
            </w:r>
            <w:r w:rsidR="00E75795">
              <w:rPr>
                <w:sz w:val="32"/>
                <w:szCs w:val="32"/>
              </w:rPr>
              <w:t>14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F954F" w14:textId="36E83420" w:rsidR="00F02844" w:rsidRPr="00F02844" w:rsidRDefault="00F02844" w:rsidP="00F028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C4E04" w14:textId="77777777" w:rsidR="00E32C95" w:rsidRDefault="00E32C95" w:rsidP="00053E5A">
      <w:pPr>
        <w:spacing w:after="0" w:line="240" w:lineRule="auto"/>
      </w:pPr>
      <w:r>
        <w:separator/>
      </w:r>
    </w:p>
  </w:footnote>
  <w:footnote w:type="continuationSeparator" w:id="0">
    <w:p w14:paraId="4A385C66" w14:textId="77777777" w:rsidR="00E32C95" w:rsidRDefault="00E32C95" w:rsidP="00053E5A">
      <w:pPr>
        <w:spacing w:after="0" w:line="240" w:lineRule="auto"/>
      </w:pPr>
      <w:r>
        <w:continuationSeparator/>
      </w:r>
    </w:p>
  </w:footnote>
  <w:footnote w:id="1">
    <w:p w14:paraId="4842071F" w14:textId="5A1BB93E" w:rsidR="00F15E46" w:rsidRPr="000A6696" w:rsidRDefault="00F15E46" w:rsidP="009F6A6D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 w:rsidR="009F6A6D" w:rsidRPr="00AC161D">
        <w:rPr>
          <w:rFonts w:cstheme="minorHAnsi"/>
          <w:sz w:val="28"/>
          <w:szCs w:val="28"/>
        </w:rPr>
        <w:t xml:space="preserve">Podstawa prawna: art. 53 ust. 1c </w:t>
      </w:r>
      <w:r w:rsidR="009F6A6D">
        <w:rPr>
          <w:rFonts w:cstheme="minorHAnsi"/>
          <w:sz w:val="28"/>
          <w:szCs w:val="28"/>
        </w:rPr>
        <w:t xml:space="preserve">w związku z art. 64 ust. 1 </w:t>
      </w:r>
      <w:r w:rsidR="00B02A2A">
        <w:rPr>
          <w:rFonts w:cstheme="minorHAnsi"/>
          <w:sz w:val="28"/>
          <w:szCs w:val="28"/>
        </w:rPr>
        <w:t xml:space="preserve">oraz art. 66a </w:t>
      </w:r>
      <w:r w:rsidR="009F6A6D" w:rsidRPr="00AC161D">
        <w:rPr>
          <w:rFonts w:cstheme="minorHAnsi"/>
          <w:sz w:val="28"/>
          <w:szCs w:val="28"/>
        </w:rPr>
        <w:t>ustawy z dnia 27</w:t>
      </w:r>
      <w:r w:rsidR="009F6A6D">
        <w:rPr>
          <w:rFonts w:cstheme="minorHAnsi"/>
          <w:sz w:val="28"/>
          <w:szCs w:val="28"/>
        </w:rPr>
        <w:t> </w:t>
      </w:r>
      <w:r w:rsidR="009F6A6D" w:rsidRPr="00AC161D">
        <w:rPr>
          <w:rFonts w:cstheme="minorHAnsi"/>
          <w:sz w:val="28"/>
          <w:szCs w:val="28"/>
        </w:rPr>
        <w:t>marca 2003 r. o planowaniu i zagospodarowaniu przestrzennym (</w:t>
      </w:r>
      <w:r w:rsidR="009F6A6D" w:rsidRPr="00AC161D">
        <w:rPr>
          <w:sz w:val="28"/>
          <w:szCs w:val="28"/>
        </w:rPr>
        <w:t>Dz. U. z</w:t>
      </w:r>
      <w:r w:rsidR="009F6A6D">
        <w:rPr>
          <w:sz w:val="28"/>
          <w:szCs w:val="28"/>
        </w:rPr>
        <w:t> </w:t>
      </w:r>
      <w:r w:rsidR="009F6A6D" w:rsidRPr="00AC161D">
        <w:rPr>
          <w:sz w:val="28"/>
          <w:szCs w:val="28"/>
        </w:rPr>
        <w:t>202</w:t>
      </w:r>
      <w:r w:rsidR="009F6A6D">
        <w:rPr>
          <w:sz w:val="28"/>
          <w:szCs w:val="28"/>
        </w:rPr>
        <w:t>4</w:t>
      </w:r>
      <w:r w:rsidR="009F6A6D" w:rsidRPr="00AC161D">
        <w:rPr>
          <w:sz w:val="28"/>
          <w:szCs w:val="28"/>
        </w:rPr>
        <w:t xml:space="preserve"> r. poz. </w:t>
      </w:r>
      <w:r w:rsidR="009F6A6D">
        <w:rPr>
          <w:sz w:val="28"/>
          <w:szCs w:val="28"/>
        </w:rPr>
        <w:t>1130, 1907 i 1940</w:t>
      </w:r>
      <w:r w:rsidR="009F6A6D" w:rsidRPr="00AC161D">
        <w:rPr>
          <w:rFonts w:cstheme="minorHAnsi"/>
          <w:sz w:val="28"/>
          <w:szCs w:val="28"/>
        </w:rPr>
        <w:t>).</w:t>
      </w:r>
    </w:p>
  </w:footnote>
  <w:footnote w:id="2">
    <w:p w14:paraId="6E693F6D" w14:textId="77777777" w:rsidR="005667E5" w:rsidRPr="00642B11" w:rsidRDefault="005667E5" w:rsidP="005667E5">
      <w:pPr>
        <w:pStyle w:val="Tekstprzypisudolnego"/>
        <w:rPr>
          <w:rFonts w:cstheme="minorHAnsi"/>
          <w:sz w:val="28"/>
          <w:szCs w:val="28"/>
        </w:rPr>
      </w:pPr>
      <w:r w:rsidRPr="00EE5F25">
        <w:rPr>
          <w:rStyle w:val="Odwoanieprzypisudolnego"/>
          <w:sz w:val="28"/>
          <w:szCs w:val="28"/>
        </w:rPr>
        <w:footnoteRef/>
      </w:r>
      <w:r w:rsidRPr="00EE5F25">
        <w:rPr>
          <w:sz w:val="28"/>
          <w:szCs w:val="28"/>
        </w:rPr>
        <w:t xml:space="preserve"> </w:t>
      </w:r>
      <w:r w:rsidRPr="00642B11">
        <w:rPr>
          <w:rFonts w:cstheme="minorHAnsi"/>
          <w:sz w:val="28"/>
          <w:szCs w:val="28"/>
        </w:rPr>
        <w:t xml:space="preserve">Stosownie do art. 61 ust. 5a zdanie drugie u.p.z.p. przez front terenu należy rozumieć tę część granicy działki budowlanej, która przylega do drogi publicznej lub wewnętrznej, z której odbywa się główny wjazd na działkę. </w:t>
      </w:r>
      <w:r w:rsidRPr="00642B11">
        <w:rPr>
          <w:rFonts w:cstheme="minorHAnsi"/>
          <w:sz w:val="28"/>
          <w:szCs w:val="22"/>
          <w:shd w:val="clear" w:color="auto" w:fill="FFFFFF"/>
        </w:rPr>
        <w:t>Z</w:t>
      </w:r>
      <w:r>
        <w:rPr>
          <w:rFonts w:cstheme="minorHAnsi"/>
          <w:sz w:val="28"/>
          <w:szCs w:val="22"/>
          <w:shd w:val="clear" w:color="auto" w:fill="FFFFFF"/>
        </w:rPr>
        <w:t> </w:t>
      </w:r>
      <w:r w:rsidRPr="00642B11">
        <w:rPr>
          <w:rFonts w:cstheme="minorHAnsi"/>
          <w:sz w:val="28"/>
          <w:szCs w:val="22"/>
          <w:shd w:val="clear" w:color="auto" w:fill="FFFFFF"/>
        </w:rPr>
        <w:t xml:space="preserve">kolei </w:t>
      </w:r>
      <w:r w:rsidRPr="00642B11">
        <w:rPr>
          <w:rFonts w:cstheme="minorHAnsi"/>
          <w:sz w:val="28"/>
          <w:szCs w:val="28"/>
        </w:rPr>
        <w:t>szerokoś</w:t>
      </w:r>
      <w:r>
        <w:rPr>
          <w:rFonts w:cstheme="minorHAnsi"/>
          <w:sz w:val="28"/>
          <w:szCs w:val="28"/>
        </w:rPr>
        <w:t>ć</w:t>
      </w:r>
      <w:r w:rsidRPr="00642B11">
        <w:rPr>
          <w:rFonts w:cstheme="minorHAnsi"/>
          <w:sz w:val="28"/>
          <w:szCs w:val="28"/>
        </w:rPr>
        <w:t xml:space="preserve"> elewacji frontowej określa linia prosta łącząca dwa najdalej oddalone od siebie punkty w widoku budynku od strony frontu </w:t>
      </w:r>
      <w:r>
        <w:rPr>
          <w:rFonts w:cstheme="minorHAnsi"/>
          <w:sz w:val="28"/>
          <w:szCs w:val="28"/>
        </w:rPr>
        <w:t>terenu</w:t>
      </w:r>
      <w:r w:rsidRPr="00642B11">
        <w:rPr>
          <w:rFonts w:cstheme="minorHAnsi"/>
          <w:sz w:val="28"/>
          <w:szCs w:val="28"/>
        </w:rPr>
        <w:t>.</w:t>
      </w:r>
      <w:r w:rsidRPr="00F1665B">
        <w:rPr>
          <w:rFonts w:cstheme="minorHAnsi"/>
          <w:sz w:val="28"/>
          <w:szCs w:val="28"/>
        </w:rPr>
        <w:t xml:space="preserve"> </w:t>
      </w:r>
      <w:r w:rsidRPr="00642B11">
        <w:rPr>
          <w:rFonts w:cstheme="minorHAnsi"/>
          <w:sz w:val="28"/>
          <w:szCs w:val="28"/>
        </w:rPr>
        <w:t xml:space="preserve">Front </w:t>
      </w:r>
      <w:r>
        <w:rPr>
          <w:rFonts w:cstheme="minorHAnsi"/>
          <w:sz w:val="28"/>
          <w:szCs w:val="28"/>
        </w:rPr>
        <w:t xml:space="preserve">terenu </w:t>
      </w:r>
      <w:r w:rsidRPr="00642B11">
        <w:rPr>
          <w:rFonts w:cstheme="minorHAnsi"/>
          <w:sz w:val="28"/>
          <w:szCs w:val="28"/>
        </w:rPr>
        <w:t>został oznaczony w załączniku nr 1 do decyzji.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023CD3BD" w:rsidR="007C6800" w:rsidRPr="007C6800" w:rsidRDefault="007C6800" w:rsidP="007C68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E9C37" w14:textId="6F5FB1E3" w:rsidR="00F02844" w:rsidRDefault="00F02844" w:rsidP="005F23DE">
    <w:pPr>
      <w:pStyle w:val="Nagwek"/>
      <w:tabs>
        <w:tab w:val="clear" w:pos="9072"/>
      </w:tabs>
    </w:pPr>
    <w:r>
      <w:tab/>
    </w:r>
  </w:p>
  <w:p w14:paraId="333BA95F" w14:textId="77777777" w:rsidR="00F02844" w:rsidRDefault="00F02844" w:rsidP="007C6800">
    <w:pPr>
      <w:pStyle w:val="Nagwek"/>
    </w:pPr>
  </w:p>
  <w:p w14:paraId="12DD6E9E" w14:textId="77777777" w:rsidR="00F02844" w:rsidRPr="007C6800" w:rsidRDefault="00F02844" w:rsidP="007C68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27027"/>
    <w:multiLevelType w:val="hybridMultilevel"/>
    <w:tmpl w:val="5A7CD354"/>
    <w:lvl w:ilvl="0" w:tplc="60921F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962FD"/>
    <w:multiLevelType w:val="hybridMultilevel"/>
    <w:tmpl w:val="F28A3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7510A"/>
    <w:multiLevelType w:val="hybridMultilevel"/>
    <w:tmpl w:val="E5245852"/>
    <w:lvl w:ilvl="0" w:tplc="943C66D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C4FF2"/>
    <w:multiLevelType w:val="hybridMultilevel"/>
    <w:tmpl w:val="D9309E6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C5145A"/>
    <w:multiLevelType w:val="hybridMultilevel"/>
    <w:tmpl w:val="6110FA96"/>
    <w:lvl w:ilvl="0" w:tplc="43380A3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A846E0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D33D84"/>
    <w:multiLevelType w:val="hybridMultilevel"/>
    <w:tmpl w:val="7048E2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F44C55"/>
    <w:multiLevelType w:val="hybridMultilevel"/>
    <w:tmpl w:val="1A185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F9398B"/>
    <w:multiLevelType w:val="hybridMultilevel"/>
    <w:tmpl w:val="2B0610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7053C7"/>
    <w:multiLevelType w:val="hybridMultilevel"/>
    <w:tmpl w:val="72D83D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944FC3"/>
    <w:multiLevelType w:val="hybridMultilevel"/>
    <w:tmpl w:val="EC7AC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5F37"/>
    <w:multiLevelType w:val="hybridMultilevel"/>
    <w:tmpl w:val="3D4E3C0A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D18EB346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DF51D5"/>
    <w:multiLevelType w:val="hybridMultilevel"/>
    <w:tmpl w:val="63DA4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E1C86"/>
    <w:multiLevelType w:val="hybridMultilevel"/>
    <w:tmpl w:val="E5EE65B6"/>
    <w:lvl w:ilvl="0" w:tplc="95C29E9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831689"/>
    <w:multiLevelType w:val="hybridMultilevel"/>
    <w:tmpl w:val="C2F6C9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AC2B5F"/>
    <w:multiLevelType w:val="hybridMultilevel"/>
    <w:tmpl w:val="8068B9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716C31"/>
    <w:multiLevelType w:val="hybridMultilevel"/>
    <w:tmpl w:val="B796A2F6"/>
    <w:lvl w:ilvl="0" w:tplc="04150017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23"/>
  </w:num>
  <w:num w:numId="2" w16cid:durableId="239680716">
    <w:abstractNumId w:val="1"/>
  </w:num>
  <w:num w:numId="3" w16cid:durableId="590742254">
    <w:abstractNumId w:val="5"/>
  </w:num>
  <w:num w:numId="4" w16cid:durableId="978650360">
    <w:abstractNumId w:val="13"/>
  </w:num>
  <w:num w:numId="5" w16cid:durableId="422339757">
    <w:abstractNumId w:val="3"/>
  </w:num>
  <w:num w:numId="6" w16cid:durableId="2134326973">
    <w:abstractNumId w:val="12"/>
  </w:num>
  <w:num w:numId="7" w16cid:durableId="214321100">
    <w:abstractNumId w:val="6"/>
  </w:num>
  <w:num w:numId="8" w16cid:durableId="528764910">
    <w:abstractNumId w:val="20"/>
  </w:num>
  <w:num w:numId="9" w16cid:durableId="185992604">
    <w:abstractNumId w:val="8"/>
  </w:num>
  <w:num w:numId="10" w16cid:durableId="1638073007">
    <w:abstractNumId w:val="10"/>
  </w:num>
  <w:num w:numId="11" w16cid:durableId="1840073599">
    <w:abstractNumId w:val="21"/>
  </w:num>
  <w:num w:numId="12" w16cid:durableId="88548713">
    <w:abstractNumId w:val="4"/>
  </w:num>
  <w:num w:numId="13" w16cid:durableId="1186402230">
    <w:abstractNumId w:val="14"/>
  </w:num>
  <w:num w:numId="14" w16cid:durableId="1871340381">
    <w:abstractNumId w:val="25"/>
  </w:num>
  <w:num w:numId="15" w16cid:durableId="1382440243">
    <w:abstractNumId w:val="15"/>
  </w:num>
  <w:num w:numId="16" w16cid:durableId="665287664">
    <w:abstractNumId w:val="19"/>
  </w:num>
  <w:num w:numId="17" w16cid:durableId="480656714">
    <w:abstractNumId w:val="2"/>
  </w:num>
  <w:num w:numId="18" w16cid:durableId="1834373377">
    <w:abstractNumId w:val="17"/>
  </w:num>
  <w:num w:numId="19" w16cid:durableId="644508064">
    <w:abstractNumId w:val="11"/>
  </w:num>
  <w:num w:numId="20" w16cid:durableId="117337033">
    <w:abstractNumId w:val="16"/>
  </w:num>
  <w:num w:numId="21" w16cid:durableId="581914794">
    <w:abstractNumId w:val="22"/>
  </w:num>
  <w:num w:numId="22" w16cid:durableId="247809102">
    <w:abstractNumId w:val="0"/>
  </w:num>
  <w:num w:numId="23" w16cid:durableId="2015723094">
    <w:abstractNumId w:val="24"/>
  </w:num>
  <w:num w:numId="24" w16cid:durableId="498156259">
    <w:abstractNumId w:val="18"/>
  </w:num>
  <w:num w:numId="25" w16cid:durableId="669405819">
    <w:abstractNumId w:val="7"/>
  </w:num>
  <w:num w:numId="26" w16cid:durableId="132743478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3048"/>
    <w:rsid w:val="0004093B"/>
    <w:rsid w:val="00053E5A"/>
    <w:rsid w:val="00062BFD"/>
    <w:rsid w:val="00070C59"/>
    <w:rsid w:val="00096CEA"/>
    <w:rsid w:val="000A055D"/>
    <w:rsid w:val="000A6696"/>
    <w:rsid w:val="000B3982"/>
    <w:rsid w:val="000D6CEE"/>
    <w:rsid w:val="00113ED1"/>
    <w:rsid w:val="00114047"/>
    <w:rsid w:val="00117823"/>
    <w:rsid w:val="00181A6F"/>
    <w:rsid w:val="00182F38"/>
    <w:rsid w:val="001A1B1C"/>
    <w:rsid w:val="001B7431"/>
    <w:rsid w:val="001B7825"/>
    <w:rsid w:val="001C396E"/>
    <w:rsid w:val="00250690"/>
    <w:rsid w:val="00267B6E"/>
    <w:rsid w:val="002B3949"/>
    <w:rsid w:val="002C3AE8"/>
    <w:rsid w:val="002E62F5"/>
    <w:rsid w:val="002F0F3C"/>
    <w:rsid w:val="002F4746"/>
    <w:rsid w:val="00303518"/>
    <w:rsid w:val="00321C17"/>
    <w:rsid w:val="00322A2A"/>
    <w:rsid w:val="00324978"/>
    <w:rsid w:val="00340D4C"/>
    <w:rsid w:val="00351A5D"/>
    <w:rsid w:val="00361824"/>
    <w:rsid w:val="00361C2F"/>
    <w:rsid w:val="0037130C"/>
    <w:rsid w:val="003A7631"/>
    <w:rsid w:val="003B39DE"/>
    <w:rsid w:val="003D719D"/>
    <w:rsid w:val="003F2669"/>
    <w:rsid w:val="00403140"/>
    <w:rsid w:val="00413992"/>
    <w:rsid w:val="00414127"/>
    <w:rsid w:val="00417ADE"/>
    <w:rsid w:val="004519AC"/>
    <w:rsid w:val="0048459B"/>
    <w:rsid w:val="004857C5"/>
    <w:rsid w:val="004923FA"/>
    <w:rsid w:val="004A669E"/>
    <w:rsid w:val="004D6B2B"/>
    <w:rsid w:val="004F5C3C"/>
    <w:rsid w:val="005144C8"/>
    <w:rsid w:val="00525346"/>
    <w:rsid w:val="00534F27"/>
    <w:rsid w:val="00540050"/>
    <w:rsid w:val="00556F62"/>
    <w:rsid w:val="005667E5"/>
    <w:rsid w:val="00567910"/>
    <w:rsid w:val="005811F1"/>
    <w:rsid w:val="0058146E"/>
    <w:rsid w:val="005E5887"/>
    <w:rsid w:val="005F048F"/>
    <w:rsid w:val="005F23DE"/>
    <w:rsid w:val="005F3827"/>
    <w:rsid w:val="00613E9B"/>
    <w:rsid w:val="00621596"/>
    <w:rsid w:val="0064236B"/>
    <w:rsid w:val="00675339"/>
    <w:rsid w:val="00697E33"/>
    <w:rsid w:val="006A0A4F"/>
    <w:rsid w:val="006A2EB4"/>
    <w:rsid w:val="006A6F3E"/>
    <w:rsid w:val="006E23B5"/>
    <w:rsid w:val="007159FB"/>
    <w:rsid w:val="00716C65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04187"/>
    <w:rsid w:val="00811348"/>
    <w:rsid w:val="0081559F"/>
    <w:rsid w:val="00816EEC"/>
    <w:rsid w:val="0082337D"/>
    <w:rsid w:val="0082709F"/>
    <w:rsid w:val="00832B24"/>
    <w:rsid w:val="008573F5"/>
    <w:rsid w:val="00864A14"/>
    <w:rsid w:val="00886E45"/>
    <w:rsid w:val="008B0BDB"/>
    <w:rsid w:val="008F0E0D"/>
    <w:rsid w:val="00903DCA"/>
    <w:rsid w:val="00914133"/>
    <w:rsid w:val="00917C21"/>
    <w:rsid w:val="00923B5B"/>
    <w:rsid w:val="00927B78"/>
    <w:rsid w:val="009376CE"/>
    <w:rsid w:val="00945706"/>
    <w:rsid w:val="0096051E"/>
    <w:rsid w:val="00960B4A"/>
    <w:rsid w:val="009614DC"/>
    <w:rsid w:val="00966E35"/>
    <w:rsid w:val="009B506A"/>
    <w:rsid w:val="009C2FDF"/>
    <w:rsid w:val="009F4126"/>
    <w:rsid w:val="009F6A6D"/>
    <w:rsid w:val="00A5187D"/>
    <w:rsid w:val="00A63C98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B02A2A"/>
    <w:rsid w:val="00B15B2E"/>
    <w:rsid w:val="00B16EAA"/>
    <w:rsid w:val="00B2252F"/>
    <w:rsid w:val="00B713C5"/>
    <w:rsid w:val="00B81160"/>
    <w:rsid w:val="00B82124"/>
    <w:rsid w:val="00B91287"/>
    <w:rsid w:val="00B95B1E"/>
    <w:rsid w:val="00BA2D41"/>
    <w:rsid w:val="00BD2D28"/>
    <w:rsid w:val="00C0542A"/>
    <w:rsid w:val="00C17872"/>
    <w:rsid w:val="00C2361B"/>
    <w:rsid w:val="00C245E0"/>
    <w:rsid w:val="00CA5F5B"/>
    <w:rsid w:val="00D062C0"/>
    <w:rsid w:val="00D21019"/>
    <w:rsid w:val="00D21AAD"/>
    <w:rsid w:val="00D22CF4"/>
    <w:rsid w:val="00D27297"/>
    <w:rsid w:val="00D55818"/>
    <w:rsid w:val="00D5644A"/>
    <w:rsid w:val="00D60D3B"/>
    <w:rsid w:val="00D8404E"/>
    <w:rsid w:val="00D9141F"/>
    <w:rsid w:val="00DB7013"/>
    <w:rsid w:val="00DB78C9"/>
    <w:rsid w:val="00DD6D0D"/>
    <w:rsid w:val="00DE72C2"/>
    <w:rsid w:val="00E12D70"/>
    <w:rsid w:val="00E2753F"/>
    <w:rsid w:val="00E32C95"/>
    <w:rsid w:val="00E34C2B"/>
    <w:rsid w:val="00E42770"/>
    <w:rsid w:val="00E55427"/>
    <w:rsid w:val="00E73F34"/>
    <w:rsid w:val="00E74034"/>
    <w:rsid w:val="00E75795"/>
    <w:rsid w:val="00E75F3A"/>
    <w:rsid w:val="00E96AAF"/>
    <w:rsid w:val="00EA2C60"/>
    <w:rsid w:val="00EC6D4F"/>
    <w:rsid w:val="00ED4662"/>
    <w:rsid w:val="00ED48F7"/>
    <w:rsid w:val="00EE1943"/>
    <w:rsid w:val="00F021E2"/>
    <w:rsid w:val="00F02844"/>
    <w:rsid w:val="00F04BF4"/>
    <w:rsid w:val="00F15E46"/>
    <w:rsid w:val="00F43B75"/>
    <w:rsid w:val="00F73F5D"/>
    <w:rsid w:val="00F824E4"/>
    <w:rsid w:val="00FA1A51"/>
    <w:rsid w:val="00FD4758"/>
    <w:rsid w:val="00FD71FB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67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3906</Words>
  <Characters>23438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19</cp:revision>
  <cp:lastPrinted>2020-02-11T13:09:00Z</cp:lastPrinted>
  <dcterms:created xsi:type="dcterms:W3CDTF">2025-03-24T10:55:00Z</dcterms:created>
  <dcterms:modified xsi:type="dcterms:W3CDTF">2025-03-25T09:49:00Z</dcterms:modified>
</cp:coreProperties>
</file>