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6318C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73E1558A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7BDCA7AD" w14:textId="77777777" w:rsidR="00D55CB4" w:rsidRPr="00CF716F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Burmistrz Śremu</w:t>
      </w:r>
    </w:p>
    <w:p w14:paraId="5B199CD8" w14:textId="77777777" w:rsidR="00D55CB4" w:rsidRPr="00CF716F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ul. Plac 20 Października 1</w:t>
      </w:r>
    </w:p>
    <w:p w14:paraId="00A2F432" w14:textId="77777777" w:rsidR="00D55CB4" w:rsidRPr="00CF1D73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63 – 100 Śrem</w:t>
      </w:r>
    </w:p>
    <w:p w14:paraId="3835AF3B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6EA0EA67" w14:textId="0469841B" w:rsidR="001D5E06" w:rsidRDefault="00D55CB4" w:rsidP="00D55CB4">
      <w:pPr>
        <w:jc w:val="right"/>
        <w:rPr>
          <w:rFonts w:cstheme="minorHAnsi"/>
          <w:szCs w:val="28"/>
        </w:rPr>
      </w:pPr>
      <w:r>
        <w:rPr>
          <w:rFonts w:cstheme="minorHAnsi"/>
          <w:szCs w:val="28"/>
        </w:rPr>
        <w:t>Śrem, 14 kwietnia 202</w:t>
      </w:r>
      <w:r w:rsidR="0037316F">
        <w:rPr>
          <w:rFonts w:cstheme="minorHAnsi"/>
          <w:szCs w:val="28"/>
        </w:rPr>
        <w:t>5</w:t>
      </w:r>
      <w:r>
        <w:rPr>
          <w:rFonts w:cstheme="minorHAnsi"/>
          <w:szCs w:val="28"/>
        </w:rPr>
        <w:t xml:space="preserve"> roku</w:t>
      </w:r>
    </w:p>
    <w:p w14:paraId="42C6B2D6" w14:textId="4E8F9A6C" w:rsidR="00D55CB4" w:rsidRPr="00DB7013" w:rsidRDefault="001D5E06" w:rsidP="001D5E06">
      <w:pPr>
        <w:rPr>
          <w:rFonts w:cstheme="minorHAnsi"/>
          <w:szCs w:val="28"/>
        </w:rPr>
      </w:pPr>
      <w:r>
        <w:rPr>
          <w:rFonts w:cstheme="minorHAnsi"/>
          <w:szCs w:val="28"/>
        </w:rPr>
        <w:t>PPSPP.6730.201.2024.NMAG</w:t>
      </w:r>
      <w:r w:rsidR="00D55CB4">
        <w:rPr>
          <w:rFonts w:cstheme="minorHAnsi"/>
          <w:szCs w:val="28"/>
        </w:rPr>
        <w:t xml:space="preserve"> </w:t>
      </w:r>
    </w:p>
    <w:p w14:paraId="1243CC7F" w14:textId="4BE3044B" w:rsidR="00D55CB4" w:rsidRDefault="00D55CB4" w:rsidP="000C3CF3">
      <w:pPr>
        <w:spacing w:after="120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Obwieszczenie </w:t>
      </w:r>
      <w:r w:rsidR="000C3CF3">
        <w:rPr>
          <w:rFonts w:cstheme="minorHAnsi"/>
          <w:szCs w:val="28"/>
        </w:rPr>
        <w:br/>
      </w:r>
      <w:r>
        <w:rPr>
          <w:rFonts w:cstheme="minorHAnsi"/>
          <w:szCs w:val="28"/>
        </w:rPr>
        <w:t xml:space="preserve">o wydaniu decyzji o warunkach zabudowy </w:t>
      </w:r>
    </w:p>
    <w:p w14:paraId="4E08CCAC" w14:textId="2F2B156E" w:rsidR="00D55CB4" w:rsidRDefault="001D5E06" w:rsidP="001D5E06">
      <w:pPr>
        <w:spacing w:after="120"/>
        <w:ind w:firstLine="567"/>
        <w:rPr>
          <w:rFonts w:cstheme="minorHAnsi"/>
          <w:szCs w:val="28"/>
        </w:rPr>
      </w:pPr>
      <w:r>
        <w:rPr>
          <w:rFonts w:cstheme="minorHAnsi"/>
          <w:szCs w:val="28"/>
        </w:rPr>
        <w:t>Zawiadamiam</w:t>
      </w:r>
      <w:r w:rsidRPr="001D5E06">
        <w:rPr>
          <w:rFonts w:cstheme="minorHAnsi"/>
          <w:szCs w:val="28"/>
          <w:vertAlign w:val="superscript"/>
        </w:rPr>
        <w:t>1</w:t>
      </w:r>
      <w:r>
        <w:rPr>
          <w:rFonts w:cstheme="minorHAnsi"/>
          <w:szCs w:val="28"/>
        </w:rPr>
        <w:t xml:space="preserve">, przez podanie do publicznej wiadomości w Biuletynie Informacji Publicznej Urzędu Miejskiego w Śremie, na elektronicznej tablicy ogłoszeń w siedzibie tut. Organu oraz na tablicach ogłoszeniowych </w:t>
      </w:r>
      <w:r w:rsidR="001F404E">
        <w:rPr>
          <w:rFonts w:cstheme="minorHAnsi"/>
          <w:szCs w:val="28"/>
        </w:rPr>
        <w:t>w</w:t>
      </w:r>
      <w:r w:rsidR="001A5F73">
        <w:rPr>
          <w:rFonts w:cstheme="minorHAnsi"/>
          <w:szCs w:val="28"/>
        </w:rPr>
        <w:t> </w:t>
      </w:r>
      <w:r w:rsidR="001F404E">
        <w:rPr>
          <w:rFonts w:cstheme="minorHAnsi"/>
          <w:szCs w:val="28"/>
        </w:rPr>
        <w:t>sołectwie Dąbrowa-</w:t>
      </w:r>
      <w:r>
        <w:rPr>
          <w:rFonts w:cstheme="minorHAnsi"/>
          <w:szCs w:val="28"/>
        </w:rPr>
        <w:t>Mateuszewo, o wydaniu 14.04.2025 r., przez Burmistrza Śremu, na rzecz Przedsiębiorstwa Gospodarki Komunalnej w</w:t>
      </w:r>
      <w:r w:rsidR="001A5F73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Śremie</w:t>
      </w:r>
      <w:r w:rsidR="001A5F73">
        <w:rPr>
          <w:rFonts w:cstheme="minorHAnsi"/>
          <w:szCs w:val="28"/>
        </w:rPr>
        <w:t xml:space="preserve"> </w:t>
      </w:r>
      <w:r>
        <w:rPr>
          <w:rFonts w:cstheme="minorHAnsi"/>
          <w:szCs w:val="28"/>
        </w:rPr>
        <w:t>Sp. z o.o., ul. Parkowa 6, 63-100 Śrem, decyzji nr 31/2025 o</w:t>
      </w:r>
      <w:r w:rsidR="00790EB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 xml:space="preserve">warunkach zabudowy dla przedsięwzięcia: </w:t>
      </w:r>
      <w:r w:rsidRPr="003C2E6D">
        <w:rPr>
          <w:rFonts w:asciiTheme="minorHAnsi" w:hAnsiTheme="minorHAnsi" w:cstheme="minorHAnsi"/>
          <w:szCs w:val="28"/>
        </w:rPr>
        <w:t xml:space="preserve">budowa </w:t>
      </w:r>
      <w:r w:rsidR="00790EB9" w:rsidRPr="00790EB9">
        <w:rPr>
          <w:rFonts w:asciiTheme="minorHAnsi" w:hAnsiTheme="minorHAnsi" w:cstheme="minorHAnsi"/>
          <w:szCs w:val="28"/>
        </w:rPr>
        <w:t>instalacj</w:t>
      </w:r>
      <w:r w:rsidR="00790EB9">
        <w:rPr>
          <w:rFonts w:asciiTheme="minorHAnsi" w:hAnsiTheme="minorHAnsi" w:cstheme="minorHAnsi"/>
          <w:szCs w:val="28"/>
        </w:rPr>
        <w:t>i</w:t>
      </w:r>
      <w:r w:rsidR="00790EB9" w:rsidRPr="00790EB9">
        <w:rPr>
          <w:rFonts w:asciiTheme="minorHAnsi" w:hAnsiTheme="minorHAnsi" w:cstheme="minorHAnsi"/>
          <w:szCs w:val="28"/>
        </w:rPr>
        <w:t xml:space="preserve"> odnawialnego źródła energii o mocy zainstalowanej nie większej niż 150 kW do produkcji energii elektrycznej z biogazu</w:t>
      </w:r>
      <w:r>
        <w:rPr>
          <w:rFonts w:asciiTheme="minorHAnsi" w:hAnsiTheme="minorHAnsi" w:cstheme="minorHAnsi"/>
          <w:szCs w:val="28"/>
        </w:rPr>
        <w:t xml:space="preserve"> na terenie działek o nr ewid.: 21/1, 22/7 i 22/8, obręb Dąbrowa (miejscowość Mateuszewo), </w:t>
      </w:r>
      <w:r w:rsidR="00D55CB4">
        <w:rPr>
          <w:rFonts w:cstheme="minorHAnsi"/>
          <w:szCs w:val="28"/>
        </w:rPr>
        <w:t>która poprzedzona była decyzją o środowiskowych uwarunkowaniach.</w:t>
      </w:r>
    </w:p>
    <w:p w14:paraId="75AD5C0F" w14:textId="58A34C93" w:rsidR="00D55CB4" w:rsidRDefault="0056262A" w:rsidP="00260583">
      <w:pPr>
        <w:spacing w:after="120"/>
        <w:ind w:firstLine="567"/>
        <w:rPr>
          <w:rFonts w:cstheme="minorHAnsi"/>
          <w:szCs w:val="28"/>
        </w:rPr>
      </w:pPr>
      <w:r>
        <w:rPr>
          <w:rFonts w:cstheme="minorHAnsi"/>
          <w:szCs w:val="28"/>
        </w:rPr>
        <w:t>W związku z</w:t>
      </w:r>
      <w:r w:rsidR="00D55CB4">
        <w:rPr>
          <w:rFonts w:cstheme="minorHAnsi"/>
          <w:szCs w:val="28"/>
        </w:rPr>
        <w:t xml:space="preserve"> </w:t>
      </w:r>
      <w:r>
        <w:rPr>
          <w:rFonts w:cstheme="minorHAnsi"/>
          <w:szCs w:val="28"/>
        </w:rPr>
        <w:t xml:space="preserve">powyższym informuję o możliwości zapoznania się z wydaną </w:t>
      </w:r>
      <w:r w:rsidR="00D55CB4">
        <w:rPr>
          <w:rFonts w:cstheme="minorHAnsi"/>
          <w:szCs w:val="28"/>
        </w:rPr>
        <w:t>decyzją w Biuletynie Informacji Publicznej Urzędu Miejskiego w</w:t>
      </w:r>
      <w:r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 xml:space="preserve">Śremie </w:t>
      </w:r>
      <w:r w:rsidR="00A9004D">
        <w:rPr>
          <w:rFonts w:cstheme="minorHAnsi"/>
          <w:szCs w:val="28"/>
        </w:rPr>
        <w:t>(</w:t>
      </w:r>
      <w:hyperlink r:id="rId7" w:history="1">
        <w:r w:rsidR="00A9004D" w:rsidRPr="00012A81">
          <w:rPr>
            <w:rStyle w:val="Hipercze"/>
            <w:rFonts w:cstheme="minorHAnsi"/>
            <w:szCs w:val="28"/>
          </w:rPr>
          <w:t>http://umsrem.bip.eur.pl/public/?id=233249</w:t>
        </w:r>
      </w:hyperlink>
      <w:r w:rsidR="00A9004D">
        <w:rPr>
          <w:rFonts w:cstheme="minorHAnsi"/>
          <w:szCs w:val="28"/>
        </w:rPr>
        <w:t xml:space="preserve">), </w:t>
      </w:r>
      <w:r w:rsidR="00D55CB4">
        <w:rPr>
          <w:rFonts w:cstheme="minorHAnsi"/>
          <w:szCs w:val="28"/>
        </w:rPr>
        <w:t>a z decyzją oraz dokumentacją sprawy w Urzędzie Miejskim w Śremie, ul.</w:t>
      </w:r>
      <w:r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>Plac 20 Października 1, biuro nr 34, w godzinach od 7:00 do 15:00.</w:t>
      </w:r>
    </w:p>
    <w:p w14:paraId="6E187393" w14:textId="4E4AA06D" w:rsidR="0037316F" w:rsidRPr="0056262A" w:rsidRDefault="0056262A" w:rsidP="0056262A">
      <w:pPr>
        <w:spacing w:after="120"/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 dnia 14 czerwca 1960 r. – Kodeks postępowania administracyjnego (Dz. U. z 2024 r. poz. 572). </w:t>
      </w:r>
      <w:r w:rsidRPr="001E448B">
        <w:rPr>
          <w:rFonts w:cstheme="minorHAnsi"/>
          <w:szCs w:val="28"/>
        </w:rPr>
        <w:t xml:space="preserve"> </w:t>
      </w:r>
    </w:p>
    <w:p w14:paraId="1C2DF2DF" w14:textId="4C582F39" w:rsidR="0037316F" w:rsidRDefault="0037316F" w:rsidP="0037316F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z up. BURMISTRZA</w:t>
      </w:r>
    </w:p>
    <w:p w14:paraId="29CB1F58" w14:textId="77777777" w:rsidR="0037316F" w:rsidRDefault="0037316F" w:rsidP="0037316F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Sławomir Ratajczak</w:t>
      </w:r>
    </w:p>
    <w:p w14:paraId="702CD9AA" w14:textId="08F230E6" w:rsidR="0037316F" w:rsidRDefault="0037316F" w:rsidP="0056262A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 xml:space="preserve">Zastępca </w:t>
      </w:r>
      <w:r w:rsidRPr="001A1B1C">
        <w:rPr>
          <w:rFonts w:eastAsia="Times New Roman" w:cstheme="minorHAnsi"/>
          <w:szCs w:val="36"/>
        </w:rPr>
        <w:t>Burmistrz</w:t>
      </w:r>
      <w:r>
        <w:rPr>
          <w:rFonts w:eastAsia="Times New Roman" w:cstheme="minorHAnsi"/>
          <w:szCs w:val="36"/>
        </w:rPr>
        <w:t>a</w:t>
      </w:r>
    </w:p>
    <w:p w14:paraId="0E6D17E3" w14:textId="3B16AE63" w:rsidR="00D55CB4" w:rsidRPr="006A1681" w:rsidRDefault="00D55CB4" w:rsidP="00D55CB4">
      <w:pPr>
        <w:spacing w:after="120"/>
        <w:rPr>
          <w:rFonts w:eastAsia="Times New Roman" w:cstheme="minorHAnsi"/>
          <w:szCs w:val="36"/>
        </w:rPr>
      </w:pPr>
      <w:r w:rsidRPr="006A1681">
        <w:rPr>
          <w:rFonts w:eastAsia="Times New Roman" w:cstheme="minorHAnsi"/>
          <w:szCs w:val="36"/>
        </w:rPr>
        <w:t xml:space="preserve">Wywieszono: </w:t>
      </w:r>
      <w:r w:rsidR="001D5E06">
        <w:rPr>
          <w:rFonts w:eastAsia="Times New Roman" w:cstheme="minorHAnsi"/>
          <w:szCs w:val="36"/>
        </w:rPr>
        <w:t>15</w:t>
      </w:r>
      <w:r w:rsidR="00292521">
        <w:rPr>
          <w:rFonts w:eastAsia="Times New Roman" w:cstheme="minorHAnsi"/>
          <w:szCs w:val="36"/>
        </w:rPr>
        <w:t>.04.202</w:t>
      </w:r>
      <w:r w:rsidR="001D5E06">
        <w:rPr>
          <w:rFonts w:eastAsia="Times New Roman" w:cstheme="minorHAnsi"/>
          <w:szCs w:val="36"/>
        </w:rPr>
        <w:t>5</w:t>
      </w:r>
      <w:r w:rsidR="00292521">
        <w:rPr>
          <w:rFonts w:eastAsia="Times New Roman" w:cstheme="minorHAnsi"/>
          <w:szCs w:val="36"/>
        </w:rPr>
        <w:t xml:space="preserve"> r.</w:t>
      </w:r>
    </w:p>
    <w:p w14:paraId="40E10F54" w14:textId="060504DC" w:rsidR="0037316F" w:rsidRPr="0056262A" w:rsidRDefault="00D55CB4" w:rsidP="0056262A">
      <w:pPr>
        <w:spacing w:after="120"/>
        <w:rPr>
          <w:rFonts w:eastAsia="Times New Roman" w:cstheme="minorHAnsi"/>
          <w:szCs w:val="36"/>
        </w:rPr>
      </w:pPr>
      <w:r w:rsidRPr="006A1681">
        <w:rPr>
          <w:rFonts w:eastAsia="Times New Roman" w:cstheme="minorHAnsi"/>
          <w:szCs w:val="36"/>
        </w:rPr>
        <w:t>Zdjęto: ……</w:t>
      </w:r>
      <w:r w:rsidR="00A9004D">
        <w:rPr>
          <w:rFonts w:eastAsia="Times New Roman" w:cstheme="minorHAnsi"/>
          <w:szCs w:val="36"/>
        </w:rPr>
        <w:t>05.2025 r.</w:t>
      </w:r>
    </w:p>
    <w:p w14:paraId="34DC1799" w14:textId="03A73676" w:rsidR="006717DC" w:rsidRDefault="000C3CF3" w:rsidP="0037316F">
      <w:pPr>
        <w:rPr>
          <w:rFonts w:cs="Calibri"/>
          <w:bCs/>
          <w:szCs w:val="28"/>
        </w:rPr>
      </w:pPr>
      <w:r w:rsidRPr="000C3CF3">
        <w:rPr>
          <w:rFonts w:cs="Calibri"/>
          <w:bCs/>
          <w:szCs w:val="28"/>
          <w:vertAlign w:val="superscript"/>
        </w:rPr>
        <w:t>1</w:t>
      </w:r>
      <w:r>
        <w:rPr>
          <w:rFonts w:cs="Calibri"/>
          <w:bCs/>
          <w:szCs w:val="28"/>
        </w:rPr>
        <w:t xml:space="preserve"> Podstawa prawna: </w:t>
      </w:r>
      <w:r w:rsidRPr="000C3CF3">
        <w:rPr>
          <w:rFonts w:cs="Calibri"/>
          <w:bCs/>
          <w:szCs w:val="28"/>
        </w:rPr>
        <w:t>art. 66a ustawy z dnia 27 marca 2003 r. o planowaniu i</w:t>
      </w:r>
      <w:r>
        <w:rPr>
          <w:rFonts w:cs="Calibri"/>
          <w:bCs/>
          <w:szCs w:val="28"/>
        </w:rPr>
        <w:t> </w:t>
      </w:r>
      <w:r w:rsidRPr="000C3CF3">
        <w:rPr>
          <w:rFonts w:cs="Calibri"/>
          <w:bCs/>
          <w:szCs w:val="28"/>
        </w:rPr>
        <w:t>zagospodarowaniu przestrzennym (Dz. U. z 202</w:t>
      </w:r>
      <w:r w:rsidR="001D5E06">
        <w:rPr>
          <w:rFonts w:cs="Calibri"/>
          <w:bCs/>
          <w:szCs w:val="28"/>
        </w:rPr>
        <w:t>4</w:t>
      </w:r>
      <w:r w:rsidRPr="000C3CF3">
        <w:rPr>
          <w:rFonts w:cs="Calibri"/>
          <w:bCs/>
          <w:szCs w:val="28"/>
        </w:rPr>
        <w:t xml:space="preserve"> r. poz.</w:t>
      </w:r>
      <w:r w:rsidR="001D5E06">
        <w:rPr>
          <w:rFonts w:cs="Calibri"/>
          <w:bCs/>
          <w:szCs w:val="28"/>
        </w:rPr>
        <w:t xml:space="preserve"> 1130, 1907 i 1940</w:t>
      </w:r>
      <w:r w:rsidRPr="000C3CF3">
        <w:rPr>
          <w:rFonts w:cs="Calibri"/>
          <w:bCs/>
          <w:szCs w:val="28"/>
        </w:rPr>
        <w:t>)</w:t>
      </w:r>
      <w:r>
        <w:rPr>
          <w:rFonts w:cs="Calibri"/>
          <w:bCs/>
          <w:szCs w:val="28"/>
        </w:rPr>
        <w:t>.</w:t>
      </w:r>
      <w:r w:rsidR="006717DC">
        <w:rPr>
          <w:rFonts w:cs="Calibri"/>
          <w:bCs/>
          <w:szCs w:val="28"/>
        </w:rPr>
        <w:br w:type="page"/>
      </w:r>
    </w:p>
    <w:p w14:paraId="503898E0" w14:textId="77777777" w:rsidR="005E3B80" w:rsidRPr="00CF716F" w:rsidRDefault="005E3B80" w:rsidP="005E3B80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lastRenderedPageBreak/>
        <w:t>Burmistrz Śremu</w:t>
      </w:r>
    </w:p>
    <w:p w14:paraId="264D9774" w14:textId="77777777" w:rsidR="005E3B80" w:rsidRPr="00CF716F" w:rsidRDefault="005E3B80" w:rsidP="005E3B80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ul. Plac 20 Października 1</w:t>
      </w:r>
    </w:p>
    <w:p w14:paraId="09B7FAF6" w14:textId="77777777" w:rsidR="005E3B80" w:rsidRPr="00CF1D73" w:rsidRDefault="005E3B80" w:rsidP="005E3B80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63 – 100 Śrem</w:t>
      </w:r>
    </w:p>
    <w:p w14:paraId="72235D38" w14:textId="77777777" w:rsidR="005E3B80" w:rsidRPr="00A31703" w:rsidRDefault="005E3B80" w:rsidP="005E3B80">
      <w:pPr>
        <w:spacing w:after="120"/>
        <w:jc w:val="right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 xml:space="preserve">Śrem, </w:t>
      </w:r>
      <w:r>
        <w:rPr>
          <w:rFonts w:asciiTheme="minorHAnsi" w:hAnsiTheme="minorHAnsi" w:cstheme="minorHAnsi"/>
          <w:szCs w:val="28"/>
        </w:rPr>
        <w:t>14 kwietnia 2025</w:t>
      </w:r>
      <w:r w:rsidRPr="00A31703">
        <w:rPr>
          <w:rFonts w:asciiTheme="minorHAnsi" w:hAnsiTheme="minorHAnsi" w:cstheme="minorHAnsi"/>
          <w:szCs w:val="28"/>
        </w:rPr>
        <w:t xml:space="preserve"> roku</w:t>
      </w:r>
    </w:p>
    <w:p w14:paraId="51BC33D7" w14:textId="77777777" w:rsidR="005E3B80" w:rsidRDefault="005E3B80" w:rsidP="005E3B80">
      <w:pPr>
        <w:spacing w:after="120"/>
        <w:jc w:val="both"/>
        <w:rPr>
          <w:rFonts w:asciiTheme="minorHAnsi" w:hAnsiTheme="minorHAnsi" w:cstheme="minorHAnsi"/>
          <w:bCs/>
          <w:szCs w:val="28"/>
        </w:rPr>
      </w:pPr>
      <w:r w:rsidRPr="00A31703">
        <w:rPr>
          <w:rFonts w:asciiTheme="minorHAnsi" w:hAnsiTheme="minorHAnsi" w:cstheme="minorHAnsi"/>
          <w:szCs w:val="28"/>
        </w:rPr>
        <w:t>PPSPP</w:t>
      </w:r>
      <w:r>
        <w:rPr>
          <w:rFonts w:asciiTheme="minorHAnsi" w:hAnsiTheme="minorHAnsi" w:cstheme="minorHAnsi"/>
          <w:szCs w:val="28"/>
        </w:rPr>
        <w:t xml:space="preserve">.6730.201.2024.NMAG </w:t>
      </w:r>
    </w:p>
    <w:p w14:paraId="3C1D9ABE" w14:textId="77777777" w:rsidR="005E3B80" w:rsidRPr="0021729A" w:rsidRDefault="005E3B80" w:rsidP="005E3B80">
      <w:pPr>
        <w:spacing w:after="120"/>
        <w:jc w:val="center"/>
        <w:rPr>
          <w:rFonts w:asciiTheme="minorHAnsi" w:hAnsiTheme="minorHAnsi" w:cstheme="minorHAnsi"/>
          <w:bCs/>
          <w:szCs w:val="28"/>
        </w:rPr>
      </w:pPr>
      <w:r w:rsidRPr="006A2C64">
        <w:rPr>
          <w:rFonts w:asciiTheme="minorHAnsi" w:hAnsiTheme="minorHAnsi" w:cstheme="minorHAnsi"/>
          <w:bCs/>
          <w:szCs w:val="28"/>
        </w:rPr>
        <w:t xml:space="preserve">Decyzja nr </w:t>
      </w:r>
      <w:r>
        <w:rPr>
          <w:rFonts w:asciiTheme="minorHAnsi" w:hAnsiTheme="minorHAnsi" w:cstheme="minorHAnsi"/>
          <w:bCs/>
          <w:szCs w:val="28"/>
        </w:rPr>
        <w:t>31</w:t>
      </w:r>
      <w:r w:rsidRPr="006A2C64">
        <w:rPr>
          <w:rFonts w:asciiTheme="minorHAnsi" w:hAnsiTheme="minorHAnsi" w:cstheme="minorHAnsi"/>
          <w:bCs/>
          <w:szCs w:val="28"/>
        </w:rPr>
        <w:t>/</w:t>
      </w:r>
      <w:r>
        <w:rPr>
          <w:rFonts w:asciiTheme="minorHAnsi" w:hAnsiTheme="minorHAnsi" w:cstheme="minorHAnsi"/>
          <w:bCs/>
          <w:szCs w:val="28"/>
        </w:rPr>
        <w:t>2025</w:t>
      </w:r>
      <w:r>
        <w:rPr>
          <w:rFonts w:asciiTheme="minorHAnsi" w:hAnsiTheme="minorHAnsi" w:cstheme="minorHAnsi"/>
          <w:bCs/>
          <w:szCs w:val="28"/>
        </w:rPr>
        <w:br/>
        <w:t xml:space="preserve"> </w:t>
      </w:r>
      <w:r w:rsidRPr="006A2C64">
        <w:rPr>
          <w:rFonts w:asciiTheme="minorHAnsi" w:hAnsiTheme="minorHAnsi" w:cstheme="minorHAnsi"/>
          <w:bCs/>
          <w:szCs w:val="28"/>
        </w:rPr>
        <w:t>o warunkach zabudowy</w:t>
      </w:r>
    </w:p>
    <w:p w14:paraId="56C64A7B" w14:textId="77777777" w:rsidR="005E3B80" w:rsidRPr="003C2E6D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Na podstawie art. 4 ust. 2 pkt 2 w związku z art. 59 ust. 1</w:t>
      </w:r>
      <w:r>
        <w:rPr>
          <w:rFonts w:asciiTheme="minorHAnsi" w:hAnsiTheme="minorHAnsi" w:cstheme="minorHAnsi"/>
          <w:szCs w:val="28"/>
        </w:rPr>
        <w:t xml:space="preserve">, </w:t>
      </w:r>
      <w:r w:rsidRPr="003C2E6D">
        <w:rPr>
          <w:rFonts w:asciiTheme="minorHAnsi" w:hAnsiTheme="minorHAnsi" w:cstheme="minorHAnsi"/>
          <w:szCs w:val="28"/>
        </w:rPr>
        <w:t xml:space="preserve">art. 60 ust. 1 </w:t>
      </w:r>
      <w:r>
        <w:rPr>
          <w:rFonts w:asciiTheme="minorHAnsi" w:hAnsiTheme="minorHAnsi" w:cstheme="minorHAnsi"/>
          <w:szCs w:val="28"/>
        </w:rPr>
        <w:t xml:space="preserve">i art. 61 ust. 3 </w:t>
      </w:r>
      <w:r w:rsidRPr="003C2E6D">
        <w:rPr>
          <w:rFonts w:asciiTheme="minorHAnsi" w:hAnsiTheme="minorHAnsi" w:cstheme="minorHAnsi"/>
          <w:szCs w:val="28"/>
        </w:rPr>
        <w:t>ustawy z dnia 27 marca 2003 r. o planowaniu i</w:t>
      </w:r>
      <w:r>
        <w:rPr>
          <w:rFonts w:asciiTheme="minorHAnsi" w:hAnsiTheme="minorHAnsi" w:cstheme="minorHAnsi"/>
          <w:szCs w:val="28"/>
        </w:rPr>
        <w:t> </w:t>
      </w:r>
      <w:r w:rsidRPr="003C2E6D">
        <w:rPr>
          <w:rFonts w:asciiTheme="minorHAnsi" w:hAnsiTheme="minorHAnsi" w:cstheme="minorHAnsi"/>
          <w:szCs w:val="28"/>
        </w:rPr>
        <w:t xml:space="preserve">zagospodarowaniu przestrzennym (Dz. U. z 2024 r. poz. 1130, 1907 i 1940), zwanej dalej u.p.z.p., oraz art. 104 ustawy z dnia 14 czerwca 1960 r. – Kodeks postępowania administracyjnego (Dz. U. z 2024 r. poz. 572), po rozpatrzeniu wniosku złożonego </w:t>
      </w:r>
      <w:r>
        <w:rPr>
          <w:rFonts w:asciiTheme="minorHAnsi" w:hAnsiTheme="minorHAnsi" w:cstheme="minorHAnsi"/>
          <w:szCs w:val="28"/>
        </w:rPr>
        <w:t>18</w:t>
      </w:r>
      <w:r w:rsidRPr="003C2E6D">
        <w:rPr>
          <w:rFonts w:asciiTheme="minorHAnsi" w:hAnsiTheme="minorHAnsi" w:cstheme="minorHAnsi"/>
          <w:szCs w:val="28"/>
        </w:rPr>
        <w:t>.1</w:t>
      </w:r>
      <w:r>
        <w:rPr>
          <w:rFonts w:asciiTheme="minorHAnsi" w:hAnsiTheme="minorHAnsi" w:cstheme="minorHAnsi"/>
          <w:szCs w:val="28"/>
        </w:rPr>
        <w:t>2</w:t>
      </w:r>
      <w:r w:rsidRPr="003C2E6D">
        <w:rPr>
          <w:rFonts w:asciiTheme="minorHAnsi" w:hAnsiTheme="minorHAnsi" w:cstheme="minorHAnsi"/>
          <w:szCs w:val="28"/>
        </w:rPr>
        <w:t>.2024 r</w:t>
      </w:r>
      <w:r>
        <w:rPr>
          <w:rFonts w:asciiTheme="minorHAnsi" w:hAnsiTheme="minorHAnsi" w:cstheme="minorHAnsi"/>
          <w:szCs w:val="28"/>
        </w:rPr>
        <w:t xml:space="preserve">. uzupełnieniu 10.01.2025 r. i zmienionego 21.03.2025 r., </w:t>
      </w:r>
      <w:r w:rsidRPr="003C2E6D">
        <w:rPr>
          <w:rFonts w:asciiTheme="minorHAnsi" w:hAnsiTheme="minorHAnsi" w:cstheme="minorHAnsi"/>
          <w:szCs w:val="28"/>
        </w:rPr>
        <w:t>przez:</w:t>
      </w:r>
    </w:p>
    <w:p w14:paraId="10243A43" w14:textId="77777777" w:rsidR="005E3B80" w:rsidRDefault="005E3B80" w:rsidP="005E3B80">
      <w:pPr>
        <w:spacing w:after="120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Przedsiębiorstwo Gospodarki Komunalnej w Śremie Sp. z o.o.</w:t>
      </w:r>
    </w:p>
    <w:p w14:paraId="58DBCD31" w14:textId="77777777" w:rsidR="005E3B80" w:rsidRPr="003C2E6D" w:rsidRDefault="005E3B80" w:rsidP="005E3B80">
      <w:pPr>
        <w:spacing w:after="120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ul. Parkowa 6, 63-100 Śrem</w:t>
      </w:r>
    </w:p>
    <w:p w14:paraId="035BBB21" w14:textId="77777777" w:rsidR="005E3B80" w:rsidRPr="003C2E6D" w:rsidRDefault="005E3B80" w:rsidP="005E3B80">
      <w:pPr>
        <w:spacing w:after="120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 xml:space="preserve">w sprawie ustalenia warunków zabudowy dla przedsięwzięcia: budowa </w:t>
      </w:r>
      <w:r>
        <w:rPr>
          <w:rFonts w:asciiTheme="minorHAnsi" w:hAnsiTheme="minorHAnsi" w:cstheme="minorHAnsi"/>
          <w:szCs w:val="28"/>
        </w:rPr>
        <w:t>elektrowni elektrycznej z biogazu powstającego podczas rozkładu odpadów składowanych na zamkniętym składowisku odpadów na terenie działek o nr ewid.: 21/1, 22/7 i 22/8, obręb Dąbrowa,</w:t>
      </w:r>
    </w:p>
    <w:p w14:paraId="71268ACC" w14:textId="77777777" w:rsidR="005E3B80" w:rsidRPr="003C2E6D" w:rsidRDefault="005E3B80" w:rsidP="005E3B80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ustalam</w:t>
      </w:r>
      <w:r w:rsidRPr="003C2E6D">
        <w:rPr>
          <w:rFonts w:asciiTheme="minorHAnsi" w:hAnsiTheme="minorHAnsi" w:cstheme="minorHAnsi"/>
          <w:szCs w:val="28"/>
        </w:rPr>
        <w:br/>
        <w:t xml:space="preserve">na rzecz Wnioskodawcy </w:t>
      </w:r>
      <w:r w:rsidRPr="003C2E6D">
        <w:rPr>
          <w:rFonts w:asciiTheme="minorHAnsi" w:hAnsiTheme="minorHAnsi" w:cstheme="minorHAnsi"/>
          <w:szCs w:val="28"/>
        </w:rPr>
        <w:br/>
        <w:t>następujące warunki zabudowy i zagospodarowania terenu:</w:t>
      </w:r>
    </w:p>
    <w:p w14:paraId="6EA79B95" w14:textId="77777777" w:rsidR="005E3B80" w:rsidRPr="003C2E6D" w:rsidRDefault="005E3B80" w:rsidP="005E3B80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1.</w:t>
      </w:r>
      <w:r w:rsidRPr="003C2E6D">
        <w:rPr>
          <w:rFonts w:asciiTheme="minorHAnsi" w:hAnsiTheme="minorHAnsi" w:cstheme="minorHAnsi"/>
          <w:szCs w:val="28"/>
        </w:rPr>
        <w:tab/>
        <w:t>Opis inwestycji:</w:t>
      </w:r>
    </w:p>
    <w:p w14:paraId="2F089D7D" w14:textId="77777777" w:rsidR="005E3B80" w:rsidRPr="00BC25A2" w:rsidRDefault="005E3B80" w:rsidP="005E3B80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 w:rsidRPr="00311E92">
        <w:rPr>
          <w:rFonts w:asciiTheme="minorHAnsi" w:hAnsiTheme="minorHAnsi" w:cstheme="minorHAnsi"/>
          <w:szCs w:val="28"/>
        </w:rPr>
        <w:t xml:space="preserve">rodzaj: </w:t>
      </w:r>
      <w:bookmarkStart w:id="0" w:name="_Hlk195521241"/>
      <w:r w:rsidRPr="00311E92">
        <w:rPr>
          <w:rFonts w:asciiTheme="minorHAnsi" w:hAnsiTheme="minorHAnsi" w:cstheme="minorHAnsi"/>
          <w:szCs w:val="28"/>
        </w:rPr>
        <w:t>instalacja</w:t>
      </w:r>
      <w:r>
        <w:rPr>
          <w:rFonts w:asciiTheme="minorHAnsi" w:hAnsiTheme="minorHAnsi" w:cstheme="minorHAnsi"/>
          <w:szCs w:val="28"/>
        </w:rPr>
        <w:t xml:space="preserve"> odnawialnego źródła energii o mocy zainstalowanej nie większej niż 150 kW </w:t>
      </w:r>
      <w:r w:rsidRPr="00311E92">
        <w:rPr>
          <w:rFonts w:asciiTheme="minorHAnsi" w:hAnsiTheme="minorHAnsi" w:cstheme="minorHAnsi"/>
          <w:szCs w:val="28"/>
        </w:rPr>
        <w:t>do produkcji energii elektrycznej z biogazu</w:t>
      </w:r>
      <w:bookmarkEnd w:id="0"/>
      <w:r>
        <w:rPr>
          <w:rFonts w:asciiTheme="minorHAnsi" w:hAnsiTheme="minorHAnsi" w:cstheme="minorHAnsi"/>
          <w:szCs w:val="28"/>
        </w:rPr>
        <w:t xml:space="preserve">, w rozumieniu art. 2 pkt 13 lit. b ustawy z dnia </w:t>
      </w:r>
      <w:r w:rsidRPr="00BC25A2">
        <w:rPr>
          <w:rFonts w:asciiTheme="minorHAnsi" w:hAnsiTheme="minorHAnsi" w:cstheme="minorHAnsi"/>
          <w:szCs w:val="28"/>
        </w:rPr>
        <w:t>20 lutego 2015 r.</w:t>
      </w:r>
      <w:r>
        <w:rPr>
          <w:rFonts w:asciiTheme="minorHAnsi" w:hAnsiTheme="minorHAnsi" w:cstheme="minorHAnsi"/>
          <w:szCs w:val="28"/>
        </w:rPr>
        <w:t xml:space="preserve"> </w:t>
      </w:r>
      <w:r w:rsidRPr="00BC25A2">
        <w:rPr>
          <w:rFonts w:asciiTheme="minorHAnsi" w:hAnsiTheme="minorHAnsi" w:cstheme="minorHAnsi"/>
          <w:szCs w:val="28"/>
        </w:rPr>
        <w:t>o</w:t>
      </w:r>
      <w:r>
        <w:rPr>
          <w:rFonts w:asciiTheme="minorHAnsi" w:hAnsiTheme="minorHAnsi" w:cstheme="minorHAnsi"/>
          <w:szCs w:val="28"/>
        </w:rPr>
        <w:t> </w:t>
      </w:r>
      <w:r w:rsidRPr="00BC25A2">
        <w:rPr>
          <w:rFonts w:asciiTheme="minorHAnsi" w:hAnsiTheme="minorHAnsi" w:cstheme="minorHAnsi"/>
          <w:szCs w:val="28"/>
        </w:rPr>
        <w:t>odnawialnych źródłach energii</w:t>
      </w:r>
      <w:r>
        <w:rPr>
          <w:rFonts w:asciiTheme="minorHAnsi" w:hAnsiTheme="minorHAnsi" w:cstheme="minorHAnsi"/>
          <w:szCs w:val="28"/>
        </w:rPr>
        <w:t xml:space="preserve"> (Dz. U. z 2024 r. poz. 1361, 1847, 1881 i z 2025 r. poz. 303) </w:t>
      </w:r>
      <w:r w:rsidRPr="00BC25A2">
        <w:rPr>
          <w:rFonts w:asciiTheme="minorHAnsi" w:hAnsiTheme="minorHAnsi" w:cstheme="minorHAnsi"/>
          <w:szCs w:val="28"/>
        </w:rPr>
        <w:t>na powierzchni terenu nie większej niż 6,43 ha;</w:t>
      </w:r>
    </w:p>
    <w:p w14:paraId="788E8FB6" w14:textId="77777777" w:rsidR="005E3B80" w:rsidRPr="00005144" w:rsidRDefault="005E3B80" w:rsidP="005E3B80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005144">
        <w:rPr>
          <w:rFonts w:asciiTheme="minorHAnsi" w:hAnsiTheme="minorHAnsi" w:cstheme="minorHAnsi"/>
          <w:szCs w:val="28"/>
        </w:rPr>
        <w:t>lokalizacja: teren inwestycji składający się z działek o nr ewid.: 21/1, 22/</w:t>
      </w:r>
      <w:r>
        <w:rPr>
          <w:rFonts w:asciiTheme="minorHAnsi" w:hAnsiTheme="minorHAnsi" w:cstheme="minorHAnsi"/>
          <w:szCs w:val="28"/>
        </w:rPr>
        <w:t>7 i</w:t>
      </w:r>
      <w:r w:rsidRPr="00005144">
        <w:rPr>
          <w:rFonts w:asciiTheme="minorHAnsi" w:hAnsiTheme="minorHAnsi" w:cstheme="minorHAnsi"/>
          <w:szCs w:val="28"/>
        </w:rPr>
        <w:t xml:space="preserve"> 22/</w:t>
      </w:r>
      <w:r>
        <w:rPr>
          <w:rFonts w:asciiTheme="minorHAnsi" w:hAnsiTheme="minorHAnsi" w:cstheme="minorHAnsi"/>
          <w:szCs w:val="28"/>
        </w:rPr>
        <w:t>8</w:t>
      </w:r>
      <w:r w:rsidRPr="00005144">
        <w:rPr>
          <w:rFonts w:asciiTheme="minorHAnsi" w:hAnsiTheme="minorHAnsi" w:cstheme="minorHAnsi"/>
          <w:szCs w:val="28"/>
        </w:rPr>
        <w:t>, obręb Dąbrowa, zgodnie z liniami rozgraniczającymi wyznaczonymi na mapie, stanowiącej załącznik nr 1 do decyzji;</w:t>
      </w:r>
    </w:p>
    <w:p w14:paraId="102C2804" w14:textId="77777777" w:rsidR="005E3B80" w:rsidRDefault="005E3B80" w:rsidP="005E3B80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005144">
        <w:rPr>
          <w:rFonts w:asciiTheme="minorHAnsi" w:hAnsiTheme="minorHAnsi" w:cstheme="minorHAnsi"/>
          <w:szCs w:val="28"/>
        </w:rPr>
        <w:t>funkcja zabudowy i zagospodarowania terenu: przemysłowa.</w:t>
      </w:r>
    </w:p>
    <w:p w14:paraId="0907CE57" w14:textId="77777777" w:rsidR="005E3B80" w:rsidRDefault="005E3B80" w:rsidP="005E3B80">
      <w:pPr>
        <w:pStyle w:val="Akapitzlist"/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</w:p>
    <w:p w14:paraId="0B838B84" w14:textId="77777777" w:rsidR="005E3B80" w:rsidRPr="006A2C64" w:rsidRDefault="005E3B80" w:rsidP="005E3B80">
      <w:pPr>
        <w:tabs>
          <w:tab w:val="left" w:pos="426"/>
        </w:tabs>
        <w:spacing w:after="120"/>
        <w:rPr>
          <w:rFonts w:asciiTheme="minorHAnsi" w:hAnsiTheme="minorHAnsi" w:cstheme="minorHAnsi"/>
          <w:szCs w:val="28"/>
        </w:rPr>
      </w:pPr>
      <w:r w:rsidRPr="006A2C64">
        <w:rPr>
          <w:rFonts w:asciiTheme="minorHAnsi" w:hAnsiTheme="minorHAnsi" w:cstheme="minorHAnsi"/>
          <w:szCs w:val="28"/>
        </w:rPr>
        <w:lastRenderedPageBreak/>
        <w:t>2.</w:t>
      </w:r>
      <w:r w:rsidRPr="006A2C64">
        <w:rPr>
          <w:rFonts w:asciiTheme="minorHAnsi" w:hAnsiTheme="minorHAnsi" w:cstheme="minorHAnsi"/>
          <w:szCs w:val="28"/>
        </w:rPr>
        <w:tab/>
        <w:t>Warunki i szczegółowe zasady zagospodarowania terenu oraz jego zabudowy wynikające z przepisów odrębnych w zakresie:</w:t>
      </w:r>
    </w:p>
    <w:p w14:paraId="508C0B5D" w14:textId="77777777" w:rsidR="005E3B80" w:rsidRPr="00A2231C" w:rsidRDefault="005E3B80" w:rsidP="005E3B80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warunków i wymagań ochrony i kształtowania ładu przestrzennego</w:t>
      </w:r>
      <w:r>
        <w:rPr>
          <w:rFonts w:asciiTheme="minorHAnsi" w:hAnsiTheme="minorHAnsi" w:cstheme="minorHAnsi"/>
          <w:szCs w:val="28"/>
        </w:rPr>
        <w:t xml:space="preserve">: </w:t>
      </w:r>
      <w:r w:rsidRPr="00594B89">
        <w:rPr>
          <w:rFonts w:asciiTheme="minorHAnsi" w:hAnsiTheme="minorHAnsi" w:cstheme="minorHAnsi"/>
          <w:szCs w:val="28"/>
        </w:rPr>
        <w:t xml:space="preserve">linia zabudowy: wyznaczona jako nieprzekraczalna, ustalona w odległości 6,0 m od granicy z drogą gminną – działką o nr ewid. 27, obręb Dąbrowa i oznaczająca linię wyznaczającą najmniejszą odległość, w której może zostać </w:t>
      </w:r>
      <w:r w:rsidRPr="00A2231C">
        <w:rPr>
          <w:rFonts w:asciiTheme="minorHAnsi" w:hAnsiTheme="minorHAnsi" w:cstheme="minorHAnsi"/>
          <w:szCs w:val="28"/>
        </w:rPr>
        <w:t>zlokalizowana inwestycja, zgodnie z załącznikiem nr 1 do decyzji;</w:t>
      </w:r>
    </w:p>
    <w:p w14:paraId="279CC268" w14:textId="77777777" w:rsidR="005E3B80" w:rsidRPr="00A2231C" w:rsidRDefault="005E3B80" w:rsidP="005E3B80">
      <w:pPr>
        <w:pStyle w:val="Akapitzlist"/>
        <w:numPr>
          <w:ilvl w:val="0"/>
          <w:numId w:val="2"/>
        </w:numPr>
        <w:spacing w:after="120"/>
        <w:ind w:left="567"/>
        <w:rPr>
          <w:rFonts w:asciiTheme="minorHAnsi" w:hAnsiTheme="minorHAnsi" w:cstheme="minorHAnsi"/>
          <w:szCs w:val="28"/>
        </w:rPr>
      </w:pPr>
      <w:r w:rsidRPr="00A2231C">
        <w:rPr>
          <w:rFonts w:asciiTheme="minorHAnsi" w:hAnsiTheme="minorHAnsi" w:cstheme="minorHAnsi"/>
          <w:szCs w:val="28"/>
        </w:rPr>
        <w:t>ochrony środowiska i zdrowia ludzi oraz dziedzictwa kulturowego i zabytków oraz dóbr kultury współczesnej:</w:t>
      </w:r>
      <w:r>
        <w:rPr>
          <w:rFonts w:asciiTheme="minorHAnsi" w:hAnsiTheme="minorHAnsi" w:cstheme="minorHAnsi"/>
          <w:szCs w:val="28"/>
        </w:rPr>
        <w:t xml:space="preserve"> </w:t>
      </w:r>
      <w:r w:rsidRPr="00A2231C">
        <w:rPr>
          <w:rFonts w:asciiTheme="minorHAnsi" w:hAnsiTheme="minorHAnsi" w:cstheme="minorHAnsi"/>
          <w:szCs w:val="28"/>
        </w:rPr>
        <w:t>uwzględnienie warunków korzystania ze środowiska w fazie realizacji i eksploatacji lub użytkowania przedsięwzięcia ustalonych w ostatecznej decyzji Burmistrza Śremu znak PPSOŚ.6220.6.2023.BM z 30.06.2023 r. o</w:t>
      </w:r>
      <w:r>
        <w:rPr>
          <w:rFonts w:asciiTheme="minorHAnsi" w:hAnsiTheme="minorHAnsi" w:cstheme="minorHAnsi"/>
          <w:szCs w:val="28"/>
        </w:rPr>
        <w:t> </w:t>
      </w:r>
      <w:r w:rsidRPr="00A2231C">
        <w:rPr>
          <w:rFonts w:asciiTheme="minorHAnsi" w:hAnsiTheme="minorHAnsi" w:cstheme="minorHAnsi"/>
          <w:szCs w:val="28"/>
        </w:rPr>
        <w:t>środowiskowych uwarunkowaniach dla przedsięwzięcia polegającego na budowie elektrowni do produkcji odnawialnej energii elektrycznej z</w:t>
      </w:r>
      <w:r>
        <w:rPr>
          <w:rFonts w:asciiTheme="minorHAnsi" w:hAnsiTheme="minorHAnsi" w:cstheme="minorHAnsi"/>
          <w:szCs w:val="28"/>
        </w:rPr>
        <w:t> </w:t>
      </w:r>
      <w:r w:rsidRPr="00A2231C">
        <w:rPr>
          <w:rFonts w:asciiTheme="minorHAnsi" w:hAnsiTheme="minorHAnsi" w:cstheme="minorHAnsi"/>
          <w:szCs w:val="28"/>
        </w:rPr>
        <w:t>biogazu powstającego podczas rozkładu odpadów składowanych na zamkniętym składowisku odpadów na terenie działek o nr ewid.</w:t>
      </w:r>
      <w:r>
        <w:rPr>
          <w:rFonts w:asciiTheme="minorHAnsi" w:hAnsiTheme="minorHAnsi" w:cstheme="minorHAnsi"/>
          <w:szCs w:val="28"/>
        </w:rPr>
        <w:t>:</w:t>
      </w:r>
      <w:r w:rsidRPr="00A2231C">
        <w:rPr>
          <w:rFonts w:asciiTheme="minorHAnsi" w:hAnsiTheme="minorHAnsi" w:cstheme="minorHAnsi"/>
          <w:szCs w:val="28"/>
        </w:rPr>
        <w:t xml:space="preserve"> 22/7, 21/1</w:t>
      </w:r>
      <w:r>
        <w:rPr>
          <w:rFonts w:asciiTheme="minorHAnsi" w:hAnsiTheme="minorHAnsi" w:cstheme="minorHAnsi"/>
          <w:szCs w:val="28"/>
        </w:rPr>
        <w:t xml:space="preserve"> i</w:t>
      </w:r>
      <w:r w:rsidRPr="00A2231C">
        <w:rPr>
          <w:rFonts w:asciiTheme="minorHAnsi" w:hAnsiTheme="minorHAnsi" w:cstheme="minorHAnsi"/>
          <w:szCs w:val="28"/>
        </w:rPr>
        <w:t xml:space="preserve"> 22/8, obręb Dąbrowa;</w:t>
      </w:r>
    </w:p>
    <w:p w14:paraId="43DADE88" w14:textId="77777777" w:rsidR="005E3B80" w:rsidRPr="00A31703" w:rsidRDefault="005E3B80" w:rsidP="005E3B80">
      <w:pPr>
        <w:pStyle w:val="Akapitzlist"/>
        <w:numPr>
          <w:ilvl w:val="0"/>
          <w:numId w:val="2"/>
        </w:numPr>
        <w:spacing w:after="120"/>
        <w:ind w:left="567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3E97DD93" w14:textId="77777777" w:rsidR="005E3B80" w:rsidRPr="00311E92" w:rsidRDefault="005E3B80" w:rsidP="005E3B80">
      <w:pPr>
        <w:pStyle w:val="Akapitzlist"/>
        <w:numPr>
          <w:ilvl w:val="0"/>
          <w:numId w:val="4"/>
        </w:numPr>
        <w:tabs>
          <w:tab w:val="left" w:pos="709"/>
        </w:tabs>
        <w:spacing w:after="120"/>
        <w:rPr>
          <w:rFonts w:asciiTheme="minorHAnsi" w:hAnsiTheme="minorHAnsi" w:cstheme="minorHAnsi"/>
          <w:szCs w:val="28"/>
        </w:rPr>
      </w:pPr>
      <w:r w:rsidRPr="00311E92">
        <w:rPr>
          <w:rFonts w:asciiTheme="minorHAnsi" w:hAnsiTheme="minorHAnsi" w:cstheme="minorHAnsi"/>
          <w:szCs w:val="28"/>
        </w:rPr>
        <w:t xml:space="preserve">sposób zaopatrzenia w energię elektryczną: sieć elektroenergetyczna, </w:t>
      </w:r>
    </w:p>
    <w:p w14:paraId="631C25E5" w14:textId="77777777" w:rsidR="005E3B80" w:rsidRPr="00594B89" w:rsidRDefault="005E3B80" w:rsidP="005E3B80">
      <w:pPr>
        <w:pStyle w:val="Akapitzlist"/>
        <w:numPr>
          <w:ilvl w:val="0"/>
          <w:numId w:val="4"/>
        </w:numPr>
        <w:tabs>
          <w:tab w:val="left" w:pos="709"/>
        </w:tabs>
        <w:spacing w:after="120"/>
        <w:rPr>
          <w:rFonts w:asciiTheme="minorHAnsi" w:hAnsiTheme="minorHAnsi" w:cstheme="minorHAnsi"/>
          <w:szCs w:val="28"/>
        </w:rPr>
      </w:pPr>
      <w:r w:rsidRPr="0078642E">
        <w:rPr>
          <w:rFonts w:asciiTheme="minorHAnsi" w:hAnsiTheme="minorHAnsi" w:cstheme="minorHAnsi"/>
          <w:szCs w:val="28"/>
        </w:rPr>
        <w:t>gospodarowanie odpadami: zgodnie z przepisami odrębnymi</w:t>
      </w:r>
      <w:r w:rsidRPr="00A31703">
        <w:rPr>
          <w:rFonts w:asciiTheme="minorHAnsi" w:hAnsiTheme="minorHAnsi" w:cstheme="minorHAnsi"/>
          <w:szCs w:val="28"/>
        </w:rPr>
        <w:t>,</w:t>
      </w:r>
    </w:p>
    <w:p w14:paraId="49E6A5B2" w14:textId="77777777" w:rsidR="005E3B80" w:rsidRPr="00A31703" w:rsidRDefault="005E3B80" w:rsidP="005E3B80">
      <w:pPr>
        <w:pStyle w:val="Akapitzlist"/>
        <w:numPr>
          <w:ilvl w:val="0"/>
          <w:numId w:val="2"/>
        </w:numPr>
        <w:spacing w:after="120"/>
        <w:ind w:left="567" w:hanging="425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306F7FE5" w14:textId="77777777" w:rsidR="005E3B80" w:rsidRPr="00A31703" w:rsidRDefault="005E3B80" w:rsidP="005E3B80">
      <w:pPr>
        <w:pStyle w:val="Akapitzlist"/>
        <w:numPr>
          <w:ilvl w:val="0"/>
          <w:numId w:val="5"/>
        </w:numPr>
        <w:spacing w:after="120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408A530D" w14:textId="77777777" w:rsidR="005E3B80" w:rsidRPr="00A31703" w:rsidRDefault="005E3B80" w:rsidP="005E3B80">
      <w:pPr>
        <w:pStyle w:val="Akapitzlist"/>
        <w:numPr>
          <w:ilvl w:val="0"/>
          <w:numId w:val="6"/>
        </w:numPr>
        <w:spacing w:after="120"/>
        <w:ind w:left="993" w:hanging="426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5A0F1EB" w14:textId="77777777" w:rsidR="005E3B80" w:rsidRDefault="005E3B80" w:rsidP="005E3B80">
      <w:pPr>
        <w:pStyle w:val="Akapitzlist"/>
        <w:numPr>
          <w:ilvl w:val="0"/>
          <w:numId w:val="6"/>
        </w:numPr>
        <w:spacing w:after="120"/>
        <w:ind w:left="993" w:hanging="426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 xml:space="preserve">dostępu światła dziennego do pomieszczeń przeznaczonych na pobyt ludzi – inwestycja i sposób zagospodarowania </w:t>
      </w:r>
      <w:r>
        <w:rPr>
          <w:rFonts w:asciiTheme="minorHAnsi" w:hAnsiTheme="minorHAnsi" w:cstheme="minorHAnsi"/>
          <w:szCs w:val="28"/>
        </w:rPr>
        <w:t xml:space="preserve">terenu </w:t>
      </w:r>
      <w:r w:rsidRPr="00A31703">
        <w:rPr>
          <w:rFonts w:asciiTheme="minorHAnsi" w:hAnsiTheme="minorHAnsi" w:cstheme="minorHAnsi"/>
          <w:szCs w:val="28"/>
        </w:rPr>
        <w:t>powinny spełniać wymogi zawarte w przepisach techniczno – budowlanych, a jednocześnie na etapie opracowania projektu budowlanego należy uwzględnić wymagania w zakresie ochrony uzasadnionych interesów osób trzecich,</w:t>
      </w:r>
    </w:p>
    <w:p w14:paraId="5A6D6FD4" w14:textId="77777777" w:rsidR="005E3B80" w:rsidRDefault="005E3B80" w:rsidP="005E3B80">
      <w:pPr>
        <w:spacing w:after="120"/>
        <w:rPr>
          <w:rFonts w:asciiTheme="minorHAnsi" w:hAnsiTheme="minorHAnsi" w:cstheme="minorHAnsi"/>
          <w:szCs w:val="28"/>
        </w:rPr>
      </w:pPr>
    </w:p>
    <w:p w14:paraId="3367FF58" w14:textId="77777777" w:rsidR="005E3B80" w:rsidRDefault="005E3B80" w:rsidP="005E3B80">
      <w:pPr>
        <w:spacing w:after="120"/>
        <w:rPr>
          <w:rFonts w:asciiTheme="minorHAnsi" w:hAnsiTheme="minorHAnsi" w:cstheme="minorHAnsi"/>
          <w:szCs w:val="28"/>
        </w:rPr>
      </w:pPr>
    </w:p>
    <w:p w14:paraId="37BB98F4" w14:textId="77777777" w:rsidR="005E3B80" w:rsidRPr="004C38F4" w:rsidRDefault="005E3B80" w:rsidP="005E3B80">
      <w:pPr>
        <w:spacing w:after="120"/>
        <w:rPr>
          <w:rFonts w:asciiTheme="minorHAnsi" w:hAnsiTheme="minorHAnsi" w:cstheme="minorHAnsi"/>
          <w:szCs w:val="28"/>
        </w:rPr>
      </w:pPr>
    </w:p>
    <w:p w14:paraId="32E79525" w14:textId="77777777" w:rsidR="005E3B80" w:rsidRPr="00594B89" w:rsidRDefault="005E3B80" w:rsidP="005E3B80">
      <w:pPr>
        <w:pStyle w:val="Akapitzlist"/>
        <w:numPr>
          <w:ilvl w:val="0"/>
          <w:numId w:val="5"/>
        </w:numPr>
        <w:spacing w:after="120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lastRenderedPageBreak/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7951715F" w14:textId="77777777" w:rsidR="005E3B80" w:rsidRPr="004C38F4" w:rsidRDefault="005E3B80" w:rsidP="005E3B80">
      <w:pPr>
        <w:tabs>
          <w:tab w:val="left" w:pos="426"/>
        </w:tabs>
        <w:spacing w:after="120"/>
        <w:rPr>
          <w:rFonts w:asciiTheme="minorHAnsi" w:hAnsiTheme="minorHAnsi" w:cstheme="minorHAnsi"/>
          <w:bCs/>
          <w:szCs w:val="28"/>
        </w:rPr>
      </w:pPr>
      <w:r w:rsidRPr="00ED1303">
        <w:rPr>
          <w:rFonts w:asciiTheme="minorHAnsi" w:hAnsiTheme="minorHAnsi" w:cstheme="minorHAnsi"/>
          <w:bCs/>
          <w:szCs w:val="28"/>
        </w:rPr>
        <w:t>3.</w:t>
      </w:r>
      <w:r w:rsidRPr="00ED1303">
        <w:rPr>
          <w:rFonts w:asciiTheme="minorHAnsi" w:hAnsiTheme="minorHAnsi" w:cstheme="minorHAnsi"/>
          <w:bCs/>
          <w:szCs w:val="28"/>
        </w:rPr>
        <w:tab/>
        <w:t>Linie rozgraniczające teren inwestycji wyznaczone na mapie zasadniczej w skali 1:</w:t>
      </w:r>
      <w:r>
        <w:rPr>
          <w:rFonts w:asciiTheme="minorHAnsi" w:hAnsiTheme="minorHAnsi" w:cstheme="minorHAnsi"/>
          <w:bCs/>
          <w:szCs w:val="28"/>
        </w:rPr>
        <w:t>1000</w:t>
      </w:r>
      <w:r w:rsidRPr="00ED1303">
        <w:rPr>
          <w:rFonts w:asciiTheme="minorHAnsi" w:hAnsiTheme="minorHAnsi" w:cstheme="minorHAnsi"/>
          <w:bCs/>
          <w:szCs w:val="28"/>
        </w:rPr>
        <w:t>.</w:t>
      </w:r>
    </w:p>
    <w:p w14:paraId="44774DE9" w14:textId="77777777" w:rsidR="005E3B80" w:rsidRPr="00A31703" w:rsidRDefault="005E3B80" w:rsidP="005E3B80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Uzasadnienie</w:t>
      </w:r>
    </w:p>
    <w:p w14:paraId="2FF4BBFC" w14:textId="77777777" w:rsidR="005E3B80" w:rsidRPr="00AC4D26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AC4D26">
        <w:rPr>
          <w:rFonts w:asciiTheme="minorHAnsi" w:hAnsiTheme="minorHAnsi" w:cstheme="minorHAnsi"/>
          <w:szCs w:val="28"/>
        </w:rPr>
        <w:t>Stosownie do art. 59 ust. 2 ustawy z dnia 7 lipca 2023 r. o zmianie u.p.z.p. oraz niektórych innych ustaw (Dz. U. poz. 1688</w:t>
      </w:r>
      <w:r>
        <w:rPr>
          <w:rFonts w:asciiTheme="minorHAnsi" w:hAnsiTheme="minorHAnsi" w:cstheme="minorHAnsi"/>
          <w:szCs w:val="28"/>
        </w:rPr>
        <w:t xml:space="preserve"> i z 2024 r. poz. 1824</w:t>
      </w:r>
      <w:r w:rsidRPr="00AC4D26">
        <w:rPr>
          <w:rFonts w:asciiTheme="minorHAnsi" w:hAnsiTheme="minorHAnsi" w:cstheme="minorHAnsi"/>
          <w:szCs w:val="28"/>
        </w:rPr>
        <w:t>) do spraw dotyczących ustalenia lokalizacji inwestycji celu publicznego lub wydania decyzji o warunkach zabudowy, wszczętych od dnia wejścia w życie niniejszej ustawy i przed dniem utraty mocy studium uwarunkowań i</w:t>
      </w:r>
      <w:r>
        <w:rPr>
          <w:rFonts w:asciiTheme="minorHAnsi" w:hAnsiTheme="minorHAnsi" w:cstheme="minorHAnsi"/>
          <w:szCs w:val="28"/>
        </w:rPr>
        <w:t> </w:t>
      </w:r>
      <w:r w:rsidRPr="00AC4D26">
        <w:rPr>
          <w:rFonts w:asciiTheme="minorHAnsi" w:hAnsiTheme="minorHAnsi" w:cstheme="minorHAnsi"/>
          <w:szCs w:val="28"/>
        </w:rPr>
        <w:t>kierunków zagospodarowania przestrzennego gminy w danej gminie:</w:t>
      </w:r>
    </w:p>
    <w:p w14:paraId="5ADC924E" w14:textId="77777777" w:rsidR="005E3B80" w:rsidRPr="00AC4D26" w:rsidRDefault="005E3B80" w:rsidP="005E3B80">
      <w:pPr>
        <w:numPr>
          <w:ilvl w:val="0"/>
          <w:numId w:val="13"/>
        </w:numPr>
        <w:tabs>
          <w:tab w:val="left" w:pos="993"/>
        </w:tabs>
        <w:spacing w:after="120"/>
        <w:rPr>
          <w:rFonts w:asciiTheme="minorHAnsi" w:hAnsiTheme="minorHAnsi" w:cstheme="minorHAnsi"/>
          <w:szCs w:val="28"/>
        </w:rPr>
      </w:pPr>
      <w:r w:rsidRPr="00AC4D26">
        <w:rPr>
          <w:rFonts w:asciiTheme="minorHAnsi" w:hAnsiTheme="minorHAnsi" w:cstheme="minorHAnsi"/>
          <w:szCs w:val="28"/>
        </w:rPr>
        <w:t>stosuje się przepisy art. 54 oraz art. 61 ust. 1 pkt 1, ust. 2, 3 i 5a ustawy zmienianej w art. 1 w brzmieniu dotychczasowym;</w:t>
      </w:r>
    </w:p>
    <w:p w14:paraId="5AE5996B" w14:textId="77777777" w:rsidR="005E3B80" w:rsidRPr="00AC4D26" w:rsidRDefault="005E3B80" w:rsidP="005E3B80">
      <w:pPr>
        <w:numPr>
          <w:ilvl w:val="0"/>
          <w:numId w:val="13"/>
        </w:numPr>
        <w:tabs>
          <w:tab w:val="left" w:pos="993"/>
        </w:tabs>
        <w:spacing w:after="120"/>
        <w:rPr>
          <w:rFonts w:asciiTheme="minorHAnsi" w:hAnsiTheme="minorHAnsi" w:cstheme="minorHAnsi"/>
          <w:szCs w:val="28"/>
        </w:rPr>
      </w:pPr>
      <w:r w:rsidRPr="00AC4D26">
        <w:rPr>
          <w:rFonts w:asciiTheme="minorHAnsi" w:hAnsiTheme="minorHAnsi" w:cstheme="minorHAnsi"/>
          <w:szCs w:val="28"/>
        </w:rPr>
        <w:t>nie stosuje się przepisów art. 61 ust. 1 pkt 1, ust. 2, 3 i 5a ustawy zmienianej w art.</w:t>
      </w:r>
      <w:r>
        <w:rPr>
          <w:rFonts w:asciiTheme="minorHAnsi" w:hAnsiTheme="minorHAnsi" w:cstheme="minorHAnsi"/>
          <w:szCs w:val="28"/>
        </w:rPr>
        <w:t xml:space="preserve"> </w:t>
      </w:r>
      <w:r w:rsidRPr="00AC4D26">
        <w:rPr>
          <w:rFonts w:asciiTheme="minorHAnsi" w:hAnsiTheme="minorHAnsi" w:cstheme="minorHAnsi"/>
          <w:szCs w:val="28"/>
        </w:rPr>
        <w:t xml:space="preserve">1. </w:t>
      </w:r>
    </w:p>
    <w:p w14:paraId="353B8AF8" w14:textId="77777777" w:rsidR="005E3B80" w:rsidRPr="00AC4D26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AC4D26">
        <w:rPr>
          <w:rFonts w:asciiTheme="minorHAnsi" w:hAnsiTheme="minorHAnsi" w:cstheme="minorHAnsi"/>
          <w:szCs w:val="28"/>
        </w:rPr>
        <w:t>Stosownie do art. 4 ust. 2 pkt 2 u.p.z.p. w przypadku braku miejscowego planu zagospodarowania przestrzennego określenie sposobów zagospodarowania i warunków zabudowy terenu dla lokalizacji inwestycji innych niż celu publicznego następuje w drodze decyzji o warunkach zabudowy.</w:t>
      </w:r>
    </w:p>
    <w:p w14:paraId="484F118D" w14:textId="77777777" w:rsidR="005E3B80" w:rsidRPr="00AC4D26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AC4D26">
        <w:rPr>
          <w:rFonts w:asciiTheme="minorHAnsi" w:hAnsiTheme="minorHAnsi" w:cstheme="minorHAnsi"/>
          <w:szCs w:val="28"/>
        </w:rPr>
        <w:t>W myśl art. 59 ust. 1 u.p.z.p. zmiana zagospodarowania terenu w przypadku braku planu miejscowego, a także zmiana sposobu użytkowania obiektu budowlanego lub jego części, z uwzględnieniem art. 50 ust. 1 i art. 86, wymaga ustalenia, w drodze decyzji, warunków zabudowy. Przepis art. 50 ust. 2 pkt 1 stosuje się odpowiednio.</w:t>
      </w:r>
    </w:p>
    <w:p w14:paraId="1C6136AD" w14:textId="77777777" w:rsidR="005E3B80" w:rsidRPr="00AC4D26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AC4D26">
        <w:rPr>
          <w:rFonts w:asciiTheme="minorHAnsi" w:hAnsiTheme="minorHAnsi" w:cstheme="minorHAnsi"/>
          <w:szCs w:val="28"/>
        </w:rPr>
        <w:t>Zgodnie z art. 60 ust. 1 u.p.z.p. decyzję o warunkach zabudowy wydaje, z zastrzeżeniem ust. 3, wójt, burmistrz albo prezydent miasta po uzgodnieniu z organami, o których mowa w art. 53 ust. 4 i uzyskaniu uzgodnień lub decyzji wymaganych przepisami odrębnymi.</w:t>
      </w:r>
    </w:p>
    <w:p w14:paraId="587B4644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0C437A1E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13B09B75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AC4D26">
        <w:rPr>
          <w:rFonts w:asciiTheme="minorHAnsi" w:hAnsiTheme="minorHAnsi" w:cstheme="minorHAnsi"/>
          <w:szCs w:val="28"/>
        </w:rPr>
        <w:lastRenderedPageBreak/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794880B6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Z kolei zgodnie z art. 61 ust. 3 u.p.z.p. do</w:t>
      </w:r>
      <w:r w:rsidRPr="00A714BF">
        <w:rPr>
          <w:rFonts w:asciiTheme="minorHAnsi" w:hAnsiTheme="minorHAnsi" w:cstheme="minorHAnsi"/>
          <w:szCs w:val="28"/>
        </w:rPr>
        <w:t xml:space="preserve"> instalacji odnawialnego źródła energii w rozumieniu art. 2 pkt 13 ustawy z dnia 20 lutego 2015 r. o</w:t>
      </w:r>
      <w:r>
        <w:rPr>
          <w:rFonts w:asciiTheme="minorHAnsi" w:hAnsiTheme="minorHAnsi" w:cstheme="minorHAnsi"/>
          <w:szCs w:val="28"/>
        </w:rPr>
        <w:t> </w:t>
      </w:r>
      <w:r w:rsidRPr="00A714BF">
        <w:rPr>
          <w:rFonts w:asciiTheme="minorHAnsi" w:hAnsiTheme="minorHAnsi" w:cstheme="minorHAnsi"/>
          <w:szCs w:val="28"/>
        </w:rPr>
        <w:t>odnawialnych źródłach energii</w:t>
      </w:r>
      <w:r>
        <w:rPr>
          <w:rFonts w:asciiTheme="minorHAnsi" w:hAnsiTheme="minorHAnsi" w:cstheme="minorHAnsi"/>
          <w:szCs w:val="28"/>
        </w:rPr>
        <w:t xml:space="preserve"> nie stosuje się p</w:t>
      </w:r>
      <w:r w:rsidRPr="00A714BF">
        <w:rPr>
          <w:rFonts w:asciiTheme="minorHAnsi" w:hAnsiTheme="minorHAnsi" w:cstheme="minorHAnsi"/>
          <w:szCs w:val="28"/>
        </w:rPr>
        <w:t>rzepisów ust. 1 pkt 1 i 2</w:t>
      </w:r>
      <w:r>
        <w:rPr>
          <w:rFonts w:asciiTheme="minorHAnsi" w:hAnsiTheme="minorHAnsi" w:cstheme="minorHAnsi"/>
          <w:szCs w:val="28"/>
        </w:rPr>
        <w:t xml:space="preserve">. </w:t>
      </w:r>
      <w:r w:rsidRPr="0016753D">
        <w:rPr>
          <w:rFonts w:asciiTheme="minorHAnsi" w:hAnsiTheme="minorHAnsi" w:cstheme="minorHAnsi"/>
          <w:szCs w:val="28"/>
        </w:rPr>
        <w:t>Przepis ten przewiduje zwolnienie z obowiązku spełnienia tzw. zasady dobrego sąsiedztwa i dostępu do drogi publicznej m.in. instalacji odnawialnego źródła energii. Zwolnienie to wynika z faktu, że spełnienie takich wymogów w przypadku instalacji odnawialnego źródła energii jest z</w:t>
      </w:r>
      <w:r>
        <w:rPr>
          <w:rFonts w:asciiTheme="minorHAnsi" w:hAnsiTheme="minorHAnsi" w:cstheme="minorHAnsi"/>
          <w:szCs w:val="28"/>
        </w:rPr>
        <w:t> </w:t>
      </w:r>
      <w:r w:rsidRPr="0016753D">
        <w:rPr>
          <w:rFonts w:asciiTheme="minorHAnsi" w:hAnsiTheme="minorHAnsi" w:cstheme="minorHAnsi"/>
          <w:szCs w:val="28"/>
        </w:rPr>
        <w:t>punktu zachowania ładu przestrzennego zbędne i racjonalne.</w:t>
      </w:r>
    </w:p>
    <w:p w14:paraId="6D7EC292" w14:textId="77777777" w:rsidR="005E3B80" w:rsidRPr="00A31703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 xml:space="preserve">Do wniosku o ustalenie warunków zabudowy Wnioskodawca załączył charakterystykę zabudowy i zagospodarowania terenu, w tym przeznaczenia i gabarytów projektowanego obiektu budowlanego oraz powierzchni terenu podlegającej przekształceniu, przedstawioną w formie opisowej i graficznej, która znajduje się w aktach sprawy. Treść wniosku oraz załącznik graficzny do wniosku są ze sobą spójne. W części graficznej Wnioskodawca wskazał również obszar, na który planowana inwestycja będzie oddziaływać. Wniosek zatem był kompletny. </w:t>
      </w:r>
    </w:p>
    <w:p w14:paraId="32FB5001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A1187D">
        <w:rPr>
          <w:rFonts w:asciiTheme="minorHAnsi" w:hAnsiTheme="minorHAnsi" w:cstheme="minorHAnsi"/>
          <w:szCs w:val="28"/>
        </w:rPr>
        <w:t>Planowane przedsięwzięcie polega na budowie instalacji do produkcji odnawialnej energii elektrycznej z biogazu powstającego podczas rozkładu odpadów składowanych na zamkniętym składowisku odpadów innych niż niebezpieczne i obojętne w Mateuszewie. Realizacja planowanej inwestycji przewidziana jest na działkach o nr ewid.: 21/1, 22/</w:t>
      </w:r>
      <w:r>
        <w:rPr>
          <w:rFonts w:asciiTheme="minorHAnsi" w:hAnsiTheme="minorHAnsi" w:cstheme="minorHAnsi"/>
          <w:szCs w:val="28"/>
        </w:rPr>
        <w:t>7</w:t>
      </w:r>
      <w:r w:rsidRPr="00A1187D">
        <w:rPr>
          <w:rFonts w:asciiTheme="minorHAnsi" w:hAnsiTheme="minorHAnsi" w:cstheme="minorHAnsi"/>
          <w:szCs w:val="28"/>
        </w:rPr>
        <w:t xml:space="preserve"> i 22/</w:t>
      </w:r>
      <w:r>
        <w:rPr>
          <w:rFonts w:asciiTheme="minorHAnsi" w:hAnsiTheme="minorHAnsi" w:cstheme="minorHAnsi"/>
          <w:szCs w:val="28"/>
        </w:rPr>
        <w:t>8</w:t>
      </w:r>
      <w:r w:rsidRPr="00A1187D">
        <w:rPr>
          <w:rFonts w:asciiTheme="minorHAnsi" w:hAnsiTheme="minorHAnsi" w:cstheme="minorHAnsi"/>
          <w:szCs w:val="28"/>
        </w:rPr>
        <w:t>, obręb Dąbrowa.</w:t>
      </w:r>
      <w:r>
        <w:rPr>
          <w:rFonts w:asciiTheme="minorHAnsi" w:hAnsiTheme="minorHAnsi" w:cstheme="minorHAnsi"/>
          <w:szCs w:val="28"/>
        </w:rPr>
        <w:t xml:space="preserve"> Aktualnie na terenie objętym wnioskiem zlokalizowany jest budynek usługowy, stacja tankowania LNG/CNG, wiata wolno stojąca, zbiornik na gaz, zbiornik wód odciekowych, składowisko odpadów oraz utwardzenia części terenu. Planowane przedsięwzięcie ma odbywać się poprzez kontrolowane zbieranie gazu produkowanego w wyniku rozkładu odpadów za pomocą studni i rurociągów zbiorczych. Zbierany gaz będzie stanowił paliwo dla generatora produkującego prąd elektryczny. </w:t>
      </w:r>
    </w:p>
    <w:p w14:paraId="6E38FEAB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Zgodnie z informacją dołączoną do wniosku moc biogazowni wyniesie nie więcej niż 150 kW. Przewiduje się wyprodukowanie ca 660 MWh rocznie energii elektrycznej. W ramach przedsięwzięcia planuje się posadowić: nie więcej niż 17 studni biogazowych, nie więcej niż 17 głowic studni gazowych wraz z uszczelnieniem, rurociągi instalacji gazowej, nie więcej niż 17 </w:t>
      </w:r>
      <w:r>
        <w:rPr>
          <w:rFonts w:asciiTheme="minorHAnsi" w:hAnsiTheme="minorHAnsi" w:cstheme="minorHAnsi"/>
          <w:szCs w:val="28"/>
        </w:rPr>
        <w:lastRenderedPageBreak/>
        <w:t xml:space="preserve">odwadniaczy bateryjnych, stację zbiorczą z ssawą gazową i pochodnią, rurociąg przesyłowy pomiędzy ssawą gazową i agregatem prądotwórczym, odwadniacz rurociągu przesyłowego i agregat prądotwórczy o mocy elektrycznej 150 kW. </w:t>
      </w:r>
    </w:p>
    <w:p w14:paraId="1B8ECAD4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Zgodnie z informacją dołączoną przez Wnioskodawcę stacja kontenerowa o powierzchni wynoszącej nie większej niż 72 m</w:t>
      </w:r>
      <w:r w:rsidRPr="0084765C">
        <w:rPr>
          <w:rFonts w:asciiTheme="minorHAnsi" w:hAnsiTheme="minorHAnsi" w:cstheme="minorHAnsi"/>
          <w:szCs w:val="28"/>
          <w:vertAlign w:val="superscript"/>
        </w:rPr>
        <w:t>2</w:t>
      </w:r>
      <w:r>
        <w:rPr>
          <w:rFonts w:asciiTheme="minorHAnsi" w:hAnsiTheme="minorHAnsi" w:cstheme="minorHAnsi"/>
          <w:szCs w:val="28"/>
        </w:rPr>
        <w:t xml:space="preserve">, posadowiona zostanie w północnej części działki o nr ewid. 22/7, obręb Dąbrowa, natomiast ssawa gazowa oraz bateryjna stacja odwadniająca otwarta zlokalizowana zostanie w południowej części działki. Na działkach o nr ewid. 21/1 i 22/8, obręb Dąbrowa, umieszczone zostaną rurociągi przesyłowe o średnicy nie większej niż 63 mm i łącznej długości nie większej niż 1500 m oraz studnie gazowe o średnicy nie większej niż 1,2 m każda. Wyprodukowana energia elektryczna zostanie wprowadzona do sieci elektroenergetycznej za pomocą linii kablowej oraz transformatora. </w:t>
      </w:r>
    </w:p>
    <w:p w14:paraId="5007DF49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Biorąc powyższe pod uwagę planowana inwestycja jest </w:t>
      </w:r>
      <w:r w:rsidRPr="00861D12">
        <w:rPr>
          <w:rFonts w:asciiTheme="minorHAnsi" w:hAnsiTheme="minorHAnsi" w:cstheme="minorHAnsi"/>
          <w:szCs w:val="28"/>
        </w:rPr>
        <w:t>instalacj</w:t>
      </w:r>
      <w:r>
        <w:rPr>
          <w:rFonts w:asciiTheme="minorHAnsi" w:hAnsiTheme="minorHAnsi" w:cstheme="minorHAnsi"/>
          <w:szCs w:val="28"/>
        </w:rPr>
        <w:t>ą</w:t>
      </w:r>
      <w:r w:rsidRPr="00861D12">
        <w:rPr>
          <w:rFonts w:asciiTheme="minorHAnsi" w:hAnsiTheme="minorHAnsi" w:cstheme="minorHAnsi"/>
          <w:szCs w:val="28"/>
        </w:rPr>
        <w:t xml:space="preserve"> odnawialnego źródła energii</w:t>
      </w:r>
      <w:r>
        <w:rPr>
          <w:rFonts w:asciiTheme="minorHAnsi" w:hAnsiTheme="minorHAnsi" w:cstheme="minorHAnsi"/>
          <w:szCs w:val="28"/>
        </w:rPr>
        <w:t xml:space="preserve">, czyli </w:t>
      </w:r>
      <w:r w:rsidRPr="00861D12">
        <w:rPr>
          <w:rFonts w:asciiTheme="minorHAnsi" w:hAnsiTheme="minorHAnsi" w:cstheme="minorHAnsi"/>
          <w:szCs w:val="28"/>
        </w:rPr>
        <w:t>instalacj</w:t>
      </w:r>
      <w:r>
        <w:rPr>
          <w:rFonts w:asciiTheme="minorHAnsi" w:hAnsiTheme="minorHAnsi" w:cstheme="minorHAnsi"/>
          <w:szCs w:val="28"/>
        </w:rPr>
        <w:t>ą</w:t>
      </w:r>
      <w:r w:rsidRPr="00861D12">
        <w:rPr>
          <w:rFonts w:asciiTheme="minorHAnsi" w:hAnsiTheme="minorHAnsi" w:cstheme="minorHAnsi"/>
          <w:szCs w:val="28"/>
        </w:rPr>
        <w:t xml:space="preserve"> stanowiącą wyodrębniony zespół</w:t>
      </w:r>
      <w:r>
        <w:rPr>
          <w:rFonts w:asciiTheme="minorHAnsi" w:hAnsiTheme="minorHAnsi" w:cstheme="minorHAnsi"/>
          <w:szCs w:val="28"/>
        </w:rPr>
        <w:t xml:space="preserve"> </w:t>
      </w:r>
      <w:r w:rsidRPr="005A30F1">
        <w:rPr>
          <w:rFonts w:asciiTheme="minorHAnsi" w:hAnsiTheme="minorHAnsi" w:cstheme="minorHAnsi"/>
          <w:szCs w:val="28"/>
        </w:rPr>
        <w:t>obiektów budowlanych i urządzeń, stanowiących całość techniczno-użytkową służącą do wytwarzania biogazu</w:t>
      </w:r>
      <w:r>
        <w:rPr>
          <w:rFonts w:asciiTheme="minorHAnsi" w:hAnsiTheme="minorHAnsi" w:cstheme="minorHAnsi"/>
          <w:szCs w:val="28"/>
        </w:rPr>
        <w:t xml:space="preserve"> (art. </w:t>
      </w:r>
      <w:r w:rsidRPr="00BE1C4A">
        <w:rPr>
          <w:rFonts w:asciiTheme="minorHAnsi" w:hAnsiTheme="minorHAnsi" w:cstheme="minorHAnsi"/>
          <w:szCs w:val="28"/>
        </w:rPr>
        <w:t>2 pkt 13 lit. b ustawy z dnia 20 lutego 2015 r. o odnawialnych źródłach energii</w:t>
      </w:r>
      <w:r>
        <w:rPr>
          <w:rFonts w:asciiTheme="minorHAnsi" w:hAnsiTheme="minorHAnsi" w:cstheme="minorHAnsi"/>
          <w:szCs w:val="28"/>
        </w:rPr>
        <w:t>).</w:t>
      </w:r>
    </w:p>
    <w:p w14:paraId="590DDD2B" w14:textId="77777777" w:rsidR="005E3B80" w:rsidRPr="00540A51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750382">
        <w:rPr>
          <w:rFonts w:asciiTheme="minorHAnsi" w:hAnsiTheme="minorHAnsi" w:cstheme="minorHAnsi"/>
          <w:szCs w:val="28"/>
        </w:rPr>
        <w:t xml:space="preserve">Przedmiotowy teren o powierzchni 6,43 ha, zgodnie z prowadzoną przez Starostę Śremskiego ewidencją gruntów i budynków stanowi tereny przemysłowe. </w:t>
      </w:r>
      <w:r w:rsidRPr="00540A51">
        <w:rPr>
          <w:rFonts w:asciiTheme="minorHAnsi" w:hAnsiTheme="minorHAnsi" w:cstheme="minorHAnsi"/>
          <w:szCs w:val="28"/>
        </w:rPr>
        <w:t>Teren planowanej inwestycji bezpośrednio graniczy z drogą gminną od południowego zachodu i zachodu, lasem od strony północnej oraz gruntami ornymi od południa i wschodu.</w:t>
      </w:r>
    </w:p>
    <w:p w14:paraId="03EA98CF" w14:textId="77777777" w:rsidR="005E3B80" w:rsidRPr="00A31703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Dla terenu projektowanej inwestycji nie został uchwalony miejscowy plan zagospodarowania przestrzennego</w:t>
      </w:r>
      <w:r>
        <w:rPr>
          <w:rFonts w:asciiTheme="minorHAnsi" w:hAnsiTheme="minorHAnsi" w:cstheme="minorHAnsi"/>
          <w:szCs w:val="28"/>
        </w:rPr>
        <w:t>, plan ogólny gminy</w:t>
      </w:r>
      <w:r w:rsidRPr="00A31703">
        <w:rPr>
          <w:rFonts w:asciiTheme="minorHAnsi" w:hAnsiTheme="minorHAnsi" w:cstheme="minorHAnsi"/>
          <w:szCs w:val="28"/>
        </w:rPr>
        <w:t xml:space="preserve"> ani nie została podjęta uchwała w sprawie przystąpienia do sporządzenia miejscowego planu zagospodarowania przestrzennego.</w:t>
      </w:r>
    </w:p>
    <w:p w14:paraId="59F4FD09" w14:textId="77777777" w:rsidR="005E3B80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8E44A4">
        <w:rPr>
          <w:rFonts w:asciiTheme="minorHAnsi" w:hAnsiTheme="minorHAnsi" w:cstheme="minorHAnsi"/>
          <w:szCs w:val="28"/>
        </w:rPr>
        <w:t>Stosownie do art. 53 ust. 3 w związku z art. 64 ust. 1 u.p.z.p. przeprowadzone zostały analizy: warunków i zasad zagospodarowania terenu oraz jego zabudowy, wynikających z przepisów odrębnych, oraz stanu faktycznego i prawnego terenu, na którym przewiduje się realizację inwestycji. Analizy znajdują się w aktach sprawy.</w:t>
      </w:r>
      <w:r>
        <w:rPr>
          <w:rFonts w:asciiTheme="minorHAnsi" w:hAnsiTheme="minorHAnsi" w:cstheme="minorHAnsi"/>
          <w:szCs w:val="28"/>
        </w:rPr>
        <w:t xml:space="preserve"> </w:t>
      </w:r>
    </w:p>
    <w:p w14:paraId="269C392F" w14:textId="77777777" w:rsidR="005E3B80" w:rsidRPr="00A31703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 xml:space="preserve">Zgodnie z art. 60 ust. 4 </w:t>
      </w:r>
      <w:r w:rsidRPr="008A61B4">
        <w:rPr>
          <w:rFonts w:asciiTheme="minorHAnsi" w:hAnsiTheme="minorHAnsi" w:cstheme="minorHAnsi"/>
          <w:szCs w:val="28"/>
        </w:rPr>
        <w:t>u.p.z.p.</w:t>
      </w:r>
      <w:r>
        <w:rPr>
          <w:rFonts w:asciiTheme="minorHAnsi" w:hAnsiTheme="minorHAnsi" w:cstheme="minorHAnsi"/>
          <w:szCs w:val="28"/>
        </w:rPr>
        <w:t xml:space="preserve"> </w:t>
      </w:r>
      <w:r w:rsidRPr="00A31703">
        <w:rPr>
          <w:rFonts w:asciiTheme="minorHAnsi" w:hAnsiTheme="minorHAnsi" w:cstheme="minorHAnsi"/>
          <w:szCs w:val="28"/>
        </w:rPr>
        <w:t>sporządzenie projektu decyzji o</w:t>
      </w:r>
      <w:r>
        <w:rPr>
          <w:rFonts w:asciiTheme="minorHAnsi" w:hAnsiTheme="minorHAnsi" w:cstheme="minorHAnsi"/>
          <w:szCs w:val="28"/>
        </w:rPr>
        <w:t> </w:t>
      </w:r>
      <w:r w:rsidRPr="00A31703">
        <w:rPr>
          <w:rFonts w:asciiTheme="minorHAnsi" w:hAnsiTheme="minorHAnsi" w:cstheme="minorHAnsi"/>
          <w:szCs w:val="28"/>
        </w:rPr>
        <w:t>warunków zabudowy powierzono osobie spełniającej warunki określone w</w:t>
      </w:r>
      <w:r>
        <w:rPr>
          <w:rFonts w:asciiTheme="minorHAnsi" w:hAnsiTheme="minorHAnsi" w:cstheme="minorHAnsi"/>
          <w:szCs w:val="28"/>
        </w:rPr>
        <w:t> </w:t>
      </w:r>
      <w:r w:rsidRPr="00A31703">
        <w:rPr>
          <w:rFonts w:asciiTheme="minorHAnsi" w:hAnsiTheme="minorHAnsi" w:cstheme="minorHAnsi"/>
          <w:szCs w:val="28"/>
        </w:rPr>
        <w:t xml:space="preserve">art. 5 pkt 4. Projekt decyzji znajduje się w aktach sprawy. </w:t>
      </w:r>
    </w:p>
    <w:p w14:paraId="524A7DAA" w14:textId="77777777" w:rsidR="005E3B80" w:rsidRDefault="005E3B80" w:rsidP="005E3B80">
      <w:pPr>
        <w:widowControl w:val="0"/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0EC3C870" w14:textId="77777777" w:rsidR="005E3B80" w:rsidRPr="005403A9" w:rsidRDefault="005E3B80" w:rsidP="005E3B80">
      <w:pPr>
        <w:widowControl w:val="0"/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lastRenderedPageBreak/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7ED36D3" w14:textId="77777777" w:rsidR="005E3B80" w:rsidRPr="005403A9" w:rsidRDefault="005E3B80" w:rsidP="005E3B80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występowaniem złóż kopalin oraz obecnych i przyszłych potrzeb eksploatacji tych złóż;</w:t>
      </w:r>
    </w:p>
    <w:p w14:paraId="325CF0BB" w14:textId="77777777" w:rsidR="005E3B80" w:rsidRPr="005403A9" w:rsidRDefault="005E3B80" w:rsidP="005E3B80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ochroną wód, gleby i ziemi przed zanieczyszczeniem w związku z prowadzeniem gospodarki rolnej;</w:t>
      </w:r>
    </w:p>
    <w:p w14:paraId="328BF2A0" w14:textId="77777777" w:rsidR="005E3B80" w:rsidRPr="005B5628" w:rsidRDefault="005E3B80" w:rsidP="005E3B80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potrzebami w zakresie zapobiegania ruchom masowym ziemi i ich skutkom</w:t>
      </w:r>
      <w:r w:rsidRPr="005B5628">
        <w:rPr>
          <w:rFonts w:asciiTheme="minorHAnsi" w:hAnsiTheme="minorHAnsi" w:cstheme="minorHAnsi"/>
          <w:szCs w:val="28"/>
        </w:rPr>
        <w:t>;</w:t>
      </w:r>
    </w:p>
    <w:p w14:paraId="3DE7C2E9" w14:textId="77777777" w:rsidR="005E3B80" w:rsidRPr="000A2EB9" w:rsidRDefault="005E3B80" w:rsidP="005E3B80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ograniczeniami wynikającymi z ustanowienia w trybie ustawy z dnia 16 kwietnia 2004 r. o ochronie przyrody (Dz. U. z 202</w:t>
      </w:r>
      <w:r>
        <w:rPr>
          <w:rFonts w:asciiTheme="minorHAnsi" w:hAnsiTheme="minorHAnsi" w:cstheme="minorHAnsi"/>
          <w:szCs w:val="28"/>
        </w:rPr>
        <w:t>4</w:t>
      </w:r>
      <w:r w:rsidRPr="005403A9">
        <w:rPr>
          <w:rFonts w:asciiTheme="minorHAnsi" w:hAnsiTheme="minorHAnsi" w:cstheme="minorHAnsi"/>
          <w:szCs w:val="28"/>
        </w:rPr>
        <w:t> r. poz.</w:t>
      </w:r>
      <w:r>
        <w:rPr>
          <w:rFonts w:asciiTheme="minorHAnsi" w:hAnsiTheme="minorHAnsi" w:cstheme="minorHAnsi"/>
          <w:szCs w:val="28"/>
        </w:rPr>
        <w:t xml:space="preserve"> 1478 i 1940)</w:t>
      </w:r>
      <w:r w:rsidRPr="005403A9">
        <w:rPr>
          <w:rFonts w:asciiTheme="minorHAnsi" w:hAnsiTheme="minorHAnsi" w:cstheme="minorHAnsi"/>
          <w:szCs w:val="28"/>
        </w:rPr>
        <w:t xml:space="preserve"> form ochrony przyrody oraz ustaleń obowiązujących planów ochrony;</w:t>
      </w:r>
    </w:p>
    <w:p w14:paraId="7F2D35DD" w14:textId="77777777" w:rsidR="005E3B80" w:rsidRPr="005403A9" w:rsidRDefault="005E3B80" w:rsidP="005E3B80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ograniczeniami wynikającymi z ustalenia w trybie przepisów ustawy z dnia 20 lipca 2017 r. – Prawo wodne (Dz. U. z 2024 r. poz. 1087, 1089</w:t>
      </w:r>
      <w:r>
        <w:rPr>
          <w:rFonts w:asciiTheme="minorHAnsi" w:hAnsiTheme="minorHAnsi" w:cstheme="minorHAnsi"/>
          <w:szCs w:val="28"/>
        </w:rPr>
        <w:t xml:space="preserve">, </w:t>
      </w:r>
      <w:r w:rsidRPr="005403A9">
        <w:rPr>
          <w:rFonts w:asciiTheme="minorHAnsi" w:hAnsiTheme="minorHAnsi" w:cstheme="minorHAnsi"/>
          <w:szCs w:val="28"/>
        </w:rPr>
        <w:t>1473</w:t>
      </w:r>
      <w:r>
        <w:rPr>
          <w:rFonts w:asciiTheme="minorHAnsi" w:hAnsiTheme="minorHAnsi" w:cstheme="minorHAnsi"/>
          <w:szCs w:val="28"/>
        </w:rPr>
        <w:t xml:space="preserve"> </w:t>
      </w:r>
      <w:r w:rsidRPr="005403A9">
        <w:rPr>
          <w:rFonts w:asciiTheme="minorHAnsi" w:hAnsiTheme="minorHAnsi" w:cstheme="minorHAnsi"/>
          <w:szCs w:val="28"/>
        </w:rPr>
        <w:t>z 2023 r. poz. 877</w:t>
      </w:r>
      <w:r>
        <w:rPr>
          <w:rFonts w:asciiTheme="minorHAnsi" w:hAnsiTheme="minorHAnsi" w:cstheme="minorHAnsi"/>
          <w:szCs w:val="28"/>
        </w:rPr>
        <w:t xml:space="preserve"> i z 2025 r. poz. 216</w:t>
      </w:r>
      <w:r w:rsidRPr="005403A9">
        <w:rPr>
          <w:rFonts w:asciiTheme="minorHAnsi" w:hAnsiTheme="minorHAnsi" w:cstheme="minorHAnsi"/>
          <w:szCs w:val="28"/>
        </w:rPr>
        <w:t>) warunków korzystania z wód regionu wodnego i zlewni oraz ustanowienia stref ochronnych ujęć wód, a</w:t>
      </w:r>
      <w:r>
        <w:rPr>
          <w:rFonts w:asciiTheme="minorHAnsi" w:hAnsiTheme="minorHAnsi" w:cstheme="minorHAnsi"/>
          <w:szCs w:val="28"/>
        </w:rPr>
        <w:t> </w:t>
      </w:r>
      <w:r w:rsidRPr="005403A9">
        <w:rPr>
          <w:rFonts w:asciiTheme="minorHAnsi" w:hAnsiTheme="minorHAnsi" w:cstheme="minorHAnsi"/>
          <w:szCs w:val="28"/>
        </w:rPr>
        <w:t>także obszarów ochronnych zbiorników wód śródlądowych;</w:t>
      </w:r>
    </w:p>
    <w:p w14:paraId="04785B98" w14:textId="77777777" w:rsidR="005E3B80" w:rsidRPr="005403A9" w:rsidRDefault="005E3B80" w:rsidP="005E3B80">
      <w:pPr>
        <w:pStyle w:val="Akapitzlist"/>
        <w:widowControl w:val="0"/>
        <w:numPr>
          <w:ilvl w:val="0"/>
          <w:numId w:val="8"/>
        </w:numPr>
        <w:tabs>
          <w:tab w:val="left" w:pos="993"/>
        </w:tabs>
        <w:autoSpaceDE w:val="0"/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</w:p>
    <w:p w14:paraId="185E96E2" w14:textId="77777777" w:rsidR="005E3B80" w:rsidRPr="005403A9" w:rsidRDefault="005E3B80" w:rsidP="005E3B80">
      <w:pPr>
        <w:widowControl w:val="0"/>
        <w:tabs>
          <w:tab w:val="left" w:pos="993"/>
        </w:tabs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bookmarkStart w:id="1" w:name="_Hlk152135935"/>
      <w:r w:rsidRPr="005403A9">
        <w:rPr>
          <w:rFonts w:asciiTheme="minorHAnsi" w:hAnsiTheme="minorHAnsi" w:cstheme="minorHAnsi"/>
          <w:szCs w:val="28"/>
        </w:rPr>
        <w:t>oraz ochroną obiektów budowlanych na terenach górniczych, w</w:t>
      </w:r>
      <w:r>
        <w:rPr>
          <w:rFonts w:asciiTheme="minorHAnsi" w:hAnsiTheme="minorHAnsi" w:cstheme="minorHAnsi"/>
          <w:szCs w:val="28"/>
        </w:rPr>
        <w:t> </w:t>
      </w:r>
      <w:r w:rsidRPr="005403A9">
        <w:rPr>
          <w:rFonts w:asciiTheme="minorHAnsi" w:hAnsiTheme="minorHAnsi" w:cstheme="minorHAnsi"/>
          <w:szCs w:val="28"/>
        </w:rPr>
        <w:t>zakresie granic i sposobów zagospodarowania terenów lub obiektów podlegających ochronie, ustalonych na podstawie odrębnych przepisów, w</w:t>
      </w:r>
      <w:r>
        <w:rPr>
          <w:rFonts w:asciiTheme="minorHAnsi" w:hAnsiTheme="minorHAnsi" w:cstheme="minorHAnsi"/>
          <w:szCs w:val="28"/>
        </w:rPr>
        <w:t> </w:t>
      </w:r>
      <w:r w:rsidRPr="005403A9">
        <w:rPr>
          <w:rFonts w:asciiTheme="minorHAnsi" w:hAnsiTheme="minorHAnsi" w:cstheme="minorHAnsi"/>
          <w:szCs w:val="28"/>
        </w:rPr>
        <w:t>tym terenów górniczych, a także narażonych na niebezpieczeństwo powodzi oraz zagrożonych osuwaniem się mas ziemnych,</w:t>
      </w:r>
    </w:p>
    <w:bookmarkEnd w:id="1"/>
    <w:p w14:paraId="7FCF2C92" w14:textId="77777777" w:rsidR="005E3B80" w:rsidRPr="005403A9" w:rsidRDefault="005E3B80" w:rsidP="005E3B80">
      <w:pPr>
        <w:widowControl w:val="0"/>
        <w:tabs>
          <w:tab w:val="left" w:pos="993"/>
        </w:tabs>
        <w:autoSpaceDE w:val="0"/>
        <w:spacing w:after="120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ponieważ nie wynikały z nich żadne nakazy, zakazy i ograniczenia w zagospodarowaniu przedmiotowego terenu.</w:t>
      </w:r>
    </w:p>
    <w:p w14:paraId="49EDE063" w14:textId="77777777" w:rsidR="005E3B80" w:rsidRPr="005403A9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Wydanie decyzji o warunkach zabudowy jest możliwe jedynie w przypadku łącznego spełnienia warunków, o których mowa w art. 61 ust. 1 u.p.z.p., a mianowicie:</w:t>
      </w:r>
    </w:p>
    <w:p w14:paraId="45C61FD7" w14:textId="77777777" w:rsidR="005E3B80" w:rsidRPr="005403A9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1)</w:t>
      </w:r>
      <w:r w:rsidRPr="005403A9">
        <w:rPr>
          <w:rFonts w:asciiTheme="minorHAnsi" w:hAnsiTheme="minorHAnsi" w:cstheme="minorHAnsi"/>
          <w:szCs w:val="28"/>
        </w:rPr>
        <w:tab/>
        <w:t>co najmniej jedna działka sąsiednia, dostępna z tej samej drogi publicznej, jest zabudowana w sposób pozwalający na określenie wymagań dotyczących nowej zabudowy w zakresie kontynuacji funkcji, parametrów, cech i wskaźników kształtowania zabudowy oraz zagospodarowania terenu, w tym gabarytów i formy architektonicznej obiektów budowlanych, linii zabudowy oraz intensywności wykorzystania terenu;</w:t>
      </w:r>
    </w:p>
    <w:p w14:paraId="5CC047D5" w14:textId="77777777" w:rsidR="005E3B80" w:rsidRPr="005403A9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lastRenderedPageBreak/>
        <w:t>2)</w:t>
      </w:r>
      <w:r w:rsidRPr="005403A9">
        <w:rPr>
          <w:rFonts w:asciiTheme="minorHAnsi" w:hAnsiTheme="minorHAnsi" w:cstheme="minorHAnsi"/>
          <w:szCs w:val="28"/>
        </w:rPr>
        <w:tab/>
        <w:t>teren ma dostęp do drogi publicznej rozumiany jako bezpośredni dostęp do tej drogi albo dostęp do niej przez drogę wewnętrzną lub przez ustanowienie odpowiedniej służebności drogowej;</w:t>
      </w:r>
    </w:p>
    <w:p w14:paraId="57909038" w14:textId="77777777" w:rsidR="005E3B80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3)</w:t>
      </w:r>
      <w:r w:rsidRPr="005403A9">
        <w:rPr>
          <w:rFonts w:asciiTheme="minorHAnsi" w:hAnsiTheme="minorHAnsi" w:cstheme="minorHAnsi"/>
          <w:szCs w:val="28"/>
        </w:rPr>
        <w:tab/>
        <w:t>istniejące lub projektowane uzbrojenie terenu jest wystarczające dla zamierzenia budowlanego, przy czym warunek uznaje się za spełniony, jeżeli wykonanie uzbrojenia terenu zostanie zagwarantowane w drodze umowy zawartej między właściwą jednostką organizacyjną a inwestorem;</w:t>
      </w:r>
    </w:p>
    <w:p w14:paraId="5FF98604" w14:textId="77777777" w:rsidR="005E3B80" w:rsidRPr="005403A9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4)</w:t>
      </w:r>
      <w:r w:rsidRPr="005403A9">
        <w:rPr>
          <w:rFonts w:asciiTheme="minorHAnsi" w:hAnsiTheme="minorHAnsi" w:cstheme="minorHAnsi"/>
          <w:szCs w:val="28"/>
        </w:rPr>
        <w:tab/>
        <w:t>teren nie wymaga uzyskania zgody na zmianę przeznaczenia gruntów rolnych i leśnych na cele nierolnicze i nieleśne albo jest objęty zgodą uzyskaną przy sporządzaniu miejscowych planów, które utraciły moc na podstawie art. 67 ustawy, o której mowa w art. 88 ust. 1;</w:t>
      </w:r>
    </w:p>
    <w:p w14:paraId="029720D9" w14:textId="77777777" w:rsidR="005E3B80" w:rsidRPr="005403A9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5)</w:t>
      </w:r>
      <w:r w:rsidRPr="005403A9">
        <w:rPr>
          <w:rFonts w:asciiTheme="minorHAnsi" w:hAnsiTheme="minorHAnsi" w:cstheme="minorHAnsi"/>
          <w:szCs w:val="28"/>
        </w:rPr>
        <w:tab/>
        <w:t>decyzja jest zgodna z przepisami odrębnymi;</w:t>
      </w:r>
    </w:p>
    <w:p w14:paraId="7AD3CCB1" w14:textId="77777777" w:rsidR="005E3B80" w:rsidRPr="005403A9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6)</w:t>
      </w:r>
      <w:r w:rsidRPr="005403A9">
        <w:rPr>
          <w:rFonts w:asciiTheme="minorHAnsi" w:hAnsiTheme="minorHAnsi" w:cstheme="minorHAnsi"/>
          <w:szCs w:val="28"/>
        </w:rPr>
        <w:tab/>
      </w:r>
      <w:r w:rsidRPr="005403A9">
        <w:rPr>
          <w:rFonts w:asciiTheme="minorHAnsi" w:hAnsiTheme="minorHAnsi" w:cstheme="minorHAnsi"/>
          <w:szCs w:val="28"/>
          <w:shd w:val="clear" w:color="auto" w:fill="FFFFFF"/>
        </w:rPr>
        <w:t>zamierzenie budowlane nie znajdzie się w obszarze</w:t>
      </w:r>
      <w:r w:rsidRPr="005403A9">
        <w:rPr>
          <w:rFonts w:asciiTheme="minorHAnsi" w:hAnsiTheme="minorHAnsi" w:cstheme="minorHAnsi"/>
          <w:szCs w:val="28"/>
          <w:lang w:eastAsia="pl-PL"/>
        </w:rPr>
        <w:t xml:space="preserve">: </w:t>
      </w:r>
    </w:p>
    <w:p w14:paraId="2A60946C" w14:textId="77777777" w:rsidR="005E3B80" w:rsidRPr="005403A9" w:rsidRDefault="005E3B80" w:rsidP="005E3B80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</w:rPr>
        <w:t>w stosunku do którego decyzją o ustaleniu lokalizacji strategicznej inwestycji w zakresie sieci przesyłowej, o której mowa w art. 5 ust. 1 ustawy z dnia 24 lipca 2015 r. o przygotowaniu i realizacji strategicznych inwestycji w zakresie sieci przesyłowych (Dz. U. z 2024 r. poz. 1199), ustanowiony został zakaz, o którym mowa w art. 22 ust. 2 pkt 1 tej ustawy</w:t>
      </w:r>
      <w:r>
        <w:rPr>
          <w:rFonts w:asciiTheme="minorHAnsi" w:hAnsiTheme="minorHAnsi" w:cstheme="minorHAnsi"/>
          <w:szCs w:val="28"/>
        </w:rPr>
        <w:t xml:space="preserve">, </w:t>
      </w:r>
    </w:p>
    <w:p w14:paraId="562AAFDA" w14:textId="77777777" w:rsidR="005E3B80" w:rsidRPr="005403A9" w:rsidRDefault="005E3B80" w:rsidP="005E3B80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  <w:lang w:eastAsia="pl-PL"/>
        </w:rPr>
        <w:t xml:space="preserve">strefy kontrolowanej wyznaczonej po obu stronach gazociągu, </w:t>
      </w:r>
    </w:p>
    <w:p w14:paraId="3EA91603" w14:textId="77777777" w:rsidR="005E3B80" w:rsidRPr="005403A9" w:rsidRDefault="005E3B80" w:rsidP="005E3B80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5403A9">
        <w:rPr>
          <w:rFonts w:asciiTheme="minorHAnsi" w:hAnsiTheme="minorHAnsi" w:cstheme="minorHAnsi"/>
          <w:szCs w:val="28"/>
          <w:lang w:eastAsia="pl-PL"/>
        </w:rPr>
        <w:t>strefy bezpieczeństwa wyznaczonej po obu stronach rurociągu.</w:t>
      </w:r>
    </w:p>
    <w:p w14:paraId="77BE466E" w14:textId="77777777" w:rsidR="005E3B80" w:rsidRPr="00540A51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</w:rPr>
        <w:t>Analiza dokonana w trakcie prowadzonego postępowania potwierdziła, że zostały</w:t>
      </w:r>
      <w:r w:rsidRPr="00540A51">
        <w:rPr>
          <w:rFonts w:asciiTheme="minorHAnsi" w:hAnsiTheme="minorHAnsi" w:cstheme="minorHAnsi"/>
          <w:b/>
          <w:bCs/>
          <w:szCs w:val="28"/>
        </w:rPr>
        <w:t xml:space="preserve"> </w:t>
      </w:r>
      <w:r w:rsidRPr="00540A51">
        <w:rPr>
          <w:rFonts w:asciiTheme="minorHAnsi" w:hAnsiTheme="minorHAnsi" w:cstheme="minorHAnsi"/>
          <w:szCs w:val="28"/>
        </w:rPr>
        <w:t>one spełnione, bowiem:</w:t>
      </w:r>
    </w:p>
    <w:p w14:paraId="59A0E5E4" w14:textId="77777777" w:rsidR="005E3B80" w:rsidRPr="00540A51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</w:rPr>
        <w:t>1)</w:t>
      </w:r>
      <w:r w:rsidRPr="00540A51">
        <w:rPr>
          <w:rFonts w:asciiTheme="minorHAnsi" w:hAnsiTheme="minorHAnsi" w:cstheme="minorHAnsi"/>
          <w:szCs w:val="28"/>
        </w:rPr>
        <w:tab/>
        <w:t>spełniony</w:t>
      </w:r>
      <w:r w:rsidRPr="00540A51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540A51">
        <w:rPr>
          <w:rFonts w:asciiTheme="minorHAnsi" w:hAnsiTheme="minorHAnsi" w:cstheme="minorHAnsi"/>
          <w:szCs w:val="28"/>
        </w:rPr>
        <w:t>- projektowane uzbrojenie terenu (sieć elektroenergetyczna) jest wystarczające dla zamierzenia budowlanego;</w:t>
      </w:r>
    </w:p>
    <w:p w14:paraId="0CA04674" w14:textId="77777777" w:rsidR="005E3B80" w:rsidRPr="00540A51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</w:rPr>
        <w:t>2)</w:t>
      </w:r>
      <w:r w:rsidRPr="00540A51">
        <w:rPr>
          <w:rFonts w:asciiTheme="minorHAnsi" w:hAnsiTheme="minorHAnsi" w:cstheme="minorHAnsi"/>
          <w:szCs w:val="28"/>
        </w:rPr>
        <w:tab/>
        <w:t>spełniony</w:t>
      </w:r>
      <w:r w:rsidRPr="00540A51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540A51">
        <w:rPr>
          <w:rFonts w:asciiTheme="minorHAnsi" w:hAnsiTheme="minorHAnsi" w:cstheme="minorHAnsi"/>
          <w:szCs w:val="28"/>
        </w:rPr>
        <w:t>- teren inwestycji nie wymaga uzyskania zgody na zmianę przeznaczenia gruntów rolnych i leśnych na cele nierolnicze i nieleśne, bowiem inwestycja planowana jest na działce, która zgodnie z ewidencją gruntów i budynków prowadzoną przez Starostę Śremskiego stanowi tereny przemysłowe, które nie wymagają uzyskania zgody na zmianę przeznaczenia na cele nierolnicze i nieleśne;</w:t>
      </w:r>
    </w:p>
    <w:p w14:paraId="7BBB95D2" w14:textId="77777777" w:rsidR="005E3B80" w:rsidRPr="00540A51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</w:rPr>
        <w:t>3)</w:t>
      </w:r>
      <w:r w:rsidRPr="00540A51">
        <w:rPr>
          <w:rFonts w:asciiTheme="minorHAnsi" w:hAnsiTheme="minorHAnsi" w:cstheme="minorHAnsi"/>
          <w:szCs w:val="28"/>
        </w:rPr>
        <w:tab/>
        <w:t>spełniony</w:t>
      </w:r>
      <w:r w:rsidRPr="00540A51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540A51">
        <w:rPr>
          <w:rFonts w:asciiTheme="minorHAnsi" w:hAnsiTheme="minorHAnsi" w:cstheme="minorHAnsi"/>
          <w:szCs w:val="28"/>
        </w:rPr>
        <w:t>- decyzja jest zgodna z przepisami odrębnymi;</w:t>
      </w:r>
    </w:p>
    <w:p w14:paraId="666F96A4" w14:textId="77777777" w:rsidR="005E3B80" w:rsidRPr="00540A51" w:rsidRDefault="005E3B80" w:rsidP="005E3B80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</w:rPr>
        <w:t>4)</w:t>
      </w:r>
      <w:r w:rsidRPr="00540A51">
        <w:rPr>
          <w:rFonts w:asciiTheme="minorHAnsi" w:hAnsiTheme="minorHAnsi" w:cstheme="minorHAnsi"/>
          <w:szCs w:val="28"/>
        </w:rPr>
        <w:tab/>
        <w:t>spełniony - zamierzenie budowlane nie znajdzie się w obszarze:</w:t>
      </w:r>
    </w:p>
    <w:p w14:paraId="61F30D6F" w14:textId="77777777" w:rsidR="005E3B80" w:rsidRPr="00540A51" w:rsidRDefault="005E3B80" w:rsidP="005E3B80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  <w:shd w:val="clear" w:color="auto" w:fill="FFFFFF"/>
        </w:rPr>
        <w:t>objętym zakazem wznoszenia i utrzymywania obiektów budowlanych przeznaczonych na pobyt ludzi związanym z lokalizacją sieci przesyłowej,</w:t>
      </w:r>
    </w:p>
    <w:p w14:paraId="44573ED4" w14:textId="77777777" w:rsidR="005E3B80" w:rsidRPr="00540A51" w:rsidRDefault="005E3B80" w:rsidP="005E3B80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  <w:lang w:eastAsia="pl-PL"/>
        </w:rPr>
        <w:lastRenderedPageBreak/>
        <w:t xml:space="preserve">strefy kontrolowanej wyznaczonej po obu stronach gazociągu, </w:t>
      </w:r>
    </w:p>
    <w:p w14:paraId="62122D3F" w14:textId="77777777" w:rsidR="005E3B80" w:rsidRPr="000A2EB9" w:rsidRDefault="005E3B80" w:rsidP="005E3B80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  <w:lang w:eastAsia="pl-PL"/>
        </w:rPr>
        <w:t>strefy bezpieczeństwa wyznaczonej po obu stronach rurociągu.</w:t>
      </w:r>
    </w:p>
    <w:p w14:paraId="6E5EA8BE" w14:textId="77777777" w:rsidR="005E3B80" w:rsidRPr="00540A51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</w:rPr>
        <w:t xml:space="preserve">Podstawą ustaleń zawartych w niniejszej decyzji jest rozporządzenie Ministra Rozwoju i Technologii z dnia 15 lipca 2024 r. w sprawie sposobu ustalania wymagań dotyczących nowej zabudowy i zagospodarowania terenu w przypadku braku miejscowego planu zagospodarowania przestrzennego (Dz. U. poz. 1116), zwane dalej rozporządzeniem. </w:t>
      </w:r>
    </w:p>
    <w:p w14:paraId="407C7F94" w14:textId="77777777" w:rsidR="005E3B80" w:rsidRPr="00540A51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</w:rPr>
        <w:t xml:space="preserve">Zgodnie z § 3 ust. 4 rozporządzenia linie zabudowy ustala się jako nieprzekraczalne lub obowiązujące. Dopuszcza się dodatkowe ustalenie linii zabudowy dla kondygnacji podziemnych lub innych linii zabudowy wynikających z lokalnych uwarunkowań. </w:t>
      </w:r>
    </w:p>
    <w:p w14:paraId="033722AB" w14:textId="77777777" w:rsidR="005E3B80" w:rsidRPr="00271381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540A51">
        <w:rPr>
          <w:rFonts w:asciiTheme="minorHAnsi" w:hAnsiTheme="minorHAnsi" w:cstheme="minorHAnsi"/>
          <w:szCs w:val="28"/>
        </w:rPr>
        <w:t xml:space="preserve">Stosownie do § 3 ust. 3 rozporządzenia dla planowanej inwestycji ustalono </w:t>
      </w:r>
      <w:r>
        <w:rPr>
          <w:rFonts w:asciiTheme="minorHAnsi" w:hAnsiTheme="minorHAnsi" w:cstheme="minorHAnsi"/>
          <w:szCs w:val="28"/>
        </w:rPr>
        <w:t xml:space="preserve">nieprzekraczalną linię zabudowy </w:t>
      </w:r>
      <w:r w:rsidRPr="00540A51">
        <w:rPr>
          <w:rFonts w:asciiTheme="minorHAnsi" w:hAnsiTheme="minorHAnsi" w:cstheme="minorHAnsi"/>
          <w:szCs w:val="28"/>
        </w:rPr>
        <w:t>w odległości 6,0 m od granicy z</w:t>
      </w:r>
      <w:r>
        <w:rPr>
          <w:rFonts w:asciiTheme="minorHAnsi" w:hAnsiTheme="minorHAnsi" w:cstheme="minorHAnsi"/>
          <w:szCs w:val="28"/>
        </w:rPr>
        <w:t> </w:t>
      </w:r>
      <w:r w:rsidRPr="00540A51">
        <w:rPr>
          <w:rFonts w:asciiTheme="minorHAnsi" w:hAnsiTheme="minorHAnsi" w:cstheme="minorHAnsi"/>
          <w:szCs w:val="28"/>
        </w:rPr>
        <w:t>drogą gminną – działk</w:t>
      </w:r>
      <w:r>
        <w:rPr>
          <w:rFonts w:asciiTheme="minorHAnsi" w:hAnsiTheme="minorHAnsi" w:cstheme="minorHAnsi"/>
          <w:szCs w:val="28"/>
        </w:rPr>
        <w:t>ą</w:t>
      </w:r>
      <w:r w:rsidRPr="00540A51">
        <w:rPr>
          <w:rFonts w:asciiTheme="minorHAnsi" w:hAnsiTheme="minorHAnsi" w:cstheme="minorHAnsi"/>
          <w:szCs w:val="28"/>
        </w:rPr>
        <w:t xml:space="preserve"> o nr ewid. 27, obręb Dąbrowa, zgodnie z przepisami odrębnymi. Ze względu na brak potrzeby przeprowadzania analizy funkcji oraz cech zabudowy i zagospodarowania na działkach sąsiednich linia zabudowy została ustalona odpowiednio do przepisów obowiązujących, w przypadku odległości obiektów budowlanych od dróg gminnych klasy dojazdowej. Nieprzekraczalna linia zabudowy oznaczona została jako linia ciągła, z umieszczonymi stycznie niewypełnionymi trójkątami. </w:t>
      </w:r>
      <w:r w:rsidRPr="00271381">
        <w:rPr>
          <w:rFonts w:asciiTheme="minorHAnsi" w:hAnsiTheme="minorHAnsi" w:cstheme="minorHAnsi"/>
          <w:szCs w:val="28"/>
        </w:rPr>
        <w:t>Stosownie bowiem do § 3 ust. 3 rozporządzenia Ministra Infrastruktury z dnia 26</w:t>
      </w:r>
      <w:r>
        <w:rPr>
          <w:rFonts w:asciiTheme="minorHAnsi" w:hAnsiTheme="minorHAnsi" w:cstheme="minorHAnsi"/>
          <w:szCs w:val="28"/>
        </w:rPr>
        <w:t> </w:t>
      </w:r>
      <w:r w:rsidRPr="00271381">
        <w:rPr>
          <w:rFonts w:asciiTheme="minorHAnsi" w:hAnsiTheme="minorHAnsi" w:cstheme="minorHAnsi"/>
          <w:szCs w:val="28"/>
        </w:rPr>
        <w:t xml:space="preserve">sierpnia 2003 r. w sprawie oznaczeń i nazewnictwa stosowanych w decyzji o ustaleniu lokalizacji inwestycji celu publicznego oraz w decyzji o warunkach zabudowy (Dz. U. Nr 64, poz. 1589) „podstawowe jednobarwne oznaczenia graficzne dotyczące granic i linii regulacyjnych, a także elementów zagospodarowania przestrzennego, przeznaczone do stosowania w części graficznej decyzji, o których mowa w ust. 1, stosuje się zgodnie z Polską Normą PN-B-01027 z dnia 11 lipca 2002 r. </w:t>
      </w:r>
    </w:p>
    <w:p w14:paraId="75399BB0" w14:textId="77777777" w:rsidR="005E3B80" w:rsidRPr="00271381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271381">
        <w:rPr>
          <w:rFonts w:asciiTheme="minorHAnsi" w:hAnsiTheme="minorHAnsi" w:cstheme="minorHAnsi"/>
          <w:szCs w:val="28"/>
        </w:rPr>
        <w:t>Wyznaczona w niniejszej decyzji linia zabudowy ma charakter nieprzekraczalnej, co oznacza, że określa ona jedynie maksymalny zasięg położenia planowanej inwestycji względem drogi gminnej – działki o nr ewid. 27, obręb Dąbrowa.</w:t>
      </w:r>
    </w:p>
    <w:p w14:paraId="3E16972A" w14:textId="77777777" w:rsidR="005E3B80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271381">
        <w:rPr>
          <w:rFonts w:asciiTheme="minorHAnsi" w:hAnsiTheme="minorHAnsi" w:cstheme="minorHAnsi"/>
          <w:szCs w:val="28"/>
        </w:rPr>
        <w:t>Planowana inwestycja nie zakłóca zastanego ładu przestrzennego.</w:t>
      </w:r>
      <w:r>
        <w:rPr>
          <w:rFonts w:asciiTheme="minorHAnsi" w:hAnsiTheme="minorHAnsi" w:cstheme="minorHAnsi"/>
          <w:szCs w:val="28"/>
        </w:rPr>
        <w:t xml:space="preserve"> </w:t>
      </w:r>
      <w:r w:rsidRPr="00271381">
        <w:rPr>
          <w:rFonts w:asciiTheme="minorHAnsi" w:hAnsiTheme="minorHAnsi" w:cstheme="minorHAnsi"/>
          <w:szCs w:val="28"/>
        </w:rPr>
        <w:t>W analizowanej sprawie nie stwierdzono, aby planowana inwestycja pozostawała w kolizji z przepisami prawa materialnego, w tym istniejącym zagospodarowaniem i funkcją terenów.</w:t>
      </w:r>
      <w:r w:rsidRPr="00585FCC">
        <w:rPr>
          <w:rFonts w:asciiTheme="minorHAnsi" w:hAnsiTheme="minorHAnsi" w:cstheme="minorHAnsi"/>
          <w:szCs w:val="28"/>
          <w:highlight w:val="yellow"/>
        </w:rPr>
        <w:t xml:space="preserve">  </w:t>
      </w:r>
    </w:p>
    <w:p w14:paraId="03B20A24" w14:textId="77777777" w:rsidR="005E3B80" w:rsidRDefault="005E3B80" w:rsidP="005E3B80">
      <w:pPr>
        <w:spacing w:after="120"/>
        <w:rPr>
          <w:rFonts w:asciiTheme="minorHAnsi" w:hAnsiTheme="minorHAnsi" w:cstheme="minorHAnsi"/>
          <w:szCs w:val="28"/>
        </w:rPr>
      </w:pPr>
    </w:p>
    <w:p w14:paraId="603BBF6C" w14:textId="77777777" w:rsidR="005E3B80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 xml:space="preserve">Planowane przedsięwzięcie zostało zakwalifikowane do przedsięwzięć mogących potencjalnie znacząco oddziaływać na środowisko na środowisko, o których mowa w rozporządzeniu Rady Ministrów z dnia 10 września 2019 r. w sprawie przedsięwzięć mogących znacząco oddziaływać na środowisko (Dz. U. poz. 1839, z 2022 r. poz. 1071 i z 2023 r. poz. 1724). Dla planowanego przedsięwzięcia 30.06.2023 r. została wydana przez Burmistrza Śremu decyzja o środowiskowych uwarunkowaniach (PPSOŚ.6220.6.2023.BM), w której stwierdzono brak potrzeby przeprowadzenia oceny oddziaływania na środowisko dla planowanego przedsięwzięcia oraz określono istotne warunki korzystania ze środowiska w fazie realizacji i eksploatacji lub użytkowania przedsięwzięcia.  oraz stwierdzono brak potrzeby przeprowadzania oceny oddziaływania na środowisko. </w:t>
      </w:r>
    </w:p>
    <w:p w14:paraId="6F2B82D9" w14:textId="77777777" w:rsidR="005E3B80" w:rsidRPr="00271381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W decyzji środowiskowej oceniono, że realizacja przedsięwzięcia nie będzie stanowiła znaczącego zagrożenia dla stanu jakości powietrza w rejonie zainwestowania ani wiązała się z przekroczeniem dopuszczalnych poziomów hałasu na granicy najbliższych terenów podlegających ochronie akustycznej. </w:t>
      </w:r>
    </w:p>
    <w:p w14:paraId="7347BF42" w14:textId="77777777" w:rsidR="005E3B80" w:rsidRPr="00755031" w:rsidRDefault="005E3B80" w:rsidP="005E3B80">
      <w:pPr>
        <w:widowControl w:val="0"/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 xml:space="preserve">Projekt decyzji </w:t>
      </w:r>
      <w:r>
        <w:rPr>
          <w:rFonts w:asciiTheme="minorHAnsi" w:hAnsiTheme="minorHAnsi" w:cstheme="minorHAnsi"/>
          <w:szCs w:val="28"/>
        </w:rPr>
        <w:t>został uzgodniony</w:t>
      </w:r>
      <w:r w:rsidRPr="00947967">
        <w:rPr>
          <w:rFonts w:asciiTheme="minorHAnsi" w:hAnsiTheme="minorHAnsi" w:cstheme="minorHAnsi"/>
          <w:szCs w:val="28"/>
        </w:rPr>
        <w:t xml:space="preserve"> z organ</w:t>
      </w:r>
      <w:r>
        <w:rPr>
          <w:rFonts w:asciiTheme="minorHAnsi" w:hAnsiTheme="minorHAnsi" w:cstheme="minorHAnsi"/>
          <w:szCs w:val="28"/>
        </w:rPr>
        <w:t>em</w:t>
      </w:r>
      <w:r w:rsidRPr="00947967">
        <w:rPr>
          <w:rFonts w:asciiTheme="minorHAnsi" w:hAnsiTheme="minorHAnsi" w:cstheme="minorHAnsi"/>
          <w:szCs w:val="28"/>
        </w:rPr>
        <w:t>, o który</w:t>
      </w:r>
      <w:r>
        <w:rPr>
          <w:rFonts w:asciiTheme="minorHAnsi" w:hAnsiTheme="minorHAnsi" w:cstheme="minorHAnsi"/>
          <w:szCs w:val="28"/>
        </w:rPr>
        <w:t>m</w:t>
      </w:r>
      <w:r w:rsidRPr="00947967">
        <w:rPr>
          <w:rFonts w:asciiTheme="minorHAnsi" w:hAnsiTheme="minorHAnsi" w:cstheme="minorHAnsi"/>
          <w:szCs w:val="28"/>
        </w:rPr>
        <w:t xml:space="preserve"> mowa w art. 53 ust. 4 pkt 2a w związku z art. 64 ust. 1 u.p.z.p., a mianowicie z</w:t>
      </w:r>
      <w:r>
        <w:rPr>
          <w:rFonts w:asciiTheme="minorHAnsi" w:hAnsiTheme="minorHAnsi" w:cstheme="minorHAnsi"/>
          <w:szCs w:val="28"/>
        </w:rPr>
        <w:t> </w:t>
      </w:r>
      <w:r w:rsidRPr="00755031">
        <w:rPr>
          <w:rFonts w:asciiTheme="minorHAnsi" w:hAnsiTheme="minorHAnsi" w:cstheme="minorHAnsi"/>
          <w:szCs w:val="28"/>
        </w:rPr>
        <w:t>Państwowym Powiatowym Inspektorem Sanitarnym w Śremie.</w:t>
      </w:r>
    </w:p>
    <w:p w14:paraId="22812DB5" w14:textId="77777777" w:rsidR="005E3B80" w:rsidRDefault="005E3B80" w:rsidP="005E3B80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Projekt decyzji został uzgodniony z Wielkopolskim Państwowym Wojewódzkim Inspektorem Sanitarnym na podstawie art. 3 pkt 1a ustawy z dnia 14 marca 1985 r. o Państwowej Inspekcji Sanitarnej (Dz. U. z 2024 r. poz. 416). </w:t>
      </w:r>
    </w:p>
    <w:p w14:paraId="50C32D6E" w14:textId="77777777" w:rsidR="005E3B80" w:rsidRPr="00947967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Projekt decyzji nie wymaga</w:t>
      </w:r>
      <w:r>
        <w:rPr>
          <w:rFonts w:asciiTheme="minorHAnsi" w:hAnsiTheme="minorHAnsi" w:cstheme="minorHAnsi"/>
          <w:szCs w:val="28"/>
        </w:rPr>
        <w:t>ł</w:t>
      </w:r>
      <w:r w:rsidRPr="00947967">
        <w:rPr>
          <w:rFonts w:asciiTheme="minorHAnsi" w:hAnsiTheme="minorHAnsi" w:cstheme="minorHAnsi"/>
          <w:szCs w:val="28"/>
        </w:rPr>
        <w:t xml:space="preserve"> zaopiniowania przez operatorów, o których mowa art. 53 ust. 5e u.p.z.p.</w:t>
      </w:r>
    </w:p>
    <w:p w14:paraId="6AB2A309" w14:textId="77777777" w:rsidR="005E3B80" w:rsidRPr="003218B9" w:rsidRDefault="005E3B80" w:rsidP="005E3B80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="Arial" w:eastAsia="Arial" w:hAnsi="Arial" w:cs="Arial"/>
          <w:szCs w:val="28"/>
          <w:lang w:eastAsia="zh-CN"/>
        </w:rPr>
      </w:pPr>
      <w:r>
        <w:rPr>
          <w:rFonts w:asciiTheme="minorHAnsi" w:hAnsiTheme="minorHAnsi" w:cstheme="minorHAnsi"/>
          <w:szCs w:val="28"/>
        </w:rPr>
        <w:t xml:space="preserve">Projekt decyzji uzyskał stanowisko zarządcy drogi gminnej – działki o nr ewid. 27, obręb Dąbrowa, czyli Burmistrza Śremu, w ramach wewnętrznej procedury. </w:t>
      </w:r>
    </w:p>
    <w:p w14:paraId="62257472" w14:textId="77777777" w:rsidR="005E3B80" w:rsidRPr="00947967" w:rsidRDefault="005E3B80" w:rsidP="005E3B80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Ponadto, decyzja nie wymagała wcześniejszego uzyskania decyzji wymaganych przepisami odrębnymi</w:t>
      </w:r>
      <w:r>
        <w:rPr>
          <w:rFonts w:asciiTheme="minorHAnsi" w:hAnsiTheme="minorHAnsi" w:cstheme="minorHAnsi"/>
          <w:szCs w:val="28"/>
        </w:rPr>
        <w:t>, poza wspomnianą decyzją o środowiskowych uwarunkowaniach.</w:t>
      </w:r>
    </w:p>
    <w:p w14:paraId="51F133FF" w14:textId="77777777" w:rsidR="005E3B80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Zgodnie z utrwaloną linią orzecznictwa sądowo-administracyjnego (vide: wyrok NSA z dnia 12.03.2019 r. sygn. akt II OSK 1024/17; wyrok WSA w</w:t>
      </w:r>
      <w:r>
        <w:rPr>
          <w:rFonts w:asciiTheme="minorHAnsi" w:hAnsiTheme="minorHAnsi" w:cstheme="minorHAnsi"/>
          <w:szCs w:val="28"/>
        </w:rPr>
        <w:t> </w:t>
      </w:r>
      <w:r w:rsidRPr="00947967">
        <w:rPr>
          <w:rFonts w:asciiTheme="minorHAnsi" w:hAnsiTheme="minorHAnsi" w:cstheme="minorHAnsi"/>
          <w:szCs w:val="28"/>
        </w:rPr>
        <w:t>Poznaniu z dnia 19.09.2019 r. sygn. akt IV SA/Po 417/19) stronami w</w:t>
      </w:r>
      <w:r>
        <w:rPr>
          <w:rFonts w:asciiTheme="minorHAnsi" w:hAnsiTheme="minorHAnsi" w:cstheme="minorHAnsi"/>
          <w:szCs w:val="28"/>
        </w:rPr>
        <w:t> </w:t>
      </w:r>
      <w:r w:rsidRPr="00947967">
        <w:rPr>
          <w:rFonts w:asciiTheme="minorHAnsi" w:hAnsiTheme="minorHAnsi" w:cstheme="minorHAnsi"/>
          <w:szCs w:val="28"/>
        </w:rPr>
        <w:t xml:space="preserve">postępowaniu o ustalenie warunków zabudowy i zagospodarowania terenu mogą być właściciele lub użytkownicy wieczyści działek sąsiednich. </w:t>
      </w:r>
    </w:p>
    <w:p w14:paraId="2D649DC5" w14:textId="77777777" w:rsidR="005E3B80" w:rsidRDefault="005E3B80" w:rsidP="005E3B80">
      <w:pPr>
        <w:tabs>
          <w:tab w:val="left" w:pos="851"/>
        </w:tabs>
        <w:spacing w:after="120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lastRenderedPageBreak/>
        <w:t>Stronami tego postępowania mogą być także, w zależności od okoliczności, właściciele działek niesąsiadujących bezpośrednio z terenem planowanej inwestycji. O interesie prawnym właściciela działki leżącej w sąsiedztwie działki, której dotyczy postępowanie o wydanie warunków zabudowy, decyduje nie charakter tego sąsiedztwa (bezpośredni, pośredni), ale zasięg oddziaływania danej inwestycji na nieruchomości sąsiednie oraz stopień jej uciążliwości dla tych nieruchomości. Organ prowadzący postępowanie w</w:t>
      </w:r>
      <w:r>
        <w:rPr>
          <w:rFonts w:asciiTheme="minorHAnsi" w:hAnsiTheme="minorHAnsi" w:cstheme="minorHAnsi"/>
          <w:szCs w:val="28"/>
        </w:rPr>
        <w:t> </w:t>
      </w:r>
      <w:r w:rsidRPr="00947967">
        <w:rPr>
          <w:rFonts w:asciiTheme="minorHAnsi" w:hAnsiTheme="minorHAnsi" w:cstheme="minorHAnsi"/>
          <w:szCs w:val="28"/>
        </w:rPr>
        <w:t>sprawie warunków zabudowy ma obowiązek zbadać rodzaj inwestycji, jej rozmiary oraz stopień i zakres jej uciążliwości dla otoczenia, a następnie ustalić, jak daleko sięgać będzie oddziaływanie planowanej inwestycji. Zakres tego oddziaływania pozwala na ustalenie kręgu osób, które mają interes prawny w sprawie. W myśl wyroku Wojewódzkiego Sądu Administracyjnego w Poznaniu z dnia 17.01.2019 r. sygn. akt II SA/Po 671/18: „Tylko ograniczenia w zagospodarowaniu nieruchomości wynikające z konkretnego przepisu prawa dają podstawę do uczestnictwa w charakterze strony w</w:t>
      </w:r>
      <w:r>
        <w:rPr>
          <w:rFonts w:asciiTheme="minorHAnsi" w:hAnsiTheme="minorHAnsi" w:cstheme="minorHAnsi"/>
          <w:szCs w:val="28"/>
        </w:rPr>
        <w:t> </w:t>
      </w:r>
      <w:r w:rsidRPr="00947967">
        <w:rPr>
          <w:rFonts w:asciiTheme="minorHAnsi" w:hAnsiTheme="minorHAnsi" w:cstheme="minorHAnsi"/>
          <w:szCs w:val="28"/>
        </w:rPr>
        <w:t>postępowaniu administracyjnym dotyczącym konkretnej inwestycji. Natomiast ograniczenia, które nie są wynikiem istnienia przepisów prawnych nie dają podstawy do uznania danego podmiotu za stronę postępowania w tego typu sprawie, wówczas bowiem istnieje interes faktyczny, a nie interes prawny”.</w:t>
      </w:r>
    </w:p>
    <w:p w14:paraId="08056A22" w14:textId="77777777" w:rsidR="005E3B80" w:rsidRPr="00841120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841120">
        <w:rPr>
          <w:rFonts w:asciiTheme="minorHAnsi" w:hAnsiTheme="minorHAnsi" w:cstheme="minorHAnsi"/>
          <w:szCs w:val="28"/>
        </w:rPr>
        <w:t xml:space="preserve">Ze względu na charakter i skalę inwestycji oraz </w:t>
      </w:r>
      <w:r>
        <w:rPr>
          <w:rFonts w:asciiTheme="minorHAnsi" w:hAnsiTheme="minorHAnsi" w:cstheme="minorHAnsi"/>
          <w:szCs w:val="28"/>
        </w:rPr>
        <w:t>zmianę sposobu zagospodarowania terenu</w:t>
      </w:r>
      <w:r w:rsidRPr="00841120">
        <w:rPr>
          <w:rFonts w:asciiTheme="minorHAnsi" w:hAnsiTheme="minorHAnsi" w:cstheme="minorHAnsi"/>
          <w:szCs w:val="28"/>
        </w:rPr>
        <w:t xml:space="preserve"> zakresem oddziaływania planowanej inwestycji objęty jest teren: </w:t>
      </w:r>
      <w:r>
        <w:rPr>
          <w:rFonts w:asciiTheme="minorHAnsi" w:hAnsiTheme="minorHAnsi" w:cstheme="minorHAnsi"/>
          <w:szCs w:val="28"/>
        </w:rPr>
        <w:t>teren</w:t>
      </w:r>
      <w:r w:rsidRPr="00841120">
        <w:rPr>
          <w:rFonts w:asciiTheme="minorHAnsi" w:hAnsiTheme="minorHAnsi" w:cstheme="minorHAnsi"/>
          <w:szCs w:val="28"/>
        </w:rPr>
        <w:t xml:space="preserve"> objęt</w:t>
      </w:r>
      <w:r>
        <w:rPr>
          <w:rFonts w:asciiTheme="minorHAnsi" w:hAnsiTheme="minorHAnsi" w:cstheme="minorHAnsi"/>
          <w:szCs w:val="28"/>
        </w:rPr>
        <w:t>y wnioskiem składający się z działek o nr ewid.: 21/1, 22/7 i 22/8, obręb Dąbrowa.</w:t>
      </w:r>
    </w:p>
    <w:p w14:paraId="52C54C7A" w14:textId="77777777" w:rsidR="005E3B80" w:rsidRPr="00841120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i/>
          <w:szCs w:val="28"/>
        </w:rPr>
      </w:pPr>
      <w:r w:rsidRPr="00841120">
        <w:rPr>
          <w:rFonts w:asciiTheme="minorHAnsi" w:hAnsiTheme="minorHAnsi" w:cstheme="minorHAnsi"/>
          <w:szCs w:val="28"/>
        </w:rPr>
        <w:t>Biorąc powyższe pod uwagę za strony postępowania zostali uznani: Wnioskodawca,</w:t>
      </w:r>
      <w:r>
        <w:rPr>
          <w:rFonts w:asciiTheme="minorHAnsi" w:hAnsiTheme="minorHAnsi" w:cstheme="minorHAnsi"/>
          <w:szCs w:val="28"/>
        </w:rPr>
        <w:t xml:space="preserve"> a zarazem jedyny właściciel działek objętych wnioskiem</w:t>
      </w:r>
      <w:r w:rsidRPr="00841120">
        <w:rPr>
          <w:rFonts w:asciiTheme="minorHAnsi" w:hAnsiTheme="minorHAnsi" w:cstheme="minorHAnsi"/>
          <w:szCs w:val="28"/>
        </w:rPr>
        <w:t xml:space="preserve">. </w:t>
      </w:r>
    </w:p>
    <w:p w14:paraId="7613D203" w14:textId="77777777" w:rsidR="005E3B80" w:rsidRPr="00947967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Ustalając warunki zabudowy i zagospodarowania terenu dla nowej zabudowy, w rozpatrywanej sprawie, dostosowano je do cech i parametrów architektonicznych i urbanistycznych wyznaczonych przez stan dotychczasowej zabudowy, uwzględniając wymogi ładu przestrzennego.</w:t>
      </w:r>
    </w:p>
    <w:p w14:paraId="716CBA4B" w14:textId="77777777" w:rsidR="005E3B80" w:rsidRPr="00947967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Stosownie do art. 56, w związku z art. 64 u.p.z.p. nie można odmówić ustalenia warunków zabudowy, jeżeli zamierzenie inwestycyjne jest zgodne z</w:t>
      </w:r>
      <w:r>
        <w:rPr>
          <w:rFonts w:asciiTheme="minorHAnsi" w:hAnsiTheme="minorHAnsi" w:cstheme="minorHAnsi"/>
          <w:szCs w:val="28"/>
        </w:rPr>
        <w:t> </w:t>
      </w:r>
      <w:r w:rsidRPr="00947967">
        <w:rPr>
          <w:rFonts w:asciiTheme="minorHAnsi" w:hAnsiTheme="minorHAnsi" w:cstheme="minorHAnsi"/>
          <w:szCs w:val="28"/>
        </w:rPr>
        <w:t xml:space="preserve">przepisami odrębnymi. </w:t>
      </w:r>
    </w:p>
    <w:p w14:paraId="7333BD2A" w14:textId="77777777" w:rsidR="005E3B80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22ECE015" w14:textId="77777777" w:rsidR="005E3B80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745D47CA" w14:textId="77777777" w:rsidR="005E3B80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3997F922" w14:textId="77777777" w:rsidR="005E3B80" w:rsidRPr="00947967" w:rsidRDefault="005E3B80" w:rsidP="005E3B80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lastRenderedPageBreak/>
        <w:t>Reasumując, Burmistrz Śremu jako organ właściwy do wydania decyzji o</w:t>
      </w:r>
      <w:r>
        <w:rPr>
          <w:rFonts w:asciiTheme="minorHAnsi" w:hAnsiTheme="minorHAnsi" w:cstheme="minorHAnsi"/>
          <w:szCs w:val="28"/>
        </w:rPr>
        <w:t> </w:t>
      </w:r>
      <w:r w:rsidRPr="00947967">
        <w:rPr>
          <w:rFonts w:asciiTheme="minorHAnsi" w:hAnsiTheme="minorHAnsi" w:cstheme="minorHAnsi"/>
          <w:szCs w:val="28"/>
        </w:rPr>
        <w:t>warunkach zabudowy jest zobowiązany wydać pozytywne rozstrzygnięcie, jeśli wnioskowane zamierzenie inwestycyjne czyni zadość wszystkim wymogom wynikającym z przepisów prawa powszechnie obowiązującego, co miało miejsce w analizowanej sprawie. Nadto wnioskowana inwestycja spełnia łącznie ustawowe przesłanki, o których mowa w u.p.z.p.</w:t>
      </w:r>
    </w:p>
    <w:p w14:paraId="163D64CC" w14:textId="77777777" w:rsidR="005E3B80" w:rsidRPr="00947967" w:rsidRDefault="005E3B80" w:rsidP="005E3B80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W związku z powyższym orzeczono jak w sentencji.</w:t>
      </w:r>
    </w:p>
    <w:p w14:paraId="4C50989C" w14:textId="77777777" w:rsidR="005E3B80" w:rsidRPr="00947967" w:rsidRDefault="005E3B80" w:rsidP="005E3B80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Pouczenie</w:t>
      </w:r>
    </w:p>
    <w:p w14:paraId="4AFB82D8" w14:textId="77777777" w:rsidR="005E3B80" w:rsidRPr="00947967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Stosownie do art. 63 pkt 2 u.p.z.p. decyzja o warunkach zabudowy nie rodzi praw do terenu oraz nie narusza prawa własności i uprawnień osób trzecich.</w:t>
      </w:r>
    </w:p>
    <w:p w14:paraId="2DD78112" w14:textId="77777777" w:rsidR="005E3B80" w:rsidRPr="00947967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Od niniejszej decyzji służy stronom prawo wniesienia odwołania do Samorządowego Kolegium Odwoławczego w Poznaniu, za moim pośrednictwem, w terminie 14 dni od dnia doręczenia.</w:t>
      </w:r>
    </w:p>
    <w:p w14:paraId="3F7F58E5" w14:textId="77777777" w:rsidR="005E3B80" w:rsidRPr="00947967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13821C5D" w14:textId="77777777" w:rsidR="005E3B80" w:rsidRPr="00947967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186E718" w14:textId="77777777" w:rsidR="005E3B80" w:rsidRPr="00947967" w:rsidRDefault="005E3B80" w:rsidP="005E3B80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W przypadku niewydania przez Burmistrza Śremu decyzji o warunkach zabudowy w terminie 90 dni od dnia złożenia wniosku o wydanie takiej decyzji, podmiotowi, który wystąpił z wnioskiem o ustalenie warunków zabudowy, przysługuje prawo do wniesienia żądania wymierzenia kary pieniężnej. Żądanie wnosi się za pośrednictwem Burmistrza Śremu w terminie 14 dni od dnia doręczenia decyzji o warunkach zabudowy. Żądanie wniesione po terminie pozostawia się bez rozpoznania.</w:t>
      </w:r>
    </w:p>
    <w:p w14:paraId="2F5C25E3" w14:textId="77777777" w:rsidR="005E3B80" w:rsidRDefault="005E3B80" w:rsidP="005E3B80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</w:rPr>
      </w:pPr>
    </w:p>
    <w:p w14:paraId="7D2648B5" w14:textId="77777777" w:rsidR="005E3B80" w:rsidRPr="00CF716F" w:rsidRDefault="005E3B80" w:rsidP="005E3B80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(-) z up. BURMISTRZA</w:t>
      </w:r>
    </w:p>
    <w:p w14:paraId="40C04BE4" w14:textId="77777777" w:rsidR="005E3B80" w:rsidRPr="00CF716F" w:rsidRDefault="005E3B80" w:rsidP="005E3B80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Katarzyna Bednarowicz</w:t>
      </w:r>
    </w:p>
    <w:p w14:paraId="2C2C3CED" w14:textId="77777777" w:rsidR="005E3B80" w:rsidRPr="00CF716F" w:rsidRDefault="005E3B80" w:rsidP="005E3B80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naczelnik Pionu Gospodarowania</w:t>
      </w:r>
    </w:p>
    <w:p w14:paraId="382A146F" w14:textId="77777777" w:rsidR="005E3B80" w:rsidRPr="00CF716F" w:rsidRDefault="005E3B80" w:rsidP="005E3B80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Przestrzenią i Środowiskiem</w:t>
      </w:r>
    </w:p>
    <w:p w14:paraId="415EB2FA" w14:textId="77777777" w:rsidR="005E3B80" w:rsidRPr="00EE5392" w:rsidRDefault="005E3B80" w:rsidP="005E3B80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/dokument podpisany elektronicznie/</w:t>
      </w:r>
    </w:p>
    <w:p w14:paraId="6904F3B0" w14:textId="77777777" w:rsidR="005E3B80" w:rsidRDefault="005E3B80" w:rsidP="005E3B80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</w:rPr>
      </w:pPr>
    </w:p>
    <w:p w14:paraId="7E05A317" w14:textId="77777777" w:rsidR="005E3B80" w:rsidRDefault="005E3B80" w:rsidP="005E3B80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</w:rPr>
      </w:pPr>
    </w:p>
    <w:p w14:paraId="394EA8BC" w14:textId="77777777" w:rsidR="005E3B80" w:rsidRDefault="005E3B80" w:rsidP="005E3B80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</w:rPr>
      </w:pPr>
    </w:p>
    <w:p w14:paraId="19AC060C" w14:textId="77777777" w:rsidR="005E3B80" w:rsidRPr="00947967" w:rsidRDefault="005E3B80" w:rsidP="005E3B80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lastRenderedPageBreak/>
        <w:t>Załączniki:</w:t>
      </w:r>
    </w:p>
    <w:p w14:paraId="7770B45A" w14:textId="77777777" w:rsidR="005E3B80" w:rsidRPr="005A66E9" w:rsidRDefault="005E3B80" w:rsidP="005E3B80">
      <w:pPr>
        <w:numPr>
          <w:ilvl w:val="0"/>
          <w:numId w:val="10"/>
        </w:numPr>
        <w:spacing w:after="120"/>
        <w:ind w:right="-1"/>
        <w:rPr>
          <w:rFonts w:asciiTheme="minorHAnsi" w:hAnsiTheme="minorHAnsi" w:cstheme="minorHAnsi"/>
          <w:szCs w:val="28"/>
        </w:rPr>
      </w:pPr>
      <w:r w:rsidRPr="00947967">
        <w:rPr>
          <w:rFonts w:asciiTheme="minorHAnsi" w:hAnsiTheme="minorHAnsi" w:cstheme="minorHAnsi"/>
          <w:szCs w:val="28"/>
        </w:rPr>
        <w:t>załącznik nr 1 – część graficzna decyzji</w:t>
      </w:r>
      <w:r>
        <w:rPr>
          <w:rFonts w:asciiTheme="minorHAnsi" w:hAnsiTheme="minorHAnsi" w:cstheme="minorHAnsi"/>
          <w:szCs w:val="28"/>
        </w:rPr>
        <w:t>.</w:t>
      </w:r>
    </w:p>
    <w:p w14:paraId="39C3D12A" w14:textId="77777777" w:rsidR="005E3B80" w:rsidRDefault="005E3B80" w:rsidP="005E3B80">
      <w:pPr>
        <w:spacing w:after="120"/>
        <w:contextualSpacing/>
        <w:jc w:val="both"/>
        <w:rPr>
          <w:rFonts w:cs="Calibri"/>
          <w:szCs w:val="28"/>
        </w:rPr>
      </w:pPr>
    </w:p>
    <w:p w14:paraId="283C0476" w14:textId="77777777" w:rsidR="005E3B80" w:rsidRPr="00947967" w:rsidRDefault="005E3B80" w:rsidP="005E3B80">
      <w:pPr>
        <w:spacing w:after="120"/>
        <w:contextualSpacing/>
        <w:jc w:val="both"/>
        <w:rPr>
          <w:rFonts w:cs="Calibri"/>
          <w:szCs w:val="28"/>
        </w:rPr>
      </w:pPr>
      <w:r w:rsidRPr="00947967">
        <w:rPr>
          <w:rFonts w:cs="Calibri"/>
          <w:szCs w:val="28"/>
        </w:rPr>
        <w:t>Sprawę prowadzi:</w:t>
      </w:r>
    </w:p>
    <w:p w14:paraId="2183F24B" w14:textId="77777777" w:rsidR="005E3B80" w:rsidRPr="00947967" w:rsidRDefault="005E3B80" w:rsidP="005E3B80">
      <w:pPr>
        <w:spacing w:after="120"/>
        <w:contextualSpacing/>
        <w:jc w:val="both"/>
        <w:rPr>
          <w:rFonts w:cs="Calibri"/>
          <w:szCs w:val="28"/>
        </w:rPr>
      </w:pPr>
      <w:r w:rsidRPr="00947967">
        <w:rPr>
          <w:rFonts w:cs="Calibri"/>
          <w:szCs w:val="28"/>
        </w:rPr>
        <w:t xml:space="preserve">Sandra Krauze </w:t>
      </w:r>
    </w:p>
    <w:p w14:paraId="5DF2EF67" w14:textId="77777777" w:rsidR="005E3B80" w:rsidRPr="00947967" w:rsidRDefault="005E3B80" w:rsidP="005E3B80">
      <w:pPr>
        <w:spacing w:after="120"/>
        <w:contextualSpacing/>
        <w:jc w:val="both"/>
        <w:rPr>
          <w:rFonts w:cs="Calibri"/>
          <w:szCs w:val="28"/>
        </w:rPr>
      </w:pPr>
      <w:r w:rsidRPr="00947967">
        <w:rPr>
          <w:rFonts w:cs="Calibri"/>
          <w:szCs w:val="28"/>
        </w:rPr>
        <w:t>podinspektor</w:t>
      </w:r>
    </w:p>
    <w:p w14:paraId="4BD7192F" w14:textId="77777777" w:rsidR="005E3B80" w:rsidRPr="00947967" w:rsidRDefault="005E3B80" w:rsidP="005E3B80">
      <w:pPr>
        <w:spacing w:after="120"/>
        <w:contextualSpacing/>
        <w:jc w:val="both"/>
        <w:rPr>
          <w:rFonts w:cs="Calibri"/>
          <w:szCs w:val="28"/>
        </w:rPr>
      </w:pPr>
      <w:r w:rsidRPr="00947967">
        <w:rPr>
          <w:rFonts w:cs="Calibri"/>
          <w:szCs w:val="28"/>
        </w:rPr>
        <w:t>tel. 61 28 47 190</w:t>
      </w:r>
    </w:p>
    <w:p w14:paraId="15EE06F4" w14:textId="77777777" w:rsidR="005E3B80" w:rsidRDefault="005E3B80" w:rsidP="005E3B80">
      <w:pPr>
        <w:spacing w:after="120"/>
        <w:jc w:val="both"/>
        <w:rPr>
          <w:rFonts w:asciiTheme="minorHAnsi" w:hAnsiTheme="minorHAnsi" w:cstheme="minorHAnsi"/>
          <w:szCs w:val="28"/>
        </w:rPr>
      </w:pPr>
    </w:p>
    <w:p w14:paraId="678D812D" w14:textId="77777777" w:rsidR="005E3B80" w:rsidRPr="004400E2" w:rsidRDefault="005E3B80" w:rsidP="005E3B80">
      <w:pPr>
        <w:spacing w:after="120"/>
        <w:jc w:val="both"/>
        <w:rPr>
          <w:rFonts w:asciiTheme="minorHAnsi" w:hAnsiTheme="minorHAnsi" w:cstheme="minorHAnsi"/>
          <w:szCs w:val="28"/>
        </w:rPr>
      </w:pPr>
      <w:r w:rsidRPr="004400E2">
        <w:rPr>
          <w:rFonts w:asciiTheme="minorHAnsi" w:hAnsiTheme="minorHAnsi" w:cstheme="minorHAnsi"/>
          <w:szCs w:val="28"/>
        </w:rPr>
        <w:t>Otrzymują:</w:t>
      </w:r>
    </w:p>
    <w:p w14:paraId="3AA18094" w14:textId="77777777" w:rsidR="005E3B80" w:rsidRPr="00B33984" w:rsidRDefault="005E3B80" w:rsidP="005E3B80">
      <w:pPr>
        <w:pStyle w:val="Akapitzlist"/>
        <w:numPr>
          <w:ilvl w:val="0"/>
          <w:numId w:val="14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Strona postępowania: Przedsiębiorstwo Gospodarki Komunalnej w Śremie Sp. z o.o., ul. Parkowa 6, 63-100 Śrem</w:t>
      </w:r>
    </w:p>
    <w:p w14:paraId="60CE7073" w14:textId="77777777" w:rsidR="005E3B80" w:rsidRPr="004400E2" w:rsidRDefault="005E3B80" w:rsidP="005E3B80">
      <w:pPr>
        <w:pStyle w:val="Akapitzlist"/>
        <w:numPr>
          <w:ilvl w:val="0"/>
          <w:numId w:val="14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400E2">
        <w:rPr>
          <w:rFonts w:asciiTheme="minorHAnsi" w:hAnsiTheme="minorHAnsi" w:cstheme="minorHAnsi"/>
          <w:szCs w:val="28"/>
        </w:rPr>
        <w:t>aa.</w:t>
      </w:r>
    </w:p>
    <w:p w14:paraId="6ABCDEF1" w14:textId="77777777" w:rsidR="005E3B80" w:rsidRDefault="005E3B80" w:rsidP="005E3B80">
      <w:pPr>
        <w:spacing w:after="120"/>
        <w:rPr>
          <w:rFonts w:asciiTheme="minorHAnsi" w:hAnsiTheme="minorHAnsi" w:cstheme="minorHAnsi"/>
          <w:szCs w:val="28"/>
        </w:rPr>
      </w:pPr>
    </w:p>
    <w:p w14:paraId="12EAF38D" w14:textId="11BDBDEC" w:rsidR="006717DC" w:rsidRDefault="005E3B80" w:rsidP="0037316F">
      <w:pPr>
        <w:spacing w:after="120"/>
        <w:rPr>
          <w:rFonts w:asciiTheme="minorHAnsi" w:hAnsiTheme="minorHAnsi" w:cstheme="minorHAnsi"/>
          <w:szCs w:val="28"/>
        </w:rPr>
        <w:sectPr w:rsidR="006717DC" w:rsidSect="00D55CB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701" w:left="1701" w:header="709" w:footer="709" w:gutter="0"/>
          <w:cols w:space="708"/>
          <w:titlePg/>
          <w:docGrid w:linePitch="381"/>
        </w:sectPr>
      </w:pPr>
      <w:r w:rsidRPr="00B33984">
        <w:rPr>
          <w:rFonts w:asciiTheme="minorHAnsi" w:hAnsiTheme="minorHAnsi" w:cstheme="minorHAnsi"/>
          <w:szCs w:val="28"/>
        </w:rPr>
        <w:t>Decyzja zwolniona od opłaty skarbowej zgodnie z załącznikiem do ustawy z dnia 16 listopada 2006 r. o opłacie skarbowej (Dz. U. z 2023 r. poz. 2111, z 2024 r. poz. 1222</w:t>
      </w:r>
      <w:r>
        <w:rPr>
          <w:rFonts w:asciiTheme="minorHAnsi" w:hAnsiTheme="minorHAnsi" w:cstheme="minorHAnsi"/>
          <w:szCs w:val="28"/>
        </w:rPr>
        <w:t xml:space="preserve"> i 1757</w:t>
      </w:r>
      <w:r w:rsidRPr="00B33984">
        <w:rPr>
          <w:rFonts w:asciiTheme="minorHAnsi" w:hAnsiTheme="minorHAnsi" w:cstheme="minorHAnsi"/>
          <w:szCs w:val="28"/>
        </w:rPr>
        <w:t>) część I pkt 8.</w:t>
      </w:r>
    </w:p>
    <w:p w14:paraId="61D577C4" w14:textId="160382E0" w:rsidR="0037316F" w:rsidRPr="0037316F" w:rsidRDefault="0037316F" w:rsidP="0037316F">
      <w:pPr>
        <w:spacing w:after="120"/>
        <w:ind w:right="-1"/>
        <w:jc w:val="both"/>
      </w:pPr>
      <w:r>
        <w:rPr>
          <w:noProof/>
        </w:rPr>
        <w:lastRenderedPageBreak/>
        <w:drawing>
          <wp:inline distT="0" distB="0" distL="0" distR="0" wp14:anchorId="1FC08CB7" wp14:editId="5EFDA5DF">
            <wp:extent cx="7891145" cy="5579745"/>
            <wp:effectExtent l="0" t="0" r="0" b="1905"/>
            <wp:docPr id="1626872334" name="Obraz 2" descr="Obraz zawierający mapa, tekst, diagram, Pla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872334" name="Obraz 2" descr="Obraz zawierający mapa, tekst, diagram, Plan&#10;&#10;Zawartość wygenerowana przez sztuczną inteligencję może być niepoprawna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1145" cy="557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316F" w:rsidRPr="0037316F" w:rsidSect="0037316F">
      <w:headerReference w:type="default" r:id="rId13"/>
      <w:footerReference w:type="default" r:id="rId14"/>
      <w:pgSz w:w="16838" w:h="11906" w:orient="landscape"/>
      <w:pgMar w:top="1701" w:right="1418" w:bottom="1418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6E6C7" w14:textId="77777777" w:rsidR="000B7CC6" w:rsidRDefault="000B7CC6" w:rsidP="006717DC">
      <w:r>
        <w:separator/>
      </w:r>
    </w:p>
  </w:endnote>
  <w:endnote w:type="continuationSeparator" w:id="0">
    <w:p w14:paraId="5E115FC7" w14:textId="77777777" w:rsidR="000B7CC6" w:rsidRDefault="000B7CC6" w:rsidP="00671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0008932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4035B455" w14:textId="176BE0B2" w:rsidR="00FF7F2E" w:rsidRDefault="00000000" w:rsidP="0091164C">
            <w:pPr>
              <w:pStyle w:val="Stopka"/>
              <w:jc w:val="center"/>
            </w:pPr>
            <w:r w:rsidRPr="00ED1303">
              <w:rPr>
                <w:rFonts w:asciiTheme="minorHAnsi" w:hAnsiTheme="minorHAnsi" w:cstheme="minorHAnsi"/>
                <w:szCs w:val="28"/>
              </w:rPr>
              <w:t xml:space="preserve">Strona 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ED1303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ED1303">
              <w:rPr>
                <w:rFonts w:asciiTheme="minorHAnsi" w:hAnsiTheme="minorHAnsi" w:cstheme="minorHAnsi"/>
                <w:noProof/>
                <w:szCs w:val="28"/>
              </w:rPr>
              <w:t>1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ED1303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ED1303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ED1303">
              <w:rPr>
                <w:rFonts w:asciiTheme="minorHAnsi" w:hAnsiTheme="minorHAnsi" w:cstheme="minorHAnsi"/>
                <w:noProof/>
                <w:szCs w:val="28"/>
              </w:rPr>
              <w:t>14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B6CD" w14:textId="4D43899A" w:rsidR="00D55CB4" w:rsidRDefault="00D55CB4" w:rsidP="00A76768">
    <w:pPr>
      <w:pStyle w:val="Stopka"/>
      <w:tabs>
        <w:tab w:val="clear" w:pos="4536"/>
        <w:tab w:val="clear" w:pos="9072"/>
        <w:tab w:val="left" w:pos="6060"/>
      </w:tabs>
    </w:pPr>
    <w:r>
      <w:rPr>
        <w:rFonts w:cstheme="minorHAnsi"/>
        <w:noProof/>
        <w:szCs w:val="28"/>
      </w:rPr>
      <w:drawing>
        <wp:anchor distT="0" distB="0" distL="114300" distR="114300" simplePos="0" relativeHeight="251667456" behindDoc="1" locked="0" layoutInCell="1" allowOverlap="1" wp14:anchorId="08BE4D54" wp14:editId="1C23E08A">
          <wp:simplePos x="0" y="0"/>
          <wp:positionH relativeFrom="page">
            <wp:posOffset>-1198880</wp:posOffset>
          </wp:positionH>
          <wp:positionV relativeFrom="paragraph">
            <wp:posOffset>-1011555</wp:posOffset>
          </wp:positionV>
          <wp:extent cx="7534800" cy="1537200"/>
          <wp:effectExtent l="0" t="0" r="0" b="635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800" cy="153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6768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7997453"/>
      <w:docPartObj>
        <w:docPartGallery w:val="Page Numbers (Bottom of Page)"/>
        <w:docPartUnique/>
      </w:docPartObj>
    </w:sdtPr>
    <w:sdtContent>
      <w:sdt>
        <w:sdtPr>
          <w:id w:val="-787660510"/>
          <w:docPartObj>
            <w:docPartGallery w:val="Page Numbers (Top of Page)"/>
            <w:docPartUnique/>
          </w:docPartObj>
        </w:sdtPr>
        <w:sdtContent>
          <w:p w14:paraId="0DA560B3" w14:textId="77777777" w:rsidR="006717DC" w:rsidRDefault="006717DC" w:rsidP="00E901C1">
            <w:pPr>
              <w:pStyle w:val="Stopka"/>
              <w:jc w:val="center"/>
            </w:pPr>
            <w:r w:rsidRPr="00633564">
              <w:rPr>
                <w:rFonts w:asciiTheme="minorHAnsi" w:hAnsiTheme="minorHAnsi" w:cstheme="minorHAnsi"/>
                <w:szCs w:val="28"/>
              </w:rPr>
              <w:t xml:space="preserve">Strona 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633564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633564">
              <w:rPr>
                <w:rFonts w:asciiTheme="minorHAnsi" w:hAnsiTheme="minorHAnsi" w:cstheme="minorHAnsi"/>
                <w:noProof/>
                <w:szCs w:val="28"/>
              </w:rPr>
              <w:t>1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633564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633564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633564">
              <w:rPr>
                <w:rFonts w:asciiTheme="minorHAnsi" w:hAnsiTheme="minorHAnsi" w:cstheme="minorHAnsi"/>
                <w:noProof/>
                <w:szCs w:val="28"/>
              </w:rPr>
              <w:t>3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6D6A" w14:textId="77777777" w:rsidR="000B7CC6" w:rsidRDefault="000B7CC6" w:rsidP="006717DC">
      <w:r>
        <w:separator/>
      </w:r>
    </w:p>
  </w:footnote>
  <w:footnote w:type="continuationSeparator" w:id="0">
    <w:p w14:paraId="785B3686" w14:textId="77777777" w:rsidR="000B7CC6" w:rsidRDefault="000B7CC6" w:rsidP="00671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BAA75" w14:textId="5B2CFAD9" w:rsidR="00FF7F2E" w:rsidRPr="00D5734F" w:rsidRDefault="00FF7F2E" w:rsidP="0091164C">
    <w:pPr>
      <w:pStyle w:val="Nagwek"/>
      <w:jc w:val="right"/>
      <w:rPr>
        <w:rFonts w:asciiTheme="minorHAnsi" w:hAnsiTheme="minorHAnsi" w:cstheme="minorHAnsi"/>
        <w:iCs/>
        <w:color w:val="808080" w:themeColor="background1" w:themeShade="8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75C07" w14:textId="3E16643F" w:rsidR="00D55CB4" w:rsidRDefault="00D55CB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C109163" wp14:editId="5A9D1B61">
          <wp:simplePos x="0" y="0"/>
          <wp:positionH relativeFrom="column">
            <wp:posOffset>-1565910</wp:posOffset>
          </wp:positionH>
          <wp:positionV relativeFrom="paragraph">
            <wp:posOffset>-450215</wp:posOffset>
          </wp:positionV>
          <wp:extent cx="7570800" cy="23328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23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0F39" w14:textId="62126B37" w:rsidR="006717DC" w:rsidRPr="00633564" w:rsidRDefault="006717DC" w:rsidP="008B08EF">
    <w:pPr>
      <w:pStyle w:val="Nagwek"/>
      <w:jc w:val="right"/>
      <w:rPr>
        <w:rFonts w:asciiTheme="minorHAnsi" w:hAnsiTheme="minorHAnsi" w:cstheme="minorHAnsi"/>
        <w:iCs/>
        <w:color w:val="808080" w:themeColor="background1" w:themeShade="80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F6E41C9A"/>
    <w:lvl w:ilvl="0" w:tplc="BAF275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82455"/>
    <w:multiLevelType w:val="hybridMultilevel"/>
    <w:tmpl w:val="F2962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66944"/>
    <w:multiLevelType w:val="hybridMultilevel"/>
    <w:tmpl w:val="343C5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5227B"/>
    <w:multiLevelType w:val="hybridMultilevel"/>
    <w:tmpl w:val="F894E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7E027EB8"/>
    <w:lvl w:ilvl="0" w:tplc="D62E3660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71B600A"/>
    <w:multiLevelType w:val="hybridMultilevel"/>
    <w:tmpl w:val="773CD0D4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E1C86"/>
    <w:multiLevelType w:val="hybridMultilevel"/>
    <w:tmpl w:val="C602B644"/>
    <w:lvl w:ilvl="0" w:tplc="CE343C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074135">
    <w:abstractNumId w:val="1"/>
  </w:num>
  <w:num w:numId="2" w16cid:durableId="150949332">
    <w:abstractNumId w:val="11"/>
  </w:num>
  <w:num w:numId="3" w16cid:durableId="2123262368">
    <w:abstractNumId w:val="3"/>
  </w:num>
  <w:num w:numId="4" w16cid:durableId="1578903418">
    <w:abstractNumId w:val="7"/>
  </w:num>
  <w:num w:numId="5" w16cid:durableId="936716067">
    <w:abstractNumId w:val="12"/>
  </w:num>
  <w:num w:numId="6" w16cid:durableId="853498734">
    <w:abstractNumId w:val="0"/>
  </w:num>
  <w:num w:numId="7" w16cid:durableId="1595898295">
    <w:abstractNumId w:val="9"/>
  </w:num>
  <w:num w:numId="8" w16cid:durableId="980232610">
    <w:abstractNumId w:val="2"/>
  </w:num>
  <w:num w:numId="9" w16cid:durableId="13489424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6753495">
    <w:abstractNumId w:val="13"/>
  </w:num>
  <w:num w:numId="11" w16cid:durableId="649215677">
    <w:abstractNumId w:val="4"/>
  </w:num>
  <w:num w:numId="12" w16cid:durableId="610013507">
    <w:abstractNumId w:val="10"/>
  </w:num>
  <w:num w:numId="13" w16cid:durableId="7076043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606187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7DC"/>
    <w:rsid w:val="000B7CC6"/>
    <w:rsid w:val="000C3CF3"/>
    <w:rsid w:val="001A5F73"/>
    <w:rsid w:val="001B3CE2"/>
    <w:rsid w:val="001C51D7"/>
    <w:rsid w:val="001D5E06"/>
    <w:rsid w:val="001F404E"/>
    <w:rsid w:val="00206259"/>
    <w:rsid w:val="00260583"/>
    <w:rsid w:val="00292521"/>
    <w:rsid w:val="0032175A"/>
    <w:rsid w:val="0037316F"/>
    <w:rsid w:val="004129AD"/>
    <w:rsid w:val="004A5AD8"/>
    <w:rsid w:val="00546605"/>
    <w:rsid w:val="0056262A"/>
    <w:rsid w:val="005D0ADB"/>
    <w:rsid w:val="005E3B80"/>
    <w:rsid w:val="006717DC"/>
    <w:rsid w:val="00680C37"/>
    <w:rsid w:val="00701AE8"/>
    <w:rsid w:val="00790EB9"/>
    <w:rsid w:val="007F4F40"/>
    <w:rsid w:val="00920073"/>
    <w:rsid w:val="00992ED7"/>
    <w:rsid w:val="00A76768"/>
    <w:rsid w:val="00A9004D"/>
    <w:rsid w:val="00B22974"/>
    <w:rsid w:val="00C2650D"/>
    <w:rsid w:val="00CF0F35"/>
    <w:rsid w:val="00D55CB4"/>
    <w:rsid w:val="00DF6BDB"/>
    <w:rsid w:val="00EB6CC0"/>
    <w:rsid w:val="00ED1B67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98B90"/>
  <w15:chartTrackingRefBased/>
  <w15:docId w15:val="{C6A7A04C-B179-4AFA-84FC-FDF8FD58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17DC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717DC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6717DC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717DC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6717DC"/>
    <w:pPr>
      <w:ind w:left="720"/>
      <w:contextualSpacing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6717D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9004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00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8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233249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3677</Words>
  <Characters>22063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Krauze</dc:creator>
  <cp:keywords/>
  <dc:description/>
  <cp:lastModifiedBy>Agnieszka Zadrożna</cp:lastModifiedBy>
  <cp:revision>2</cp:revision>
  <dcterms:created xsi:type="dcterms:W3CDTF">2025-04-15T07:40:00Z</dcterms:created>
  <dcterms:modified xsi:type="dcterms:W3CDTF">2025-04-15T07:40:00Z</dcterms:modified>
</cp:coreProperties>
</file>