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21717265" w:rsidR="00BD5A34" w:rsidRPr="0063592D" w:rsidRDefault="00BD5A34" w:rsidP="003235C6">
      <w:pPr>
        <w:spacing w:after="0" w:line="240" w:lineRule="auto"/>
        <w:jc w:val="right"/>
        <w:rPr>
          <w:rFonts w:cstheme="minorHAnsi"/>
          <w:sz w:val="28"/>
          <w:szCs w:val="28"/>
        </w:rPr>
      </w:pPr>
      <w:r w:rsidRPr="0063592D">
        <w:rPr>
          <w:rFonts w:cstheme="minorHAnsi"/>
          <w:sz w:val="28"/>
          <w:szCs w:val="28"/>
        </w:rPr>
        <w:t xml:space="preserve">Śrem, </w:t>
      </w:r>
      <w:r w:rsidR="000E766D">
        <w:rPr>
          <w:rFonts w:cstheme="minorHAnsi"/>
          <w:sz w:val="28"/>
          <w:szCs w:val="28"/>
        </w:rPr>
        <w:t>25</w:t>
      </w:r>
      <w:r w:rsidR="00931D0B">
        <w:rPr>
          <w:rFonts w:cstheme="minorHAnsi"/>
          <w:sz w:val="28"/>
          <w:szCs w:val="28"/>
        </w:rPr>
        <w:t xml:space="preserve"> czerwca</w:t>
      </w:r>
      <w:r w:rsidR="00116E81">
        <w:rPr>
          <w:rFonts w:cstheme="minorHAnsi"/>
          <w:sz w:val="28"/>
          <w:szCs w:val="28"/>
        </w:rPr>
        <w:t xml:space="preserve"> 2025</w:t>
      </w:r>
      <w:r w:rsidRPr="0063592D">
        <w:rPr>
          <w:rFonts w:cstheme="minorHAnsi"/>
          <w:sz w:val="28"/>
          <w:szCs w:val="28"/>
        </w:rPr>
        <w:t xml:space="preserve"> </w:t>
      </w:r>
      <w:r w:rsidR="005038FC">
        <w:rPr>
          <w:rFonts w:cstheme="minorHAnsi"/>
          <w:sz w:val="28"/>
          <w:szCs w:val="28"/>
        </w:rPr>
        <w:t>r.</w:t>
      </w:r>
    </w:p>
    <w:p w14:paraId="314AFC46" w14:textId="27BCD171"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931D0B">
        <w:rPr>
          <w:rFonts w:cstheme="minorHAnsi"/>
          <w:sz w:val="28"/>
          <w:szCs w:val="28"/>
        </w:rPr>
        <w:t>13.2024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1ED57880" w:rsidR="00D41FE4"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931D0B">
        <w:rPr>
          <w:rFonts w:eastAsia="Times New Roman" w:cstheme="minorHAnsi"/>
          <w:sz w:val="28"/>
          <w:szCs w:val="28"/>
          <w:lang w:eastAsia="pl-PL"/>
        </w:rPr>
        <w:t>24 czerwca</w:t>
      </w:r>
      <w:r w:rsidR="005038FC">
        <w:rPr>
          <w:rFonts w:eastAsia="Times New Roman" w:cstheme="minorHAnsi"/>
          <w:sz w:val="28"/>
          <w:szCs w:val="28"/>
          <w:lang w:eastAsia="pl-PL"/>
        </w:rPr>
        <w:t xml:space="preserve"> </w:t>
      </w:r>
      <w:r w:rsidR="00116E81">
        <w:rPr>
          <w:rFonts w:eastAsia="Times New Roman" w:cstheme="minorHAnsi"/>
          <w:sz w:val="28"/>
          <w:szCs w:val="28"/>
          <w:lang w:eastAsia="pl-PL"/>
        </w:rPr>
        <w:t>2025</w:t>
      </w:r>
      <w:r w:rsidR="00BD5A34" w:rsidRPr="0063592D">
        <w:rPr>
          <w:rFonts w:eastAsia="Times New Roman" w:cstheme="minorHAnsi"/>
          <w:sz w:val="28"/>
          <w:szCs w:val="28"/>
          <w:lang w:eastAsia="pl-PL"/>
        </w:rPr>
        <w:t xml:space="preserve"> r. Burmistrz Śremu wydał, na rzecz </w:t>
      </w:r>
      <w:r w:rsidR="00931D0B">
        <w:rPr>
          <w:rFonts w:eastAsia="Times New Roman" w:cstheme="minorHAnsi"/>
          <w:sz w:val="28"/>
          <w:szCs w:val="28"/>
          <w:lang w:eastAsia="pl-PL"/>
        </w:rPr>
        <w:t>osoby fizycznej</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931D0B" w:rsidRPr="00931D0B">
        <w:rPr>
          <w:rFonts w:ascii="Calibri" w:eastAsia="Times New Roman" w:hAnsi="Calibri" w:cs="Calibri"/>
          <w:b/>
          <w:sz w:val="28"/>
          <w:szCs w:val="28"/>
          <w:lang w:eastAsia="pl-PL"/>
        </w:rPr>
        <w:t>rozbudowie gospodarstwa rolnego zlokalizowanego na działkach o</w:t>
      </w:r>
      <w:r w:rsidR="00AE7261">
        <w:rPr>
          <w:rFonts w:ascii="Calibri" w:eastAsia="Times New Roman" w:hAnsi="Calibri" w:cs="Calibri"/>
          <w:b/>
          <w:sz w:val="28"/>
          <w:szCs w:val="28"/>
          <w:lang w:eastAsia="pl-PL"/>
        </w:rPr>
        <w:t> </w:t>
      </w:r>
      <w:r w:rsidR="00931D0B" w:rsidRPr="00931D0B">
        <w:rPr>
          <w:rFonts w:ascii="Calibri" w:eastAsia="Times New Roman" w:hAnsi="Calibri" w:cs="Calibri"/>
          <w:b/>
          <w:sz w:val="28"/>
          <w:szCs w:val="28"/>
          <w:lang w:eastAsia="pl-PL"/>
        </w:rPr>
        <w:t>numerach ewidencyjnych 12 i 14, obręb Pysząca, poprzez budowę obory wolnostanowiskowej dla bydła mlecznego wraz z niezbędną infrastrukturą na działce o numerze ewidencyjnym 12, obręb Pysząca</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w:t>
      </w:r>
    </w:p>
    <w:p w14:paraId="45576EAD" w14:textId="59CEE0B3"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0DF5BD0B"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 xml:space="preserve">Jednocześnie, podaję do publicznej wiadomości informację, że z treścią decyzji oraz z dokumentacją sprawy, w tym z </w:t>
      </w:r>
      <w:r w:rsidR="00931D0B">
        <w:rPr>
          <w:rFonts w:eastAsia="Times New Roman" w:cstheme="minorHAnsi"/>
          <w:sz w:val="28"/>
          <w:szCs w:val="28"/>
          <w:lang w:eastAsia="pl-PL"/>
        </w:rPr>
        <w:t>uzgodnieniami i opinią</w:t>
      </w:r>
      <w:r w:rsidRPr="0063592D">
        <w:rPr>
          <w:rFonts w:eastAsia="Times New Roman" w:cstheme="minorHAnsi"/>
          <w:sz w:val="28"/>
          <w:szCs w:val="28"/>
          <w:lang w:eastAsia="pl-PL"/>
        </w:rPr>
        <w:t xml:space="preserve">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204D4DB8" w:rsidR="00BD5A34" w:rsidRPr="00B81AFE"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931D0B" w:rsidRPr="00931D0B">
          <w:rPr>
            <w:rStyle w:val="Hipercze"/>
            <w:sz w:val="28"/>
            <w:szCs w:val="28"/>
          </w:rPr>
          <w:t>https://bip.srem.pl/public/?id=233262</w:t>
        </w:r>
      </w:hyperlink>
      <w:r w:rsidRPr="00931D0B">
        <w:rPr>
          <w:rFonts w:cstheme="minorHAnsi"/>
          <w:sz w:val="28"/>
          <w:szCs w:val="28"/>
        </w:rPr>
        <w:t>.</w:t>
      </w:r>
    </w:p>
    <w:p w14:paraId="02E02EDF" w14:textId="78D04261" w:rsidR="00BD5A34" w:rsidRPr="00417844" w:rsidRDefault="003235C6" w:rsidP="00F80DB4">
      <w:pPr>
        <w:spacing w:after="120" w:line="240" w:lineRule="auto"/>
        <w:ind w:left="4248"/>
        <w:jc w:val="center"/>
        <w:rPr>
          <w:rFonts w:eastAsia="Times New Roman" w:cstheme="minorHAnsi"/>
          <w:sz w:val="28"/>
          <w:szCs w:val="28"/>
          <w:lang w:eastAsia="pl-PL"/>
        </w:rPr>
      </w:pPr>
      <w:r w:rsidRPr="00417844">
        <w:rPr>
          <w:rFonts w:eastAsia="Times New Roman" w:cstheme="minorHAnsi"/>
          <w:sz w:val="28"/>
          <w:szCs w:val="28"/>
          <w:lang w:eastAsia="pl-PL"/>
        </w:rPr>
        <w:t>z up. BURMISTRZA</w:t>
      </w:r>
    </w:p>
    <w:p w14:paraId="0DB8800D" w14:textId="555027FD" w:rsidR="003235C6" w:rsidRPr="00417844" w:rsidRDefault="003235C6" w:rsidP="003235C6">
      <w:pPr>
        <w:spacing w:after="0" w:line="240" w:lineRule="auto"/>
        <w:ind w:left="4247"/>
        <w:jc w:val="center"/>
        <w:rPr>
          <w:rFonts w:eastAsia="Times New Roman" w:cstheme="minorHAnsi"/>
          <w:sz w:val="28"/>
          <w:szCs w:val="28"/>
          <w:lang w:eastAsia="pl-PL"/>
        </w:rPr>
      </w:pPr>
      <w:r w:rsidRPr="00417844">
        <w:rPr>
          <w:rFonts w:eastAsia="Times New Roman" w:cstheme="minorHAnsi"/>
          <w:sz w:val="28"/>
          <w:szCs w:val="28"/>
          <w:lang w:eastAsia="pl-PL"/>
        </w:rPr>
        <w:t>Sławomir Ratajczak</w:t>
      </w:r>
    </w:p>
    <w:p w14:paraId="4AB89CB9" w14:textId="5A56156E" w:rsidR="003235C6" w:rsidRPr="0063592D" w:rsidRDefault="003235C6" w:rsidP="00F80DB4">
      <w:pPr>
        <w:spacing w:after="120" w:line="240" w:lineRule="auto"/>
        <w:ind w:left="4248"/>
        <w:jc w:val="center"/>
        <w:rPr>
          <w:rFonts w:eastAsia="Times New Roman" w:cstheme="minorHAnsi"/>
          <w:sz w:val="28"/>
          <w:szCs w:val="28"/>
          <w:lang w:eastAsia="pl-PL"/>
        </w:rPr>
      </w:pPr>
      <w:r w:rsidRPr="00417844">
        <w:rPr>
          <w:rFonts w:eastAsia="Times New Roman" w:cstheme="minorHAnsi"/>
          <w:sz w:val="28"/>
          <w:szCs w:val="28"/>
          <w:lang w:eastAsia="pl-PL"/>
        </w:rPr>
        <w:t>Zastępca Burmistrza</w:t>
      </w:r>
    </w:p>
    <w:p w14:paraId="6A45C5F6" w14:textId="341602F8"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931D0B">
        <w:rPr>
          <w:rFonts w:eastAsia="Times New Roman" w:cstheme="minorHAnsi"/>
          <w:sz w:val="28"/>
          <w:szCs w:val="28"/>
          <w:lang w:eastAsia="pl-PL"/>
        </w:rPr>
        <w:t>26.06</w:t>
      </w:r>
      <w:r w:rsidR="00116E81">
        <w:rPr>
          <w:rFonts w:eastAsia="Times New Roman" w:cstheme="minorHAnsi"/>
          <w:sz w:val="28"/>
          <w:szCs w:val="28"/>
          <w:lang w:eastAsia="pl-PL"/>
        </w:rPr>
        <w:t>.2025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0F423FC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7CD37587" w14:textId="77777777" w:rsidR="00AE7261" w:rsidRPr="00AE7261" w:rsidRDefault="00AE7261" w:rsidP="00AE7261">
      <w:pPr>
        <w:spacing w:after="0" w:line="240" w:lineRule="auto"/>
        <w:ind w:right="5810"/>
        <w:jc w:val="center"/>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Burmistrz Śremu</w:t>
      </w:r>
    </w:p>
    <w:p w14:paraId="5750C323" w14:textId="77777777" w:rsidR="00AE7261" w:rsidRPr="00AE7261" w:rsidRDefault="00AE7261" w:rsidP="00AE7261">
      <w:pPr>
        <w:spacing w:after="0" w:line="240" w:lineRule="auto"/>
        <w:ind w:right="5810"/>
        <w:jc w:val="center"/>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ul. Plac 20 Października 1</w:t>
      </w:r>
    </w:p>
    <w:p w14:paraId="505B02BC" w14:textId="77777777" w:rsidR="00AE7261" w:rsidRPr="00AE7261" w:rsidRDefault="00AE7261" w:rsidP="00AE7261">
      <w:pPr>
        <w:spacing w:after="0" w:line="240" w:lineRule="auto"/>
        <w:ind w:right="5810"/>
        <w:jc w:val="center"/>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63-100 Śrem</w:t>
      </w:r>
    </w:p>
    <w:p w14:paraId="4E84CB26" w14:textId="77777777" w:rsidR="00AE7261" w:rsidRPr="00AE7261" w:rsidRDefault="00AE7261" w:rsidP="00AE7261">
      <w:pPr>
        <w:spacing w:after="0" w:line="240" w:lineRule="auto"/>
        <w:jc w:val="right"/>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Śrem, 24 czerwca 2025 r.</w:t>
      </w:r>
    </w:p>
    <w:p w14:paraId="57725D60"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PPSOŚ.6220.13.2024.BM</w:t>
      </w:r>
    </w:p>
    <w:p w14:paraId="59750D48" w14:textId="77777777" w:rsidR="00AE7261" w:rsidRPr="00AE7261" w:rsidRDefault="00AE7261" w:rsidP="00AE7261">
      <w:pPr>
        <w:spacing w:after="80" w:line="240" w:lineRule="auto"/>
        <w:jc w:val="center"/>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Decyzja</w:t>
      </w:r>
    </w:p>
    <w:p w14:paraId="7A8B6216" w14:textId="77777777" w:rsidR="00AE7261" w:rsidRPr="00AE7261" w:rsidRDefault="00AE7261" w:rsidP="00AE7261">
      <w:pPr>
        <w:spacing w:after="80" w:line="240" w:lineRule="auto"/>
        <w:rPr>
          <w:rFonts w:ascii="Calibri" w:eastAsia="Times New Roman" w:hAnsi="Calibri" w:cs="Aptos"/>
          <w:kern w:val="2"/>
          <w:sz w:val="28"/>
          <w:szCs w:val="28"/>
          <w:lang w:eastAsia="pl-PL"/>
          <w14:ligatures w14:val="standardContextual"/>
        </w:rPr>
      </w:pPr>
      <w:r w:rsidRPr="00AE7261">
        <w:rPr>
          <w:rFonts w:ascii="Calibri" w:eastAsia="Times New Roman" w:hAnsi="Calibri" w:cs="Calibri"/>
          <w:sz w:val="28"/>
          <w:szCs w:val="28"/>
          <w:lang w:eastAsia="pl-PL"/>
        </w:rPr>
        <w:tab/>
      </w:r>
      <w:r w:rsidRPr="00AE7261">
        <w:rPr>
          <w:rFonts w:ascii="Calibri" w:eastAsia="Times New Roman" w:hAnsi="Calibri" w:cs="Aptos"/>
          <w:kern w:val="2"/>
          <w:sz w:val="28"/>
          <w:szCs w:val="28"/>
          <w:lang w:eastAsia="pl-PL"/>
          <w14:ligatures w14:val="standardContextual"/>
        </w:rPr>
        <w:t>Na podstawie art. 71 ust. 2 pkt 1, art. 75 ust. 1 pkt 4, art. 82 oraz art. 85 ustawy z dnia 3 października 2008 r. o udostępnianiu informacji o środowisku i jego ochronie, udziale społeczeństwa w ochronie środowiska oraz o ocenach oddziaływania na środowisko (</w:t>
      </w:r>
      <w:r w:rsidRPr="00AE7261">
        <w:rPr>
          <w:rFonts w:ascii="Calibri" w:eastAsia="Calibri" w:hAnsi="Calibri" w:cs="Aptos"/>
          <w:bCs/>
          <w:kern w:val="2"/>
          <w:sz w:val="28"/>
          <w:szCs w:val="28"/>
          <w14:ligatures w14:val="standardContextual"/>
        </w:rPr>
        <w:t>Dz. U. z 2024 r. poz. 1112, 1940 i 1881</w:t>
      </w:r>
      <w:r w:rsidRPr="00AE7261">
        <w:rPr>
          <w:rFonts w:ascii="Calibri" w:eastAsia="Times New Roman" w:hAnsi="Calibri" w:cs="Aptos"/>
          <w:kern w:val="2"/>
          <w:sz w:val="28"/>
          <w:szCs w:val="28"/>
          <w:lang w:eastAsia="pl-PL"/>
          <w14:ligatures w14:val="standardContextual"/>
        </w:rPr>
        <w:t xml:space="preserve">), zwanej dalej u.o.o.ś., </w:t>
      </w:r>
      <w:r w:rsidRPr="00AE7261">
        <w:rPr>
          <w:rFonts w:ascii="Calibri" w:eastAsia="Calibri" w:hAnsi="Calibri" w:cs="Aptos"/>
          <w:kern w:val="2"/>
          <w:sz w:val="28"/>
          <w:szCs w:val="28"/>
          <w14:ligatures w14:val="standardContextual"/>
        </w:rPr>
        <w:t xml:space="preserve">§ 2 ust. 2 pkt 2 i § 2 ust. 1 pkt 51 lit. b </w:t>
      </w:r>
      <w:r w:rsidRPr="00AE7261">
        <w:rPr>
          <w:rFonts w:ascii="Calibri" w:eastAsia="Times New Roman" w:hAnsi="Calibri" w:cs="Aptos"/>
          <w:kern w:val="2"/>
          <w:sz w:val="28"/>
          <w:szCs w:val="28"/>
          <w:lang w:eastAsia="pl-PL"/>
          <w14:ligatures w14:val="standardContextual"/>
        </w:rPr>
        <w:t>rozporządzenia Rady Ministrów z dnia 10 września 2019 r. w sprawie przedsięwzięć mogących znacząco oddziaływać na środowisko (Dz. U. poz. 1839, z 2022 r. poz. 1071 i z 2023 r. poz. 1724) oraz art. 104 ustawy z dnia 14 czerwca 1960 r. – Kodeks postępowania administracyjnego (Dz. U. z 2024 r. poz. 572), zwanej dalej K.p.a.,</w:t>
      </w:r>
    </w:p>
    <w:p w14:paraId="503EEB84" w14:textId="77777777" w:rsidR="00AE7261" w:rsidRPr="00AE7261" w:rsidRDefault="00AE7261" w:rsidP="00AE7261">
      <w:pPr>
        <w:spacing w:after="80" w:line="240" w:lineRule="auto"/>
        <w:jc w:val="center"/>
        <w:rPr>
          <w:rFonts w:ascii="Calibri" w:eastAsia="Times New Roman" w:hAnsi="Calibri" w:cs="Aptos"/>
          <w:kern w:val="2"/>
          <w:sz w:val="28"/>
          <w:szCs w:val="28"/>
          <w:lang w:eastAsia="pl-PL"/>
          <w14:ligatures w14:val="standardContextual"/>
        </w:rPr>
      </w:pPr>
      <w:r w:rsidRPr="00AE7261">
        <w:rPr>
          <w:rFonts w:ascii="Calibri" w:eastAsia="Times New Roman" w:hAnsi="Calibri" w:cs="Aptos"/>
          <w:kern w:val="2"/>
          <w:sz w:val="28"/>
          <w:szCs w:val="28"/>
          <w:lang w:eastAsia="pl-PL"/>
          <w14:ligatures w14:val="standardContextual"/>
        </w:rPr>
        <w:t>po rozpatrzeniu</w:t>
      </w:r>
    </w:p>
    <w:p w14:paraId="18DDF4CE" w14:textId="10911B82" w:rsidR="00AE7261" w:rsidRPr="00AE7261" w:rsidRDefault="00AE7261" w:rsidP="00AE7261">
      <w:pPr>
        <w:spacing w:after="120" w:line="240" w:lineRule="auto"/>
        <w:rPr>
          <w:rFonts w:ascii="Calibri" w:eastAsia="Times New Roman" w:hAnsi="Calibri" w:cs="Aptos"/>
          <w:kern w:val="2"/>
          <w:sz w:val="28"/>
          <w:szCs w:val="28"/>
          <w:lang w:eastAsia="pl-PL"/>
          <w14:ligatures w14:val="standardContextual"/>
        </w:rPr>
      </w:pPr>
      <w:r w:rsidRPr="00AE7261">
        <w:rPr>
          <w:rFonts w:ascii="Calibri" w:eastAsia="Times New Roman" w:hAnsi="Calibri" w:cs="Aptos"/>
          <w:kern w:val="2"/>
          <w:sz w:val="28"/>
          <w:szCs w:val="28"/>
          <w:lang w:eastAsia="pl-PL"/>
          <w14:ligatures w14:val="standardContextual"/>
        </w:rPr>
        <w:t xml:space="preserve">wniosku </w:t>
      </w:r>
      <w:r w:rsidRPr="00AE7261">
        <w:rPr>
          <w:rFonts w:ascii="Calibri" w:eastAsia="Calibri" w:hAnsi="Calibri" w:cs="Times New Roman"/>
          <w:kern w:val="2"/>
          <w:sz w:val="28"/>
          <w:szCs w:val="28"/>
          <w14:ligatures w14:val="standardContextual"/>
        </w:rPr>
        <w:t xml:space="preserve">Pana </w:t>
      </w:r>
      <w:r w:rsidRPr="00AE7261">
        <w:rPr>
          <w:rFonts w:ascii="Calibri" w:eastAsia="Calibri" w:hAnsi="Calibri" w:cs="Times New Roman"/>
          <w:kern w:val="2"/>
          <w:sz w:val="28"/>
          <w:szCs w:val="28"/>
          <w:highlight w:val="black"/>
          <w14:ligatures w14:val="standardContextual"/>
        </w:rPr>
        <w:t>…………………………………………………………………………………………</w:t>
      </w:r>
      <w:r w:rsidRPr="00AE7261">
        <w:rPr>
          <w:rFonts w:ascii="Calibri" w:eastAsia="Times New Roman" w:hAnsi="Calibri" w:cs="Aptos"/>
          <w:kern w:val="2"/>
          <w:sz w:val="28"/>
          <w:szCs w:val="28"/>
          <w:highlight w:val="black"/>
          <w:lang w:eastAsia="pl-PL"/>
          <w14:ligatures w14:val="standardContextual"/>
        </w:rPr>
        <w:t>, ……………………………………………………………</w:t>
      </w:r>
      <w:r w:rsidRPr="00AE7261">
        <w:rPr>
          <w:rFonts w:ascii="Calibri" w:eastAsia="Calibri" w:hAnsi="Calibri" w:cs="Aptos"/>
          <w:kern w:val="2"/>
          <w:sz w:val="28"/>
          <w:szCs w:val="28"/>
          <w14:ligatures w14:val="standardContextual"/>
        </w:rPr>
        <w:t>o wydanie decyzji o środowiskowych uwarunkowaniach dla planowanego przedsięwzięcia polegającego na </w:t>
      </w:r>
      <w:r w:rsidRPr="00AE7261">
        <w:rPr>
          <w:rFonts w:ascii="Calibri" w:eastAsia="Times New Roman" w:hAnsi="Calibri" w:cs="Calibri"/>
          <w:sz w:val="28"/>
          <w:szCs w:val="28"/>
          <w:lang w:eastAsia="pl-PL"/>
        </w:rPr>
        <w:t>rozbudowie gospodarstwa rolnego zlokalizowanego na działkach o numerach ewidencyjnych 12 i 14, obręb Pysząca, poprzez budowę obory wolnostanowiskowej dla bydła mlecznego wraz z niezbędną infrastrukturą na działce o numerze ewidencyjnym 12, obręb Pysząca,</w:t>
      </w:r>
    </w:p>
    <w:p w14:paraId="1605521D" w14:textId="77777777" w:rsidR="00AE7261" w:rsidRPr="00AE7261" w:rsidRDefault="00AE7261" w:rsidP="00AE7261">
      <w:pPr>
        <w:spacing w:after="0" w:line="240" w:lineRule="auto"/>
        <w:rPr>
          <w:rFonts w:ascii="Calibri" w:eastAsia="Times New Roman" w:hAnsi="Calibri" w:cs="Aptos"/>
          <w:kern w:val="2"/>
          <w:sz w:val="28"/>
          <w:szCs w:val="28"/>
          <w:lang w:eastAsia="pl-PL"/>
          <w14:ligatures w14:val="standardContextual"/>
        </w:rPr>
      </w:pPr>
      <w:r w:rsidRPr="00AE7261">
        <w:rPr>
          <w:rFonts w:ascii="Calibri" w:eastAsia="Times New Roman" w:hAnsi="Calibri" w:cs="Aptos"/>
          <w:kern w:val="2"/>
          <w:sz w:val="28"/>
          <w:szCs w:val="28"/>
          <w:lang w:eastAsia="pl-PL"/>
          <w14:ligatures w14:val="standardContextual"/>
        </w:rPr>
        <w:t>i przeprowadzeniu postępowania w sprawie oceny oddziaływania na środowisko,</w:t>
      </w:r>
    </w:p>
    <w:p w14:paraId="652BDCC1" w14:textId="77777777" w:rsidR="00AE7261" w:rsidRPr="00AE7261" w:rsidRDefault="00AE7261" w:rsidP="00AE7261">
      <w:pPr>
        <w:spacing w:after="80" w:line="240" w:lineRule="auto"/>
        <w:jc w:val="center"/>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ustalam</w:t>
      </w:r>
    </w:p>
    <w:p w14:paraId="5EC0B71F" w14:textId="77777777" w:rsidR="00AE7261" w:rsidRPr="00AE7261" w:rsidRDefault="00AE7261" w:rsidP="00AE7261">
      <w:pPr>
        <w:spacing w:after="8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środowiskowe uwarunkowania dla planowanego przedsięwzięcia </w:t>
      </w:r>
      <w:r w:rsidRPr="00AE7261">
        <w:rPr>
          <w:rFonts w:ascii="Calibri" w:eastAsia="Calibri" w:hAnsi="Calibri" w:cs="Calibri"/>
          <w:sz w:val="28"/>
          <w:szCs w:val="28"/>
        </w:rPr>
        <w:t xml:space="preserve">polegającego na </w:t>
      </w:r>
      <w:r w:rsidRPr="00AE7261">
        <w:rPr>
          <w:rFonts w:ascii="Calibri" w:eastAsia="Times New Roman" w:hAnsi="Calibri" w:cs="Calibri"/>
          <w:bCs/>
          <w:sz w:val="28"/>
          <w:szCs w:val="28"/>
          <w:lang w:eastAsia="pl-PL"/>
        </w:rPr>
        <w:t>rozbudowie gospodarstwa rolnego zlokalizowanego na działkach o numerach ewidencyjnych 12 i 14, obręb Pysząca, poprzez budowę obory wolnostanowiskowej dla bydła mlecznego wraz z niezbędną infrastrukturą na działce o numerze ewidencyjnym 12, obręb Pysząca</w:t>
      </w:r>
      <w:r w:rsidRPr="00AE7261">
        <w:rPr>
          <w:rFonts w:ascii="Calibri" w:eastAsia="Times New Roman" w:hAnsi="Calibri" w:cs="Calibri"/>
          <w:sz w:val="28"/>
          <w:szCs w:val="28"/>
          <w:lang w:eastAsia="pl-PL"/>
        </w:rPr>
        <w:t>, oraz:</w:t>
      </w:r>
    </w:p>
    <w:p w14:paraId="223E0664" w14:textId="77777777" w:rsidR="00AE7261" w:rsidRPr="00AE7261" w:rsidRDefault="00AE7261" w:rsidP="00AE7261">
      <w:pPr>
        <w:spacing w:after="0" w:line="240" w:lineRule="auto"/>
        <w:jc w:val="both"/>
        <w:rPr>
          <w:rFonts w:ascii="Calibri" w:eastAsia="Times New Roman" w:hAnsi="Calibri" w:cs="Calibri"/>
          <w:b/>
          <w:sz w:val="28"/>
          <w:szCs w:val="28"/>
          <w:lang w:eastAsia="pl-PL"/>
        </w:rPr>
      </w:pPr>
      <w:r w:rsidRPr="00AE7261">
        <w:rPr>
          <w:rFonts w:ascii="Calibri" w:eastAsia="Times New Roman" w:hAnsi="Calibri" w:cs="Calibri"/>
          <w:b/>
          <w:sz w:val="28"/>
          <w:szCs w:val="28"/>
          <w:lang w:eastAsia="pl-PL"/>
        </w:rPr>
        <w:br w:type="page"/>
      </w:r>
    </w:p>
    <w:p w14:paraId="4087F3E8" w14:textId="77777777" w:rsidR="00AE7261" w:rsidRPr="00AE7261" w:rsidRDefault="00AE7261" w:rsidP="00AE7261">
      <w:pPr>
        <w:spacing w:after="120" w:line="240" w:lineRule="auto"/>
        <w:jc w:val="center"/>
        <w:rPr>
          <w:rFonts w:ascii="Calibri" w:eastAsia="Times New Roman" w:hAnsi="Calibri" w:cs="Calibri"/>
          <w:b/>
          <w:sz w:val="28"/>
          <w:szCs w:val="28"/>
          <w:lang w:eastAsia="pl-PL"/>
        </w:rPr>
      </w:pPr>
      <w:r w:rsidRPr="00AE7261">
        <w:rPr>
          <w:rFonts w:ascii="Calibri" w:eastAsia="Times New Roman" w:hAnsi="Calibri" w:cs="Calibri"/>
          <w:b/>
          <w:sz w:val="28"/>
          <w:szCs w:val="28"/>
          <w:lang w:eastAsia="pl-PL"/>
        </w:rPr>
        <w:lastRenderedPageBreak/>
        <w:t>określam:</w:t>
      </w:r>
    </w:p>
    <w:p w14:paraId="3AA4F35B" w14:textId="77777777" w:rsidR="00AE7261" w:rsidRPr="00AE7261" w:rsidRDefault="00AE7261" w:rsidP="00AE7261">
      <w:pPr>
        <w:numPr>
          <w:ilvl w:val="0"/>
          <w:numId w:val="39"/>
        </w:numPr>
        <w:spacing w:after="120" w:line="240" w:lineRule="auto"/>
        <w:ind w:left="284" w:hanging="284"/>
        <w:contextualSpacing/>
        <w:jc w:val="both"/>
        <w:rPr>
          <w:rFonts w:ascii="Calibri" w:eastAsia="Times New Roman" w:hAnsi="Calibri" w:cs="Calibri"/>
          <w:b/>
          <w:sz w:val="28"/>
          <w:szCs w:val="28"/>
          <w:lang w:eastAsia="pl-PL"/>
        </w:rPr>
      </w:pPr>
      <w:r w:rsidRPr="00AE7261">
        <w:rPr>
          <w:rFonts w:ascii="Calibri" w:eastAsia="Times New Roman" w:hAnsi="Calibri" w:cs="Calibri"/>
          <w:b/>
          <w:sz w:val="28"/>
          <w:szCs w:val="28"/>
          <w:lang w:eastAsia="pl-PL"/>
        </w:rPr>
        <w:t>Rodzaj i miejsce realizacji przedsięwzięcia:</w:t>
      </w:r>
    </w:p>
    <w:p w14:paraId="6518CF5C" w14:textId="77777777" w:rsidR="00AE7261" w:rsidRPr="00AE7261" w:rsidRDefault="00AE7261" w:rsidP="00AE7261">
      <w:pPr>
        <w:autoSpaceDE w:val="0"/>
        <w:autoSpaceDN w:val="0"/>
        <w:adjustRightInd w:val="0"/>
        <w:spacing w:after="120" w:line="240" w:lineRule="auto"/>
        <w:ind w:left="284"/>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planowane przedsięwzięcie polega na rozbudowie gospodarstwa rolnego zlokalizowanego na działkach o numerach ewidencyjnych 12 i 14, obręb Pysząca, poprzez </w:t>
      </w:r>
      <w:bookmarkStart w:id="0" w:name="_Hlk196468187"/>
      <w:r w:rsidRPr="00AE7261">
        <w:rPr>
          <w:rFonts w:ascii="Calibri" w:eastAsia="Times New Roman" w:hAnsi="Calibri" w:cs="Calibri"/>
          <w:sz w:val="28"/>
          <w:szCs w:val="28"/>
          <w:lang w:eastAsia="pl-PL"/>
        </w:rPr>
        <w:t>budowę na działce o numerze ewidencyjnym 12: budynku inwentarskiego (obora nr 1</w:t>
      </w:r>
      <w:r w:rsidRPr="00AE7261">
        <w:rPr>
          <w:rFonts w:ascii="Calibri" w:eastAsia="Times New Roman" w:hAnsi="Calibri" w:cs="Calibri"/>
          <w:sz w:val="28"/>
          <w:szCs w:val="28"/>
          <w:vertAlign w:val="superscript"/>
          <w:lang w:eastAsia="pl-PL"/>
        </w:rPr>
        <w:footnoteReference w:id="1"/>
      </w:r>
      <w:r w:rsidRPr="00AE7261">
        <w:rPr>
          <w:rFonts w:ascii="Calibri" w:eastAsia="Times New Roman" w:hAnsi="Calibri" w:cs="Calibri"/>
          <w:sz w:val="28"/>
          <w:szCs w:val="28"/>
          <w:lang w:eastAsia="pl-PL"/>
        </w:rPr>
        <w:t>) z kanałami gnojowicowymi pod tym budynkiem o łącznej pojemności nie mniejszej niż 1 000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zbiornika na gnojówkę i gnojowicę o pojemności nie mniejszej niż 2 600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zbiornika na ścieki technologiczne o pojemności około 15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zbiornika na ścieki bytowe o pojemności około 5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xml:space="preserve">, konfiskatora sztuk padłych, </w:t>
      </w:r>
      <w:bookmarkStart w:id="1" w:name="_Hlk198539714"/>
      <w:r w:rsidRPr="00AE7261">
        <w:rPr>
          <w:rFonts w:ascii="Calibri" w:eastAsia="Times New Roman" w:hAnsi="Calibri" w:cs="Calibri"/>
          <w:sz w:val="28"/>
          <w:szCs w:val="28"/>
          <w:lang w:eastAsia="pl-PL"/>
        </w:rPr>
        <w:t>dwóch silosów na paszę o możliwości przechowywania pasz w ilości 15 Mg i 28 Mg oraz utwardzeń na powierzchni około 2 400 m</w:t>
      </w:r>
      <w:r w:rsidRPr="00AE7261">
        <w:rPr>
          <w:rFonts w:ascii="Calibri" w:eastAsia="Times New Roman" w:hAnsi="Calibri" w:cs="Calibri"/>
          <w:sz w:val="28"/>
          <w:szCs w:val="28"/>
          <w:vertAlign w:val="superscript"/>
          <w:lang w:eastAsia="pl-PL"/>
        </w:rPr>
        <w:t>2</w:t>
      </w:r>
      <w:bookmarkEnd w:id="1"/>
      <w:r w:rsidRPr="00AE7261">
        <w:rPr>
          <w:rFonts w:ascii="Calibri" w:eastAsia="Times New Roman" w:hAnsi="Calibri" w:cs="Calibri"/>
          <w:sz w:val="28"/>
          <w:szCs w:val="28"/>
          <w:lang w:eastAsia="pl-PL"/>
        </w:rPr>
        <w:t xml:space="preserve">. Ponadto, w ramach przedsięwzięcia zaplanowano wykonanie nasadzeń zieleni izolacyjnej wzdłuż części wschodnich granic działek o numerach ewidencyjnych 12 i 14. </w:t>
      </w:r>
      <w:bookmarkEnd w:id="0"/>
      <w:r w:rsidRPr="00AE7261">
        <w:rPr>
          <w:rFonts w:ascii="Calibri" w:eastAsia="Times New Roman" w:hAnsi="Calibri" w:cs="Calibri"/>
          <w:sz w:val="28"/>
          <w:szCs w:val="28"/>
          <w:lang w:eastAsia="pl-PL"/>
        </w:rPr>
        <w:t>Aktualnie w gospodarstwie rolnym prowadzona jest hodowla bydła mlecznego w systemie wolnostanowiskowym w obsadzie wynoszącej 155,40 DJP</w:t>
      </w:r>
      <w:r w:rsidRPr="00AE7261">
        <w:rPr>
          <w:rFonts w:ascii="Calibri" w:eastAsia="Times New Roman" w:hAnsi="Calibri" w:cs="Calibri"/>
          <w:sz w:val="28"/>
          <w:szCs w:val="28"/>
          <w:vertAlign w:val="superscript"/>
          <w:lang w:eastAsia="pl-PL"/>
        </w:rPr>
        <w:footnoteReference w:id="2"/>
      </w:r>
      <w:r w:rsidRPr="00AE7261">
        <w:rPr>
          <w:rFonts w:ascii="Calibri" w:eastAsia="Times New Roman" w:hAnsi="Calibri" w:cs="Calibri"/>
          <w:sz w:val="28"/>
          <w:szCs w:val="28"/>
          <w:lang w:eastAsia="pl-PL"/>
        </w:rPr>
        <w:t xml:space="preserve">. </w:t>
      </w:r>
      <w:bookmarkStart w:id="2" w:name="_Hlk196472180"/>
      <w:r w:rsidRPr="00AE7261">
        <w:rPr>
          <w:rFonts w:ascii="Calibri" w:eastAsia="Times New Roman" w:hAnsi="Calibri" w:cs="Calibri"/>
          <w:sz w:val="28"/>
          <w:szCs w:val="28"/>
          <w:lang w:eastAsia="pl-PL"/>
        </w:rPr>
        <w:t>Realizacja planowanego przedsięwzięcia będzie wiązać się ze zwiększeniem łącznej obsady zwierząt, która nie przekroczy 453,1 DJP (wzrost o 297,7 DJP)</w:t>
      </w:r>
      <w:bookmarkEnd w:id="2"/>
      <w:r w:rsidRPr="00AE7261">
        <w:rPr>
          <w:rFonts w:ascii="Calibri" w:eastAsia="Times New Roman" w:hAnsi="Calibri" w:cs="Calibri"/>
          <w:sz w:val="28"/>
          <w:szCs w:val="28"/>
          <w:lang w:eastAsia="pl-PL"/>
        </w:rPr>
        <w:t>;</w:t>
      </w:r>
    </w:p>
    <w:p w14:paraId="03D7EC72" w14:textId="77777777" w:rsidR="00AE7261" w:rsidRPr="00AE7261" w:rsidRDefault="00AE7261" w:rsidP="00AE7261">
      <w:pPr>
        <w:numPr>
          <w:ilvl w:val="0"/>
          <w:numId w:val="39"/>
        </w:numPr>
        <w:tabs>
          <w:tab w:val="left" w:pos="284"/>
        </w:tabs>
        <w:spacing w:after="120" w:line="240" w:lineRule="auto"/>
        <w:ind w:left="284" w:hanging="284"/>
        <w:contextualSpacing/>
        <w:rPr>
          <w:rFonts w:ascii="Calibri" w:eastAsia="Times New Roman" w:hAnsi="Calibri" w:cs="Calibri"/>
          <w:b/>
          <w:sz w:val="28"/>
          <w:szCs w:val="28"/>
          <w:lang w:eastAsia="pl-PL"/>
        </w:rPr>
      </w:pPr>
      <w:r w:rsidRPr="00AE7261">
        <w:rPr>
          <w:rFonts w:ascii="Calibri" w:eastAsia="Times New Roman" w:hAnsi="Calibri" w:cs="Calibri"/>
          <w:b/>
          <w:sz w:val="28"/>
          <w:szCs w:val="28"/>
          <w:lang w:eastAsia="pl-PL"/>
        </w:rPr>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0D9673BC"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projektowany budynek inwentarski, to jest oborę nr 1 wraz ze zlewnią mleka, wybudować w południowej części działki o numerze ewidencyjnym 12, obręb Pysząca,</w:t>
      </w:r>
    </w:p>
    <w:p w14:paraId="5FE2AE1D"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pod oborą nr 1 wybudować kanały gnojowicowe o łącznej pojemności nie mniejszej niż 1 000 m</w:t>
      </w:r>
      <w:r w:rsidRPr="00AE7261">
        <w:rPr>
          <w:rFonts w:ascii="Calibri" w:eastAsia="Times New Roman" w:hAnsi="Calibri" w:cs="Calibri"/>
          <w:bCs/>
          <w:sz w:val="28"/>
          <w:szCs w:val="28"/>
          <w:vertAlign w:val="superscript"/>
          <w:lang w:eastAsia="pl-PL"/>
        </w:rPr>
        <w:t>3</w:t>
      </w:r>
      <w:r w:rsidRPr="00AE7261">
        <w:rPr>
          <w:rFonts w:ascii="Calibri" w:eastAsia="Times New Roman" w:hAnsi="Calibri" w:cs="Calibri"/>
          <w:bCs/>
          <w:sz w:val="28"/>
          <w:szCs w:val="28"/>
          <w:lang w:eastAsia="pl-PL"/>
        </w:rPr>
        <w:t>,</w:t>
      </w:r>
    </w:p>
    <w:p w14:paraId="163E7EEE"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na terenie gospodarstwa rolnego posadowić zbiornik na gnojówkę i gnojowicę o pojemności nie mniejszej niż 2 600 m</w:t>
      </w:r>
      <w:r w:rsidRPr="00AE7261">
        <w:rPr>
          <w:rFonts w:ascii="Calibri" w:eastAsia="Times New Roman" w:hAnsi="Calibri" w:cs="Calibri"/>
          <w:bCs/>
          <w:sz w:val="28"/>
          <w:szCs w:val="28"/>
          <w:vertAlign w:val="superscript"/>
          <w:lang w:eastAsia="pl-PL"/>
        </w:rPr>
        <w:t>3</w:t>
      </w:r>
      <w:r w:rsidRPr="00AE7261">
        <w:rPr>
          <w:rFonts w:ascii="Calibri" w:eastAsia="Times New Roman" w:hAnsi="Calibri" w:cs="Calibri"/>
          <w:bCs/>
          <w:sz w:val="28"/>
          <w:szCs w:val="28"/>
          <w:lang w:eastAsia="pl-PL"/>
        </w:rPr>
        <w:t>,</w:t>
      </w:r>
    </w:p>
    <w:p w14:paraId="7698359E"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 xml:space="preserve">wszystkie projektowane zbiorniki, to jest zbiornik na gnojówkę i gnojowicę, zbiornik na ścieki bytowe oraz zbiornik na ścieki technologiczne należy wykonać jako szczelne, stanowiące </w:t>
      </w:r>
      <w:r w:rsidRPr="00AE7261">
        <w:rPr>
          <w:rFonts w:ascii="Calibri" w:eastAsia="Times New Roman" w:hAnsi="Calibri" w:cs="Calibri"/>
          <w:bCs/>
          <w:sz w:val="28"/>
          <w:szCs w:val="28"/>
          <w:lang w:eastAsia="pl-PL"/>
        </w:rPr>
        <w:lastRenderedPageBreak/>
        <w:t>zabezpieczenie przed zanieczyszczeniem środowiska gruntowo-wodnego przed odciekami,</w:t>
      </w:r>
    </w:p>
    <w:p w14:paraId="484DE157"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bookmarkStart w:id="3" w:name="_Hlk201574266"/>
      <w:r w:rsidRPr="00AE7261">
        <w:rPr>
          <w:rFonts w:ascii="Calibri" w:eastAsia="Times New Roman" w:hAnsi="Calibri" w:cs="Calibri"/>
          <w:bCs/>
          <w:sz w:val="28"/>
          <w:szCs w:val="28"/>
          <w:lang w:eastAsia="pl-PL"/>
        </w:rPr>
        <w:t>w oborze nr 1 zastosować grawitacyjny system wentylacji z wykorzystaniem świetlika kalenicowego umieszczonego na wysokości nie niższej niż 13,8 m n.p.t</w:t>
      </w:r>
      <w:bookmarkEnd w:id="3"/>
      <w:r w:rsidRPr="00AE7261">
        <w:rPr>
          <w:rFonts w:ascii="Calibri" w:eastAsia="Times New Roman" w:hAnsi="Calibri" w:cs="Calibri"/>
          <w:bCs/>
          <w:sz w:val="28"/>
          <w:szCs w:val="28"/>
          <w:lang w:eastAsia="pl-PL"/>
        </w:rPr>
        <w:t>.,</w:t>
      </w:r>
    </w:p>
    <w:p w14:paraId="6ECA92A8"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w istniejących budynkach inwentarskich stosować grawitacyjny system wentylacji,</w:t>
      </w:r>
    </w:p>
    <w:p w14:paraId="6C691EE1"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nie ogrzewać obory nr 1 z wykorzystaniem źródeł powodujących emisję substancji do powietrza,</w:t>
      </w:r>
    </w:p>
    <w:p w14:paraId="17D294A7"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odpowietrzanie silosów paszowych wykonać poprzez zastosowanie rur odpowietrzających skierowanych wylotem w dół. Podczas załadunku pasz do silosów na rury odpowietrzające nakładać filtry workowe,</w:t>
      </w:r>
    </w:p>
    <w:p w14:paraId="049D8857" w14:textId="77777777" w:rsidR="00AE7261" w:rsidRPr="00AE7261" w:rsidRDefault="00AE7261" w:rsidP="00AE7261">
      <w:pPr>
        <w:numPr>
          <w:ilvl w:val="0"/>
          <w:numId w:val="40"/>
        </w:numPr>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w oborze nr 1 wydzielić miejsca przeznaczone na utrzymanie zwierząt (legowiska, kojce) o łącznej powierzchni nie większej niż 915,3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w:t>
      </w:r>
    </w:p>
    <w:p w14:paraId="2A841187"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w istniejących budynkach inwentarskich łączna powierzchnia przeznaczona na utrzymanie zwierząt (legowiska, kojce) nie może przekroczyć: w oborze K</w:t>
      </w:r>
      <w:r w:rsidRPr="00AE7261">
        <w:rPr>
          <w:rFonts w:ascii="Calibri" w:eastAsia="Times New Roman" w:hAnsi="Calibri" w:cs="Calibri"/>
          <w:sz w:val="28"/>
          <w:szCs w:val="28"/>
          <w:vertAlign w:val="superscript"/>
          <w:lang w:eastAsia="pl-PL"/>
        </w:rPr>
        <w:t>1</w:t>
      </w:r>
      <w:r w:rsidRPr="00AE7261">
        <w:rPr>
          <w:rFonts w:ascii="Calibri" w:eastAsia="Times New Roman" w:hAnsi="Calibri" w:cs="Calibri"/>
          <w:sz w:val="28"/>
          <w:szCs w:val="28"/>
          <w:lang w:eastAsia="pl-PL"/>
        </w:rPr>
        <w:t>: 446,14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w oborze H</w:t>
      </w:r>
      <w:r w:rsidRPr="00AE7261">
        <w:rPr>
          <w:rFonts w:ascii="Calibri" w:eastAsia="Times New Roman" w:hAnsi="Calibri" w:cs="Calibri"/>
          <w:sz w:val="28"/>
          <w:szCs w:val="28"/>
          <w:vertAlign w:val="superscript"/>
          <w:lang w:eastAsia="pl-PL"/>
        </w:rPr>
        <w:t>1</w:t>
      </w:r>
      <w:r w:rsidRPr="00AE7261">
        <w:rPr>
          <w:rFonts w:ascii="Calibri" w:eastAsia="Times New Roman" w:hAnsi="Calibri" w:cs="Calibri"/>
          <w:sz w:val="28"/>
          <w:szCs w:val="28"/>
          <w:lang w:eastAsia="pl-PL"/>
        </w:rPr>
        <w:t>: 126,9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i w oborze G</w:t>
      </w:r>
      <w:r w:rsidRPr="00AE7261">
        <w:rPr>
          <w:rFonts w:ascii="Calibri" w:eastAsia="Times New Roman" w:hAnsi="Calibri" w:cs="Calibri"/>
          <w:sz w:val="28"/>
          <w:szCs w:val="28"/>
          <w:vertAlign w:val="superscript"/>
          <w:lang w:eastAsia="pl-PL"/>
        </w:rPr>
        <w:t>1</w:t>
      </w:r>
      <w:r w:rsidRPr="00AE7261">
        <w:rPr>
          <w:rFonts w:ascii="Calibri" w:eastAsia="Times New Roman" w:hAnsi="Calibri" w:cs="Calibri"/>
          <w:sz w:val="28"/>
          <w:szCs w:val="28"/>
          <w:lang w:eastAsia="pl-PL"/>
        </w:rPr>
        <w:t>: 60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w:t>
      </w:r>
    </w:p>
    <w:p w14:paraId="27A12A0E"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w oborze nr 1 będzie prowadzona hodowla krów w łącznej obsadzie 277 DJP, w tym 240 krów dojnych i 37 krów zasuszonych,</w:t>
      </w:r>
    </w:p>
    <w:p w14:paraId="6CD735E6"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iCs/>
          <w:sz w:val="28"/>
          <w:szCs w:val="28"/>
          <w:lang w:eastAsia="pl-PL"/>
        </w:rPr>
        <w:t>w oborze K będzie prowadzona hodowla krów w łącznej obsadzie 150,9 DJP, w tym: 110 jałówek cielnych, 38 jałówek powyżej roku, 35 jałówek od pół roku do roku,</w:t>
      </w:r>
    </w:p>
    <w:p w14:paraId="173B9817"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w oborze H będzie prowadzona hodowla krów w łącznej obsadzie 15,75 DJP, w tym 43 jałówki od pół roku do roku i 19 cieląt,</w:t>
      </w:r>
    </w:p>
    <w:p w14:paraId="6446749C"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w oborze G będzie prowadzona hodowla 40 cieląt w łącznej obsadzie 6 DJP,</w:t>
      </w:r>
    </w:p>
    <w:p w14:paraId="7DF45EBB"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łączna obsada zwierząt w gospodarstwie rolnym po realizacji przedsięwzięcia nie może przekroczyć 453,1 DJP,</w:t>
      </w:r>
    </w:p>
    <w:p w14:paraId="22E338E0"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budynki inwentarskie utrzymywać w czystości. W budynkach inwentarskich zaprojektować sprawny system wentylacji zapewniającej odpowiednią temperaturę i wilgotność wewnątrz,</w:t>
      </w:r>
    </w:p>
    <w:p w14:paraId="0209B67B"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wytwarzana w gospodarstwie rolnym gnojowica magazynowana będzie w projektowanym zewnętrznym zbiorniku na gnojówkę i gnojowicę o pojemności nie mniejszej niż 2 600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w kanałach gnojowicowych pod oborą K o łącznej pojemności około 400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xml:space="preserve"> oraz w kanałach gnojowicowych pod oborą nr 1 o łącznej pojemności nie mniejszej niż 1 000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w:t>
      </w:r>
    </w:p>
    <w:p w14:paraId="49AA3CA3"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wytwarzany w gospodarstwie rolnym obornik magazynowany będzie na istniejącej płycie obornikowej o powierzchni około 380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w:t>
      </w:r>
    </w:p>
    <w:p w14:paraId="22E51CA6"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lastRenderedPageBreak/>
        <w:t>gnojówka będzie magazynowana w istniejącym zbiorniku pod płytą obornikową o pojemności około 90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w kanałach gnojowicowych pod oborami K i nr 1 oraz projektowanym zbiorniku na gnojówkę i gnojowicę,</w:t>
      </w:r>
    </w:p>
    <w:p w14:paraId="4A88D835"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wytwarzane w gospodarstwie rolnym nawozy naturalne zagospodarowane będą rolniczo na gruntach własnych wnioskodawcy oraz przekazywane będą innym rolnikom na podstawie umów do rolniczego zagospodarowania,</w:t>
      </w:r>
    </w:p>
    <w:p w14:paraId="7EDB432A"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miejsce załadunku obornika na przyczepy pojazdów należy wykonać jako szczelne (na betonowym utwardzeniu), umożliwiające zebranie „na sucho” i wywiezienie rozsypanych nawozów naturalnych po każdym załadunku, w sposób zabezpieczający środowisko gruntowo-wodne przed zanieczyszczeniem,</w:t>
      </w:r>
    </w:p>
    <w:p w14:paraId="3CACA143"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przepompowywanie gnojowicy i gnojówki prowadzić w sposób zhermetyzowany, z wykorzystaniem szczelnego złącza do pojazdów asenizacyjnych, z zabezpieczeniem środowiska gruntowo-wodnego przed rozlewami,</w:t>
      </w:r>
    </w:p>
    <w:p w14:paraId="45B35CAF"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sz w:val="28"/>
          <w:szCs w:val="28"/>
          <w:lang w:eastAsia="pl-PL"/>
        </w:rPr>
        <w:t>zaopatrzenie w wodę na potrzeby przedsięwzięcia (</w:t>
      </w:r>
      <w:bookmarkStart w:id="4" w:name="_Hlk200964512"/>
      <w:r w:rsidRPr="00AE7261">
        <w:rPr>
          <w:rFonts w:ascii="Calibri" w:eastAsia="Times New Roman" w:hAnsi="Calibri" w:cs="Calibri"/>
          <w:sz w:val="28"/>
          <w:szCs w:val="28"/>
          <w:lang w:eastAsia="pl-PL"/>
        </w:rPr>
        <w:t>do pojenia zwierząt, na cele socjalnobytowe oraz do mycia instalacji udojowej i zbiornika na mleko</w:t>
      </w:r>
      <w:bookmarkEnd w:id="4"/>
      <w:r w:rsidRPr="00AE7261">
        <w:rPr>
          <w:rFonts w:ascii="Calibri" w:eastAsia="Times New Roman" w:hAnsi="Calibri" w:cs="Calibri"/>
          <w:sz w:val="28"/>
          <w:szCs w:val="28"/>
          <w:lang w:eastAsia="pl-PL"/>
        </w:rPr>
        <w:t xml:space="preserve">) w zakładanej ilości </w:t>
      </w:r>
      <w:bookmarkStart w:id="5" w:name="_Hlk200964586"/>
      <w:r w:rsidRPr="00AE7261">
        <w:rPr>
          <w:rFonts w:ascii="Calibri" w:eastAsia="Times New Roman" w:hAnsi="Calibri" w:cs="Calibri"/>
          <w:sz w:val="28"/>
          <w:szCs w:val="28"/>
          <w:lang w:eastAsia="pl-PL"/>
        </w:rPr>
        <w:t>17 870,4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/rok</w:t>
      </w:r>
      <w:bookmarkEnd w:id="5"/>
      <w:r w:rsidRPr="00AE7261">
        <w:rPr>
          <w:rFonts w:ascii="Calibri" w:eastAsia="Times New Roman" w:hAnsi="Calibri" w:cs="Calibri"/>
          <w:sz w:val="28"/>
          <w:szCs w:val="28"/>
          <w:lang w:eastAsia="pl-PL"/>
        </w:rPr>
        <w:t>, realizowane będzie z sieci wodociągowej, za zgodą i na warunkach ustalonych z gestorem sieci,</w:t>
      </w:r>
    </w:p>
    <w:p w14:paraId="0CF77B25"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zastosować system poideł posiadających zabezpieczenie przed niekontrolowanym wyciekiem wody,</w:t>
      </w:r>
    </w:p>
    <w:p w14:paraId="0D3BFE8E"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prowadzić regularne odczyty zużycia wody, a wykryte nieszczelności wewnętrznej sieci wodociągowej niezwłocznie naprawiać,</w:t>
      </w:r>
    </w:p>
    <w:p w14:paraId="51A14555"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budynki inwentarskie czyścić na sucho, bez użycia wody i generowania ścieków; do dezynfekcji należy używać wyłącznie środków biodegradowalnych,</w:t>
      </w:r>
    </w:p>
    <w:p w14:paraId="32EDAD1D"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ścieki z mycia urządzeń udojowych i zbiornika na mleko odprowadzane będą do szczelnego zbiornika bezodpływowego, a następnie wywożone okresowo, zgodnie z zapotrzebowaniem, taborem asenizacyjnym przez uprawnione podmioty do oczyszczalni ścieków,</w:t>
      </w:r>
    </w:p>
    <w:p w14:paraId="63170634"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wody opadowe i roztopowe odprowadzać w sposób niezorganizowany do gruntu, w granicach terenu, do którego wnioskodawca posiada tytuł prawny, w sposób niepowodujący szkody na gruntach sąsiednich,</w:t>
      </w:r>
    </w:p>
    <w:p w14:paraId="0555DC79" w14:textId="77777777" w:rsidR="00AE7261" w:rsidRPr="00AE7261" w:rsidRDefault="00AE7261" w:rsidP="00AE7261">
      <w:pPr>
        <w:tabs>
          <w:tab w:val="left" w:pos="851"/>
        </w:tabs>
        <w:spacing w:before="120" w:after="0" w:line="240" w:lineRule="auto"/>
        <w:ind w:left="709"/>
        <w:contextualSpacing/>
        <w:rPr>
          <w:rFonts w:ascii="Calibri" w:eastAsia="Times New Roman" w:hAnsi="Calibri" w:cs="Calibri"/>
          <w:bCs/>
          <w:sz w:val="28"/>
          <w:szCs w:val="28"/>
          <w:lang w:eastAsia="pl-PL"/>
        </w:rPr>
      </w:pPr>
    </w:p>
    <w:p w14:paraId="49F7D0CB"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lastRenderedPageBreak/>
        <w:t>sztuki padłe i ubite z konieczności magazynować w zamkniętym, szczelnym konfiskatorze, a następnie przekazywać uprawnionym podmiotom do zagospodarowania zgodnie z przepisami szczegółowymi w tym zakresie,</w:t>
      </w:r>
    </w:p>
    <w:p w14:paraId="4311D67C"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ruch pojazdów ciężkich na terenie przedsięwzięcia ograniczyć wyłącznie do pory dnia, to jest godzin od 06:00 do 22:00,</w:t>
      </w:r>
    </w:p>
    <w:p w14:paraId="1E5E2B9D"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nie należy wykonywać hałaśliwych operacji w porze nocy. Ograniczyć wszelkie prace związane z funkcjonowaniem gospodarstwa rolnego do pory dnia, to jest godzin od 06:00 do 22:00,</w:t>
      </w:r>
    </w:p>
    <w:p w14:paraId="1DBBF456"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nie wycinać drzew i krzewów w związku z realizacją przedsięwzięcia,</w:t>
      </w:r>
    </w:p>
    <w:p w14:paraId="4E9959F6"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miejsca składowania materiałów budowlanych i postoju ciężkiego sprzętu wyznaczyć poza obrysem rzutu koron drzew,</w:t>
      </w:r>
    </w:p>
    <w:p w14:paraId="6C1D2096" w14:textId="77777777" w:rsidR="00AE7261" w:rsidRPr="00AE7261" w:rsidRDefault="00AE7261" w:rsidP="00AE7261">
      <w:pPr>
        <w:numPr>
          <w:ilvl w:val="0"/>
          <w:numId w:val="40"/>
        </w:numPr>
        <w:tabs>
          <w:tab w:val="left" w:pos="851"/>
        </w:tabs>
        <w:spacing w:before="120" w:after="0" w:line="240" w:lineRule="auto"/>
        <w:ind w:left="709"/>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prace ziemne oraz inne prace związane z wykorzystaniem sprzętu mechanicznego prowadzone w obrębie bryły korzeniowej drzew i krzewów nieprzeznaczonych do wycinki, wykonywać w sposób najmniej szkodzący drzewom i krzewom w szczególności:</w:t>
      </w:r>
    </w:p>
    <w:p w14:paraId="3477FBC0" w14:textId="77777777" w:rsidR="00AE7261" w:rsidRPr="00AE7261" w:rsidRDefault="00AE7261" w:rsidP="00AE7261">
      <w:pPr>
        <w:numPr>
          <w:ilvl w:val="0"/>
          <w:numId w:val="41"/>
        </w:numPr>
        <w:spacing w:after="120" w:line="240" w:lineRule="auto"/>
        <w:ind w:left="993"/>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pnie drzew narażonych na uszkodzenia na czas budowy właściwie zabezpieczyć uwzględniając konieczność zapewnienia dostępu do schronień oraz w sposób niepowodujący zniszczenia, uszkodzenia lub zabicia występujących tam gatunków roślin, zwierząt i grzybów,</w:t>
      </w:r>
    </w:p>
    <w:p w14:paraId="7A01C5E5" w14:textId="77777777" w:rsidR="00AE7261" w:rsidRPr="00AE7261" w:rsidRDefault="00AE7261" w:rsidP="00AE7261">
      <w:pPr>
        <w:numPr>
          <w:ilvl w:val="0"/>
          <w:numId w:val="41"/>
        </w:numPr>
        <w:spacing w:after="120" w:line="240" w:lineRule="auto"/>
        <w:ind w:left="993"/>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nie obsypywać ziemią pni drzew powyżej wysokości 20 cm i krzewów powyżej wysokości 10 cm ponad pierwotny poziom terenu,</w:t>
      </w:r>
    </w:p>
    <w:p w14:paraId="3111D788" w14:textId="77777777" w:rsidR="00AE7261" w:rsidRPr="00AE7261" w:rsidRDefault="00AE7261" w:rsidP="00AE7261">
      <w:pPr>
        <w:numPr>
          <w:ilvl w:val="0"/>
          <w:numId w:val="41"/>
        </w:numPr>
        <w:spacing w:after="120" w:line="240" w:lineRule="auto"/>
        <w:ind w:left="993"/>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podczas prac ziemnych zabezpieczyć systemy korzeniowe drzew przed przesychaniem i przemarzaniem,</w:t>
      </w:r>
    </w:p>
    <w:p w14:paraId="14864145" w14:textId="77777777" w:rsidR="00AE7261" w:rsidRPr="00AE7261" w:rsidRDefault="00AE7261" w:rsidP="00AE7261">
      <w:pPr>
        <w:numPr>
          <w:ilvl w:val="0"/>
          <w:numId w:val="41"/>
        </w:numPr>
        <w:spacing w:after="120" w:line="240" w:lineRule="auto"/>
        <w:ind w:left="993"/>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nie niszczyć korzeni odpowiedzialnych za statykę drzewa,</w:t>
      </w:r>
    </w:p>
    <w:p w14:paraId="7D82A4C4" w14:textId="77777777" w:rsidR="00AE7261" w:rsidRPr="00AE7261" w:rsidRDefault="00AE7261" w:rsidP="00AE7261">
      <w:pPr>
        <w:numPr>
          <w:ilvl w:val="0"/>
          <w:numId w:val="40"/>
        </w:numPr>
        <w:spacing w:before="120" w:after="120" w:line="240" w:lineRule="auto"/>
        <w:ind w:left="851" w:hanging="491"/>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na etapie prowadzenia prac ziemnych, co najmniej raz dziennie przed rozpoczęciem prac, kontrolować wykopy i zagłębienia a uwięzione w nich zwierzęta niezwłocznie przenosić w bezpieczne miejsce; taką samą kontrolę przeprowadzić bezpośrednio przed zasypaniem wykopów i likwidacją zagłębień,</w:t>
      </w:r>
    </w:p>
    <w:p w14:paraId="17F7F5F5" w14:textId="77777777" w:rsidR="00AE7261" w:rsidRPr="00AE7261" w:rsidRDefault="00AE7261" w:rsidP="00AE7261">
      <w:pPr>
        <w:numPr>
          <w:ilvl w:val="0"/>
          <w:numId w:val="40"/>
        </w:numPr>
        <w:spacing w:before="120" w:after="120" w:line="240" w:lineRule="auto"/>
        <w:ind w:left="851" w:hanging="491"/>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przed rozpoczęciem prac budowlanych przeprowadzić kontrolę terenu przedsięwzięcia pod kątem występowania gniazd ptaków,</w:t>
      </w:r>
    </w:p>
    <w:p w14:paraId="1EA36A22" w14:textId="77777777" w:rsidR="00AE7261" w:rsidRPr="00AE7261" w:rsidRDefault="00AE7261" w:rsidP="00AE7261">
      <w:pPr>
        <w:numPr>
          <w:ilvl w:val="0"/>
          <w:numId w:val="40"/>
        </w:numPr>
        <w:spacing w:before="120" w:after="120" w:line="240" w:lineRule="auto"/>
        <w:ind w:left="851" w:hanging="491"/>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prace związane z przygotowaniem terenu pod budowę oraz niszczeniem roślinności zielnej (makroniwelacja) wykonać w okresie od 1 września do końca lutego,</w:t>
      </w:r>
    </w:p>
    <w:p w14:paraId="7E2B61AE" w14:textId="77777777" w:rsidR="00AE7261" w:rsidRPr="00AE7261" w:rsidRDefault="00AE7261" w:rsidP="00AE7261">
      <w:pPr>
        <w:spacing w:before="120" w:after="120" w:line="240" w:lineRule="auto"/>
        <w:ind w:left="851"/>
        <w:contextualSpacing/>
        <w:rPr>
          <w:rFonts w:ascii="Calibri" w:eastAsia="Times New Roman" w:hAnsi="Calibri" w:cs="Calibri"/>
          <w:bCs/>
          <w:sz w:val="28"/>
          <w:szCs w:val="28"/>
          <w:lang w:eastAsia="pl-PL"/>
        </w:rPr>
      </w:pPr>
    </w:p>
    <w:p w14:paraId="614F4D6A" w14:textId="77777777" w:rsidR="00AE7261" w:rsidRPr="00AE7261" w:rsidRDefault="00AE7261" w:rsidP="00AE7261">
      <w:pPr>
        <w:numPr>
          <w:ilvl w:val="0"/>
          <w:numId w:val="40"/>
        </w:numPr>
        <w:spacing w:before="120" w:after="120" w:line="240" w:lineRule="auto"/>
        <w:ind w:left="851" w:hanging="491"/>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lastRenderedPageBreak/>
        <w:t>teren przedsięwzięcia wzdłuż granicy działki o numerze ewidencyjnym 12 z działką o numerze ewidencyjnym 43/2, obręb Pysząca, na czas realizacji przedsięwzięcia wygrodzić tymczasowym ogrodzeniem herpetologicznym, wkopanym co najmniej 10 cm w ziemię, o wysokości co najmniej 50 cm n.p.t. z przewieszką w górnej części o szerokości co najmniej 5 cm skierowaną przeciwnie do terenu robót. Zakończenia płotków herpetologicznych wykonać w kształcie litery „u”,</w:t>
      </w:r>
    </w:p>
    <w:p w14:paraId="3A59C96E" w14:textId="77777777" w:rsidR="00AE7261" w:rsidRPr="00AE7261" w:rsidRDefault="00AE7261" w:rsidP="00AE7261">
      <w:pPr>
        <w:numPr>
          <w:ilvl w:val="0"/>
          <w:numId w:val="40"/>
        </w:numPr>
        <w:spacing w:before="120" w:after="120" w:line="240" w:lineRule="auto"/>
        <w:ind w:left="851" w:hanging="491"/>
        <w:contextualSpacing/>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wzdłuż części wschodnich granic działek o numerach ewidencyjnych 12 i 14, obręb Pysząca, w miejscach planowanych nasadzeń zieleni izolacyjnej</w:t>
      </w:r>
      <w:r w:rsidRPr="00AE7261">
        <w:rPr>
          <w:rFonts w:ascii="Calibri" w:eastAsia="Times New Roman" w:hAnsi="Calibri" w:cs="Calibri"/>
          <w:bCs/>
          <w:sz w:val="28"/>
          <w:szCs w:val="28"/>
          <w:vertAlign w:val="superscript"/>
          <w:lang w:eastAsia="pl-PL"/>
        </w:rPr>
        <w:footnoteReference w:id="3"/>
      </w:r>
      <w:r w:rsidRPr="00AE7261">
        <w:rPr>
          <w:rFonts w:ascii="Calibri" w:eastAsia="Times New Roman" w:hAnsi="Calibri" w:cs="Calibri"/>
          <w:bCs/>
          <w:sz w:val="28"/>
          <w:szCs w:val="28"/>
          <w:lang w:eastAsia="pl-PL"/>
        </w:rPr>
        <w:t>, zapewnić zieleń składającą się z drzew i krzewów zimozielonych, to jest zieleń wielopiętrową, złożoną z gatunków rodzimych o gęstym poszyciu, gwarantującą długotrwałe utrzymanie zieleni, odporną na zanieczyszczenia, stanowiącą barierę funkcjonalną i optyczną oraz charakteryzującą się szybkim przyrostem.</w:t>
      </w:r>
    </w:p>
    <w:p w14:paraId="21914659" w14:textId="77777777" w:rsidR="00AE7261" w:rsidRPr="00AE7261" w:rsidRDefault="00AE7261" w:rsidP="00AE7261">
      <w:pPr>
        <w:numPr>
          <w:ilvl w:val="0"/>
          <w:numId w:val="39"/>
        </w:numPr>
        <w:tabs>
          <w:tab w:val="left" w:pos="284"/>
        </w:tabs>
        <w:spacing w:after="120" w:line="240" w:lineRule="auto"/>
        <w:ind w:left="284" w:hanging="284"/>
        <w:contextualSpacing/>
        <w:rPr>
          <w:rFonts w:ascii="Calibri" w:eastAsia="Times New Roman" w:hAnsi="Calibri" w:cs="Calibri"/>
          <w:b/>
          <w:sz w:val="28"/>
          <w:szCs w:val="28"/>
          <w:lang w:eastAsia="pl-PL"/>
        </w:rPr>
      </w:pPr>
      <w:r w:rsidRPr="00AE7261">
        <w:rPr>
          <w:rFonts w:ascii="Calibri" w:eastAsia="Times New Roman" w:hAnsi="Calibri" w:cs="Calibri"/>
          <w:b/>
          <w:sz w:val="28"/>
          <w:szCs w:val="28"/>
          <w:lang w:eastAsia="pl-PL"/>
        </w:rPr>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10, 14, 18, 23, 26, 27 i 29 u.o.o.ś.:</w:t>
      </w:r>
    </w:p>
    <w:p w14:paraId="5D447F73" w14:textId="77777777" w:rsidR="00AE7261" w:rsidRPr="00AE7261" w:rsidRDefault="00AE7261" w:rsidP="00AE7261">
      <w:pPr>
        <w:spacing w:after="120" w:line="240" w:lineRule="auto"/>
        <w:ind w:left="284"/>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wnioskodawca winien uwzględnić rozwiązania jakie przedstawiono w raporcie o oddziaływaniu przedsięwzięcia na środowisko, sporządzonym w maju 2024 r. przez Katarzynę Szymurską oraz w jego uzupełnieniach z 16.07.2024 r.</w:t>
      </w:r>
      <w:r w:rsidRPr="00AE7261">
        <w:rPr>
          <w:rFonts w:ascii="Calibri" w:eastAsia="Calibri" w:hAnsi="Calibri" w:cs="Calibri"/>
          <w:sz w:val="28"/>
        </w:rPr>
        <w:t xml:space="preserve"> i 20.11.2024 r.</w:t>
      </w:r>
      <w:r w:rsidRPr="00AE7261">
        <w:rPr>
          <w:rFonts w:ascii="Calibri" w:eastAsia="Times New Roman" w:hAnsi="Calibri" w:cs="Calibri"/>
          <w:sz w:val="28"/>
          <w:szCs w:val="28"/>
          <w:lang w:eastAsia="pl-PL"/>
        </w:rPr>
        <w:t>, a także wskazanych w ust. 1 pkt 2 decyzji.</w:t>
      </w:r>
    </w:p>
    <w:p w14:paraId="27DA44AE" w14:textId="77777777" w:rsidR="00AE7261" w:rsidRPr="00AE7261" w:rsidRDefault="00AE7261" w:rsidP="00AE7261">
      <w:pPr>
        <w:numPr>
          <w:ilvl w:val="0"/>
          <w:numId w:val="39"/>
        </w:numPr>
        <w:tabs>
          <w:tab w:val="left" w:pos="284"/>
        </w:tabs>
        <w:spacing w:after="120" w:line="240" w:lineRule="auto"/>
        <w:ind w:left="284" w:hanging="284"/>
        <w:contextualSpacing/>
        <w:rPr>
          <w:rFonts w:ascii="Calibri" w:eastAsia="Times New Roman" w:hAnsi="Calibri" w:cs="Calibri"/>
          <w:sz w:val="28"/>
          <w:szCs w:val="28"/>
          <w:lang w:eastAsia="pl-PL"/>
        </w:rPr>
      </w:pPr>
      <w:r w:rsidRPr="00AE7261">
        <w:rPr>
          <w:rFonts w:ascii="Calibri" w:eastAsia="Times New Roman" w:hAnsi="Calibri" w:cs="Calibri"/>
          <w:b/>
          <w:sz w:val="28"/>
          <w:szCs w:val="28"/>
          <w:lang w:eastAsia="pl-PL"/>
        </w:rPr>
        <w:t>Wymogi w zakresie przeciwdziałania skutkom awarii przemysłowych, w odniesieniu do przedsięwzięć zaliczanych do zakładów stwarzających zagrożenie wystąpienia poważnych awarii w rozumieniu ustawy z dnia 27 kwietnia 2001 r. - Prawo ochrony środowiska:</w:t>
      </w:r>
      <w:r w:rsidRPr="00AE7261">
        <w:rPr>
          <w:rFonts w:ascii="Calibri" w:eastAsia="Times New Roman" w:hAnsi="Calibri" w:cs="Calibri"/>
          <w:sz w:val="28"/>
          <w:szCs w:val="28"/>
          <w:lang w:eastAsia="pl-PL"/>
        </w:rPr>
        <w:t xml:space="preserve"> </w:t>
      </w:r>
    </w:p>
    <w:p w14:paraId="7B89A23F" w14:textId="77777777" w:rsidR="00AE7261" w:rsidRPr="00AE7261" w:rsidRDefault="00AE7261" w:rsidP="00AE7261">
      <w:pPr>
        <w:spacing w:after="120" w:line="240" w:lineRule="auto"/>
        <w:ind w:left="284"/>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przedmiotowe przedsięwzięcie nie będzie zaliczane do zakładów stwarzających zagrożenie wystąpienia poważnych awarii.</w:t>
      </w:r>
    </w:p>
    <w:p w14:paraId="6A223F53" w14:textId="77777777" w:rsidR="00AE7261" w:rsidRPr="00AE7261" w:rsidRDefault="00AE7261" w:rsidP="00AE7261">
      <w:pPr>
        <w:spacing w:after="120" w:line="240" w:lineRule="auto"/>
        <w:ind w:left="284"/>
        <w:rPr>
          <w:rFonts w:ascii="Calibri" w:eastAsia="Times New Roman" w:hAnsi="Calibri" w:cs="Calibri"/>
          <w:sz w:val="28"/>
          <w:szCs w:val="28"/>
          <w:lang w:eastAsia="pl-PL"/>
        </w:rPr>
      </w:pPr>
    </w:p>
    <w:p w14:paraId="3EE4377B" w14:textId="77777777" w:rsidR="00AE7261" w:rsidRPr="00AE7261" w:rsidRDefault="00AE7261" w:rsidP="00AE7261">
      <w:pPr>
        <w:spacing w:after="120" w:line="240" w:lineRule="auto"/>
        <w:ind w:left="284"/>
        <w:rPr>
          <w:rFonts w:ascii="Calibri" w:eastAsia="Times New Roman" w:hAnsi="Calibri" w:cs="Calibri"/>
          <w:sz w:val="28"/>
          <w:szCs w:val="28"/>
          <w:lang w:eastAsia="pl-PL"/>
        </w:rPr>
      </w:pPr>
    </w:p>
    <w:p w14:paraId="54314BD7" w14:textId="77777777" w:rsidR="00AE7261" w:rsidRPr="00AE7261" w:rsidRDefault="00AE7261" w:rsidP="00AE7261">
      <w:pPr>
        <w:numPr>
          <w:ilvl w:val="0"/>
          <w:numId w:val="39"/>
        </w:numPr>
        <w:tabs>
          <w:tab w:val="left" w:pos="284"/>
        </w:tabs>
        <w:spacing w:after="120" w:line="240" w:lineRule="auto"/>
        <w:ind w:left="284" w:hanging="284"/>
        <w:contextualSpacing/>
        <w:rPr>
          <w:rFonts w:ascii="Calibri" w:eastAsia="Times New Roman" w:hAnsi="Calibri" w:cs="Calibri"/>
          <w:sz w:val="28"/>
          <w:szCs w:val="28"/>
          <w:lang w:eastAsia="pl-PL"/>
        </w:rPr>
      </w:pPr>
      <w:r w:rsidRPr="00AE7261">
        <w:rPr>
          <w:rFonts w:ascii="Calibri" w:eastAsia="Times New Roman" w:hAnsi="Calibri" w:cs="Calibri"/>
          <w:b/>
          <w:sz w:val="28"/>
          <w:szCs w:val="28"/>
          <w:lang w:eastAsia="pl-PL"/>
        </w:rPr>
        <w:lastRenderedPageBreak/>
        <w:t>Wymogi w zakresie ograniczania transgranicznego oddziaływania na środowisko w odniesieniu do przedsięwzięć, dla których przeprowadzono postępowanie dotyczące transgranicznego oddziaływania na środowisko:</w:t>
      </w:r>
      <w:r w:rsidRPr="00AE7261">
        <w:rPr>
          <w:rFonts w:ascii="Calibri" w:eastAsia="Times New Roman" w:hAnsi="Calibri" w:cs="Calibri"/>
          <w:sz w:val="28"/>
          <w:szCs w:val="28"/>
          <w:lang w:eastAsia="pl-PL"/>
        </w:rPr>
        <w:t xml:space="preserve"> </w:t>
      </w:r>
    </w:p>
    <w:p w14:paraId="02374F00" w14:textId="77777777" w:rsidR="00AE7261" w:rsidRPr="00AE7261" w:rsidRDefault="00AE7261" w:rsidP="00AE7261">
      <w:pPr>
        <w:spacing w:after="120" w:line="240" w:lineRule="auto"/>
        <w:ind w:left="284"/>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przedsięwzięcie nie oddziałuje transgranicznie.</w:t>
      </w:r>
    </w:p>
    <w:p w14:paraId="1EDE68F3" w14:textId="77777777" w:rsidR="00AE7261" w:rsidRPr="00AE7261" w:rsidRDefault="00AE7261" w:rsidP="00AE7261">
      <w:pPr>
        <w:numPr>
          <w:ilvl w:val="0"/>
          <w:numId w:val="39"/>
        </w:numPr>
        <w:tabs>
          <w:tab w:val="left" w:pos="284"/>
        </w:tabs>
        <w:spacing w:after="120" w:line="240" w:lineRule="auto"/>
        <w:ind w:left="284" w:hanging="284"/>
        <w:contextualSpacing/>
        <w:rPr>
          <w:rFonts w:ascii="Calibri" w:eastAsia="Times New Roman" w:hAnsi="Calibri" w:cs="Calibri"/>
          <w:sz w:val="28"/>
          <w:szCs w:val="28"/>
          <w:lang w:eastAsia="pl-PL"/>
        </w:rPr>
      </w:pPr>
      <w:r w:rsidRPr="00AE7261">
        <w:rPr>
          <w:rFonts w:ascii="Calibri" w:eastAsia="Times New Roman" w:hAnsi="Calibri" w:cs="Calibri"/>
          <w:b/>
          <w:sz w:val="28"/>
          <w:szCs w:val="28"/>
          <w:lang w:eastAsia="pl-PL"/>
        </w:rPr>
        <w:t>Gotowość instalacji do wychwytywania dwutlenku węgla w przypadku instalacji do spalania paliw w celu wytwarzania energii elektrycznej, o elektrycznej mocy znamionowej nie mniejszej niż 300 MW:</w:t>
      </w:r>
    </w:p>
    <w:p w14:paraId="556D03BA" w14:textId="77777777" w:rsidR="00AE7261" w:rsidRPr="00AE7261" w:rsidRDefault="00AE7261" w:rsidP="00AE7261">
      <w:pPr>
        <w:autoSpaceDE w:val="0"/>
        <w:autoSpaceDN w:val="0"/>
        <w:adjustRightInd w:val="0"/>
        <w:spacing w:after="120" w:line="240" w:lineRule="auto"/>
        <w:ind w:left="284"/>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przedsięwzięcie nie będzie wyposażone w instalację do spalania paliw w celu wytwarzania energii elektrycznej;</w:t>
      </w:r>
    </w:p>
    <w:p w14:paraId="5234D20F" w14:textId="77777777" w:rsidR="00AE7261" w:rsidRPr="00AE7261" w:rsidRDefault="00AE7261" w:rsidP="00AE7261">
      <w:pPr>
        <w:tabs>
          <w:tab w:val="left" w:pos="280"/>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4F6B5AF8" w14:textId="77777777" w:rsidR="00AE7261" w:rsidRPr="00AE7261" w:rsidRDefault="00AE7261" w:rsidP="00AE7261">
      <w:pPr>
        <w:tabs>
          <w:tab w:val="left" w:pos="280"/>
        </w:tabs>
        <w:autoSpaceDE w:val="0"/>
        <w:autoSpaceDN w:val="0"/>
        <w:adjustRightInd w:val="0"/>
        <w:spacing w:after="120" w:line="240" w:lineRule="auto"/>
        <w:ind w:left="284" w:hanging="284"/>
        <w:jc w:val="center"/>
        <w:rPr>
          <w:rFonts w:ascii="Calibri" w:eastAsia="Times New Roman" w:hAnsi="Calibri" w:cs="Calibri"/>
          <w:b/>
          <w:bCs/>
          <w:sz w:val="28"/>
          <w:szCs w:val="28"/>
          <w:lang w:eastAsia="pl-PL"/>
        </w:rPr>
      </w:pPr>
      <w:r w:rsidRPr="00AE7261">
        <w:rPr>
          <w:rFonts w:ascii="Calibri" w:eastAsia="Times New Roman" w:hAnsi="Calibri" w:cs="Calibri"/>
          <w:b/>
          <w:bCs/>
          <w:sz w:val="28"/>
          <w:szCs w:val="28"/>
          <w:lang w:eastAsia="pl-PL"/>
        </w:rPr>
        <w:t>stwierdzam konieczność zapobiegania, ograniczania oraz monitorowania oddziaływania przedsięwzięcia na środowisko, w zakresie:</w:t>
      </w:r>
    </w:p>
    <w:p w14:paraId="648DCDE8" w14:textId="77777777" w:rsidR="00AE7261" w:rsidRPr="00AE7261" w:rsidRDefault="00AE7261" w:rsidP="00AE7261">
      <w:pPr>
        <w:numPr>
          <w:ilvl w:val="0"/>
          <w:numId w:val="31"/>
        </w:numPr>
        <w:autoSpaceDE w:val="0"/>
        <w:autoSpaceDN w:val="0"/>
        <w:adjustRightInd w:val="0"/>
        <w:spacing w:after="120" w:line="240" w:lineRule="auto"/>
        <w:ind w:left="284" w:hanging="284"/>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emisji substancji zanieczyszczających do powietrza, w tym hałasu, zgodnie z warunkami określonymi w ust. 1 pkt 2 decyzji i przepisami szczegółowymi;</w:t>
      </w:r>
    </w:p>
    <w:p w14:paraId="2F213A1D" w14:textId="77777777" w:rsidR="00AE7261" w:rsidRPr="00AE7261" w:rsidRDefault="00AE7261" w:rsidP="00AE7261">
      <w:pPr>
        <w:numPr>
          <w:ilvl w:val="0"/>
          <w:numId w:val="31"/>
        </w:numPr>
        <w:autoSpaceDE w:val="0"/>
        <w:autoSpaceDN w:val="0"/>
        <w:adjustRightInd w:val="0"/>
        <w:spacing w:after="120" w:line="240" w:lineRule="auto"/>
        <w:ind w:left="284" w:hanging="284"/>
        <w:rPr>
          <w:rFonts w:ascii="Calibri" w:eastAsia="Times New Roman" w:hAnsi="Calibri" w:cs="Calibri"/>
          <w:bCs/>
          <w:sz w:val="28"/>
          <w:szCs w:val="28"/>
          <w:lang w:eastAsia="pl-PL"/>
        </w:rPr>
      </w:pPr>
      <w:r w:rsidRPr="00AE7261">
        <w:rPr>
          <w:rFonts w:ascii="Calibri" w:eastAsia="Times New Roman" w:hAnsi="Calibri" w:cs="Calibri"/>
          <w:bCs/>
          <w:sz w:val="28"/>
          <w:szCs w:val="28"/>
          <w:lang w:eastAsia="pl-PL"/>
        </w:rPr>
        <w:t>emisji zanieczyszczeń do środowiska gruntowo-wodnego, zgodnie z warunkami określonymi w ust. 1 pkt 2 decyzji i przepisami szczegółowymi;</w:t>
      </w:r>
    </w:p>
    <w:p w14:paraId="28BF358A" w14:textId="77777777" w:rsidR="00AE7261" w:rsidRPr="00AE7261" w:rsidRDefault="00AE7261" w:rsidP="00AE7261">
      <w:pPr>
        <w:tabs>
          <w:tab w:val="left" w:pos="284"/>
        </w:tabs>
        <w:autoSpaceDE w:val="0"/>
        <w:autoSpaceDN w:val="0"/>
        <w:adjustRightInd w:val="0"/>
        <w:spacing w:after="120" w:line="240" w:lineRule="auto"/>
        <w:ind w:left="284" w:hanging="284"/>
        <w:jc w:val="center"/>
        <w:rPr>
          <w:rFonts w:ascii="Calibri" w:eastAsia="Times New Roman" w:hAnsi="Calibri" w:cs="Calibri"/>
          <w:bCs/>
          <w:sz w:val="20"/>
          <w:szCs w:val="20"/>
          <w:lang w:eastAsia="pl-PL"/>
        </w:rPr>
      </w:pPr>
    </w:p>
    <w:p w14:paraId="4A75C227" w14:textId="77777777" w:rsidR="00AE7261" w:rsidRPr="00AE7261" w:rsidRDefault="00AE7261" w:rsidP="00AE7261">
      <w:pPr>
        <w:tabs>
          <w:tab w:val="left" w:pos="284"/>
        </w:tabs>
        <w:autoSpaceDE w:val="0"/>
        <w:autoSpaceDN w:val="0"/>
        <w:adjustRightInd w:val="0"/>
        <w:spacing w:after="120" w:line="240" w:lineRule="auto"/>
        <w:ind w:left="284" w:hanging="284"/>
        <w:jc w:val="center"/>
        <w:rPr>
          <w:rFonts w:ascii="Calibri" w:eastAsia="Times New Roman" w:hAnsi="Calibri" w:cs="Calibri"/>
          <w:b/>
          <w:bCs/>
          <w:sz w:val="28"/>
          <w:szCs w:val="28"/>
          <w:lang w:eastAsia="pl-PL"/>
        </w:rPr>
      </w:pPr>
      <w:r w:rsidRPr="00AE7261">
        <w:rPr>
          <w:rFonts w:ascii="Calibri" w:eastAsia="Times New Roman" w:hAnsi="Calibri" w:cs="Calibri"/>
          <w:b/>
          <w:sz w:val="28"/>
          <w:szCs w:val="28"/>
          <w:lang w:eastAsia="pl-PL"/>
        </w:rPr>
        <w:t>nie</w:t>
      </w:r>
      <w:r w:rsidRPr="00AE7261">
        <w:rPr>
          <w:rFonts w:ascii="Calibri" w:eastAsia="Times New Roman" w:hAnsi="Calibri" w:cs="Calibri"/>
          <w:sz w:val="28"/>
          <w:szCs w:val="28"/>
          <w:lang w:eastAsia="pl-PL"/>
        </w:rPr>
        <w:t xml:space="preserve"> </w:t>
      </w:r>
      <w:r w:rsidRPr="00AE7261">
        <w:rPr>
          <w:rFonts w:ascii="Calibri" w:eastAsia="Times New Roman" w:hAnsi="Calibri" w:cs="Calibri"/>
          <w:b/>
          <w:bCs/>
          <w:sz w:val="28"/>
          <w:szCs w:val="28"/>
          <w:lang w:eastAsia="pl-PL"/>
        </w:rPr>
        <w:t>stwierdzam konieczności utworzenia obszaru ograniczonego użytkowania;</w:t>
      </w:r>
    </w:p>
    <w:p w14:paraId="22A635E6" w14:textId="77777777" w:rsidR="00AE7261" w:rsidRPr="00AE7261" w:rsidRDefault="00AE7261" w:rsidP="00AE7261">
      <w:pPr>
        <w:tabs>
          <w:tab w:val="left" w:pos="284"/>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5D6E8953" w14:textId="77777777" w:rsidR="00AE7261" w:rsidRPr="00AE7261" w:rsidRDefault="00AE7261" w:rsidP="00AE7261">
      <w:pPr>
        <w:tabs>
          <w:tab w:val="left" w:pos="284"/>
        </w:tabs>
        <w:autoSpaceDE w:val="0"/>
        <w:autoSpaceDN w:val="0"/>
        <w:adjustRightInd w:val="0"/>
        <w:spacing w:after="120" w:line="240" w:lineRule="auto"/>
        <w:ind w:left="284" w:hanging="284"/>
        <w:jc w:val="center"/>
        <w:rPr>
          <w:rFonts w:ascii="Calibri" w:eastAsia="Times New Roman" w:hAnsi="Calibri" w:cs="Calibri"/>
          <w:sz w:val="28"/>
          <w:szCs w:val="28"/>
          <w:lang w:eastAsia="pl-PL"/>
        </w:rPr>
      </w:pPr>
      <w:r w:rsidRPr="00AE7261">
        <w:rPr>
          <w:rFonts w:ascii="Calibri" w:eastAsia="Times New Roman" w:hAnsi="Calibri" w:cs="Calibri"/>
          <w:b/>
          <w:bCs/>
          <w:sz w:val="28"/>
          <w:szCs w:val="28"/>
          <w:lang w:eastAsia="pl-PL"/>
        </w:rPr>
        <w:t>nie stwierdzam konieczności przeprowadzenia oceny oddziaływania przedsięwzięcia na środowisko oraz postępowania w sprawie transgranicznego oddziaływania na środowisko w ramach postępowania w sprawie wydania decyzji, o których mowa w art. 72 ust. 1 pkt 1 u.o.o.ś</w:t>
      </w:r>
      <w:r w:rsidRPr="00AE7261">
        <w:rPr>
          <w:rFonts w:ascii="Calibri" w:eastAsia="Times New Roman" w:hAnsi="Calibri" w:cs="Calibri"/>
          <w:sz w:val="28"/>
          <w:szCs w:val="28"/>
          <w:lang w:eastAsia="pl-PL"/>
        </w:rPr>
        <w:t>.;</w:t>
      </w:r>
    </w:p>
    <w:p w14:paraId="74972E02" w14:textId="77777777" w:rsidR="00AE7261" w:rsidRPr="00AE7261" w:rsidRDefault="00AE7261" w:rsidP="00AE7261">
      <w:pPr>
        <w:tabs>
          <w:tab w:val="left" w:pos="284"/>
        </w:tabs>
        <w:autoSpaceDE w:val="0"/>
        <w:autoSpaceDN w:val="0"/>
        <w:adjustRightInd w:val="0"/>
        <w:spacing w:after="120" w:line="240" w:lineRule="auto"/>
        <w:ind w:left="284" w:hanging="284"/>
        <w:jc w:val="center"/>
        <w:rPr>
          <w:rFonts w:ascii="Calibri" w:eastAsia="Times New Roman" w:hAnsi="Calibri" w:cs="Calibri"/>
          <w:sz w:val="20"/>
          <w:szCs w:val="20"/>
          <w:lang w:eastAsia="pl-PL"/>
        </w:rPr>
      </w:pPr>
    </w:p>
    <w:p w14:paraId="66CD0267" w14:textId="77777777" w:rsidR="00AE7261" w:rsidRPr="00AE7261" w:rsidRDefault="00AE7261" w:rsidP="00AE7261">
      <w:pPr>
        <w:tabs>
          <w:tab w:val="left" w:pos="284"/>
        </w:tabs>
        <w:autoSpaceDE w:val="0"/>
        <w:autoSpaceDN w:val="0"/>
        <w:adjustRightInd w:val="0"/>
        <w:spacing w:after="120" w:line="240" w:lineRule="auto"/>
        <w:jc w:val="center"/>
        <w:rPr>
          <w:rFonts w:ascii="Calibri" w:eastAsia="Times New Roman" w:hAnsi="Calibri" w:cs="Calibri"/>
          <w:b/>
          <w:bCs/>
          <w:sz w:val="28"/>
          <w:szCs w:val="28"/>
          <w:lang w:eastAsia="pl-PL"/>
        </w:rPr>
      </w:pPr>
      <w:r w:rsidRPr="00AE7261">
        <w:rPr>
          <w:rFonts w:ascii="Calibri" w:eastAsia="Times New Roman" w:hAnsi="Calibri" w:cs="Calibri"/>
          <w:b/>
          <w:bCs/>
          <w:sz w:val="28"/>
          <w:szCs w:val="28"/>
          <w:lang w:eastAsia="pl-PL"/>
        </w:rPr>
        <w:t>nie nakładam obowiązku przedstawienia analizy porealizacyjnej.</w:t>
      </w:r>
    </w:p>
    <w:p w14:paraId="61E21709"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399AAA82" w14:textId="77777777" w:rsidR="00AE7261" w:rsidRPr="00AE7261" w:rsidRDefault="00AE7261" w:rsidP="00AE7261">
      <w:pPr>
        <w:spacing w:after="120" w:line="240" w:lineRule="auto"/>
        <w:jc w:val="center"/>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Uzasadnienie</w:t>
      </w:r>
    </w:p>
    <w:p w14:paraId="7D8C08D3" w14:textId="1BDEA1AB"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11.06.2024 r. do Burmistrza Śremu wpłynął wniosek </w:t>
      </w:r>
      <w:r w:rsidRPr="00AE7261">
        <w:rPr>
          <w:rFonts w:ascii="Calibri" w:eastAsia="Calibri" w:hAnsi="Calibri" w:cs="Times New Roman"/>
          <w:kern w:val="2"/>
          <w:sz w:val="28"/>
          <w14:ligatures w14:val="standardContextual"/>
        </w:rPr>
        <w:t xml:space="preserve">Pana </w:t>
      </w:r>
      <w:r w:rsidRPr="00AE7261">
        <w:rPr>
          <w:rFonts w:ascii="Calibri" w:eastAsia="Calibri" w:hAnsi="Calibri" w:cs="Times New Roman"/>
          <w:kern w:val="2"/>
          <w:sz w:val="28"/>
          <w:highlight w:val="black"/>
          <w14:ligatures w14:val="standardContextual"/>
        </w:rPr>
        <w:t>…………… ………………………………………………………………………………………………………………… ………………………</w:t>
      </w:r>
      <w:r w:rsidRPr="00AE7261">
        <w:rPr>
          <w:rFonts w:ascii="Calibri" w:eastAsia="Calibri" w:hAnsi="Calibri" w:cs="Times New Roman"/>
          <w:kern w:val="2"/>
          <w:sz w:val="28"/>
          <w14:ligatures w14:val="standardContextual"/>
        </w:rPr>
        <w:t>, działającego</w:t>
      </w:r>
      <w:r w:rsidRPr="00AE7261">
        <w:rPr>
          <w:rFonts w:ascii="Calibri" w:eastAsia="Times New Roman" w:hAnsi="Calibri" w:cs="Calibri"/>
          <w:sz w:val="28"/>
          <w:szCs w:val="28"/>
          <w:lang w:eastAsia="pl-PL"/>
        </w:rPr>
        <w:t xml:space="preserve"> przez pełnomocników Panią Katarzynę Szymurską i Pana Łukasza Nowaka, uzupełniony 05.08.2024 r., o wydanie decyzji o środowiskowych uwarunkowaniach dla planowanego przedsięwzięcia polegającego na rozbudowie gospodarstwa rolnego zlokalizowanego na działkach o numerach ewidencyjnych 12 i 14, obręb Pysząca, poprzez budowę obory wolnostanowiskowej dla bydła mlecznego wraz z niezbędną infrastrukturą na działce o numerze ewidencyjnym 12, obręb Pysząca</w:t>
      </w:r>
      <w:r w:rsidRPr="00AE7261">
        <w:rPr>
          <w:rFonts w:ascii="Calibri" w:eastAsia="Times New Roman" w:hAnsi="Calibri" w:cs="Calibri"/>
          <w:bCs/>
          <w:sz w:val="28"/>
          <w:szCs w:val="28"/>
          <w:lang w:eastAsia="pl-PL"/>
        </w:rPr>
        <w:t>.</w:t>
      </w:r>
      <w:r w:rsidRPr="00AE7261">
        <w:rPr>
          <w:rFonts w:ascii="Calibri" w:eastAsia="Times New Roman" w:hAnsi="Calibri" w:cs="Calibri"/>
          <w:sz w:val="28"/>
          <w:szCs w:val="28"/>
          <w:lang w:eastAsia="pl-PL"/>
        </w:rPr>
        <w:t xml:space="preserve"> </w:t>
      </w:r>
    </w:p>
    <w:p w14:paraId="003B916C"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Do wniosku załączony został raport o oddziaływaniu przedsięwzięcia na środowisko, sporządzony w maju 2024 r. przez Katarzynę Szymurską, uzupełniony 16.07.2024 r. (data wpływu 19.07.2025 r.), zwany dalej raportem wraz z wymaganymi załącznikami oraz pełnomocnictwo.</w:t>
      </w:r>
    </w:p>
    <w:p w14:paraId="08469F00"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184E7069"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143B30D9"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bookmarkStart w:id="6" w:name="_Hlk200955800"/>
      <w:r w:rsidRPr="00AE7261">
        <w:rPr>
          <w:rFonts w:ascii="Calibri" w:eastAsia="Calibri" w:hAnsi="Calibri" w:cs="Times New Roman"/>
          <w:kern w:val="2"/>
          <w:sz w:val="28"/>
          <w14:ligatures w14:val="standardContextual"/>
        </w:rPr>
        <w:t>W przedmiotowym gospodarstwie rolnym prowadzona jest hodowla bydła mlecznego w łącznej obsadzie 155,40 DJP, w trzech budynkach inwentarskich, to jest w oborze K o powierzchni zabudowy 990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xml:space="preserve"> z kanałami gnojowicowymi pod tym budynkiem o łącznej pojemności około 400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oborze G o powierzchni zabudowy 384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xml:space="preserve"> i oborze H o powierzchni zabudowy 374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xml:space="preserve">. </w:t>
      </w:r>
      <w:bookmarkEnd w:id="6"/>
      <w:r w:rsidRPr="00AE7261">
        <w:rPr>
          <w:rFonts w:ascii="Calibri" w:eastAsia="Calibri" w:hAnsi="Calibri" w:cs="Times New Roman"/>
          <w:kern w:val="2"/>
          <w:sz w:val="28"/>
          <w14:ligatures w14:val="standardContextual"/>
        </w:rPr>
        <w:t>Na terenie przedsięwzięcia znajdują się również: trzy hale namiotowe pełniące funkcję magazynową, silos na kiszonkę, wiata rolnicza, budynek magazynowy, budynek gospodarczy, budynek mieszkalny, garaż, płyta obornikowa o powierzchni około 380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xml:space="preserve"> wraz ze zbiornikiem na gnojówkę o pojemności około 90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zbiornik na odcieki technologiczne o pojemności około 15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xml:space="preserve">, agregat prądotwórczy, miejsce selektywnej zbiórki odpadów. </w:t>
      </w:r>
    </w:p>
    <w:p w14:paraId="3DCDAEB7"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Planowane przedsięwzięcie polega na rozbudowie gospodarstwa rolnego poprzez budowę budynku inwentarskiego, to jest obory nr 1, wraz ze zlewnią mleka, o łącznej powierzchni zabudowy około 4 000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z kanałami gnojowicowymi pod tym budynkiem o łącznej pojemności nie mniejszej niż 1 000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xml:space="preserve">, zbiornika na gnojówkę i gnojowicę o pojemności nie mniejszej niż </w:t>
      </w:r>
      <w:r w:rsidRPr="00AE7261">
        <w:rPr>
          <w:rFonts w:ascii="Calibri" w:eastAsia="Calibri" w:hAnsi="Calibri" w:cs="Times New Roman"/>
          <w:kern w:val="2"/>
          <w:sz w:val="28"/>
          <w14:ligatures w14:val="standardContextual"/>
        </w:rPr>
        <w:lastRenderedPageBreak/>
        <w:t>2 600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zbiornika na ścieki technologiczne o pojemności około 15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zbiornika na ścieki bytowe o pojemności około 5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konfiskatora sztuk padłych, dwóch silosów na paszę o możliwości przechowywania pasz w ilości ca 15 Mg i ca 28 Mg, utwardzeń na powierzchni około 2 400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Ponadto, w ramach przedsięwzięcia zaplanowano nasadzenia zieleni izolacyjnej. Realizacja planowanego przedsięwzięcia będzie wiązać się ze zwiększeniem łącznej obsady zwierząt, która nie przekroczy 453,1 DJP (wzrost o 297,7 DJP).</w:t>
      </w:r>
    </w:p>
    <w:p w14:paraId="16B47551"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xml:space="preserve">Przedmiotowe </w:t>
      </w:r>
      <w:r w:rsidRPr="00AE7261">
        <w:rPr>
          <w:rFonts w:ascii="Calibri" w:eastAsia="Calibri" w:hAnsi="Calibri" w:cs="Times New Roman"/>
          <w:b/>
          <w:bCs/>
          <w:kern w:val="2"/>
          <w:sz w:val="28"/>
          <w14:ligatures w14:val="standardContextual"/>
        </w:rPr>
        <w:t>przedsięwzięcie zakwalifikowano do przedsięwzięć mogących zawsze znacząco oddziaływać na środowisko</w:t>
      </w:r>
      <w:r w:rsidRPr="00AE7261">
        <w:rPr>
          <w:rFonts w:ascii="Calibri" w:eastAsia="Calibri" w:hAnsi="Calibri" w:cs="Times New Roman"/>
          <w:kern w:val="2"/>
          <w:sz w:val="28"/>
          <w14:ligatures w14:val="standardContextual"/>
        </w:rPr>
        <w:t xml:space="preserve">, </w:t>
      </w:r>
      <w:r w:rsidRPr="00AE7261">
        <w:rPr>
          <w:rFonts w:ascii="Calibri" w:eastAsia="Calibri" w:hAnsi="Calibri" w:cs="Times New Roman"/>
          <w:b/>
          <w:bCs/>
          <w:kern w:val="2"/>
          <w:sz w:val="28"/>
          <w14:ligatures w14:val="standardContextual"/>
        </w:rPr>
        <w:t>dla których obowiązek przeprowadzenia oceny oddziaływania na środowisko jest obligatoryjny</w:t>
      </w:r>
      <w:r w:rsidRPr="00AE7261">
        <w:rPr>
          <w:rFonts w:ascii="Calibri" w:eastAsia="Calibri" w:hAnsi="Calibri" w:cs="Times New Roman"/>
          <w:kern w:val="2"/>
          <w:sz w:val="28"/>
          <w14:ligatures w14:val="standardContextual"/>
        </w:rPr>
        <w:t xml:space="preserve">, wymienionych w </w:t>
      </w:r>
      <w:r w:rsidRPr="00AE7261">
        <w:rPr>
          <w:rFonts w:ascii="Calibri" w:eastAsia="Calibri" w:hAnsi="Calibri" w:cs="Times New Roman"/>
          <w:b/>
          <w:bCs/>
          <w:kern w:val="2"/>
          <w:sz w:val="28"/>
          <w14:ligatures w14:val="standardContextual"/>
        </w:rPr>
        <w:t>§ 2 ust. 2 pkt 2</w:t>
      </w:r>
      <w:r w:rsidRPr="00AE7261">
        <w:rPr>
          <w:rFonts w:ascii="Calibri" w:eastAsia="Calibri" w:hAnsi="Calibri" w:cs="Times New Roman"/>
          <w:kern w:val="2"/>
          <w:sz w:val="28"/>
          <w14:ligatures w14:val="standardContextual"/>
        </w:rPr>
        <w:t xml:space="preserve"> rozporządzenia Rady Ministrów z dnia 9 listopada 2010 r. w sprawie przedsięwzięć mogących znacząco oddziaływać na środowisko: „przedsięwzięcia polegające na rozbudowie, przebudowie lub montażu przedsięwzięć realizowanych lub zrealizowanych wymienionych w § 3 ust 1, jeżeli ta rozbudowa, przebudowa lub montaż spowoduje osiągnięcie progów określonych w ust. 1, o ile zostały one określone” oraz w </w:t>
      </w:r>
      <w:r w:rsidRPr="00AE7261">
        <w:rPr>
          <w:rFonts w:ascii="Calibri" w:eastAsia="Calibri" w:hAnsi="Calibri" w:cs="Times New Roman"/>
          <w:b/>
          <w:bCs/>
          <w:kern w:val="2"/>
          <w:sz w:val="28"/>
          <w14:ligatures w14:val="standardContextual"/>
        </w:rPr>
        <w:t>§ 2 ust. 1 pkt 51</w:t>
      </w:r>
      <w:r w:rsidRPr="00AE7261">
        <w:rPr>
          <w:rFonts w:ascii="Calibri" w:eastAsia="Calibri" w:hAnsi="Calibri" w:cs="Times New Roman"/>
          <w:kern w:val="2"/>
          <w:sz w:val="28"/>
          <w14:ligatures w14:val="standardContextual"/>
        </w:rPr>
        <w:t>: „chów lub hodowla zwierząt w liczbie nie mniejszej niż 210 dużych jednostek przeliczeniowych inwentarza (DJP- przy czym za liczbę DJP przyjmuje się maksymalną możliwą obsadę inwentarza)”.</w:t>
      </w:r>
    </w:p>
    <w:p w14:paraId="24056384"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Stosownie do art. 74 ust. 3a u.o.o.ś. Burmistrz Śremu ustalił krąg podmiotów, którym przysługuje przymiot strony. Przymiot strony postępowania otrzymali: wnioskodawca i właściciele terenu, na którym realizowane będzie przedsięwzięcie (działki o numerach ewidencyjnych: 12 i 14, obręb Pysząca) oraz podmioty, którym przysługuje prawo rzeczowe do nieruchomości znajdujących się w obszarze wyznaczonym w odległości 100 m od granic terenu przedsięwzięcia. Obszar ten objął więc działki o numerach ewidencyjnych: 10; 47; 13; 11; 31/1; 42; 43/1; 44/1; 45/4; 45/6; 492; 31/3; 24; 45/7; 23; 31/4; 43/2; 44/2; 45/2; 45/17; 48/4, obręb Pysząca.</w:t>
      </w:r>
    </w:p>
    <w:p w14:paraId="7DC7968A"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Zgodnie z art. 74 ust. 3 u.o.o.ś, strony postępowania zostały powiadomione o wszczęciu postępowania w formie obwieszczenia z 12.08.2024 r. Obwieszczenie zamieszczono w Biuletynie Informacji Publicznej Urzędu Miejskiego w Śremie (</w:t>
      </w:r>
      <w:hyperlink r:id="rId9" w:history="1">
        <w:r w:rsidRPr="00AE7261">
          <w:rPr>
            <w:rFonts w:ascii="Calibri" w:eastAsia="Calibri" w:hAnsi="Calibri" w:cs="Times New Roman"/>
            <w:color w:val="467886"/>
            <w:kern w:val="2"/>
            <w:sz w:val="28"/>
            <w:u w:val="single"/>
            <w14:ligatures w14:val="standardContextual"/>
          </w:rPr>
          <w:t>https://bip.srem.pl/public/?id=233262</w:t>
        </w:r>
      </w:hyperlink>
      <w:r w:rsidRPr="00AE7261">
        <w:rPr>
          <w:rFonts w:ascii="Calibri" w:eastAsia="Calibri" w:hAnsi="Calibri" w:cs="Times New Roman"/>
          <w:kern w:val="2"/>
          <w:sz w:val="28"/>
          <w14:ligatures w14:val="standardContextual"/>
        </w:rPr>
        <w:t>), w gablotach informacyjnych Urzędu oraz na tablicy ogłoszeniowej w Pyszącej.</w:t>
      </w:r>
    </w:p>
    <w:p w14:paraId="6CE7394C" w14:textId="77777777" w:rsidR="00AE7261" w:rsidRPr="00AE7261" w:rsidRDefault="00AE7261" w:rsidP="00AE7261">
      <w:pPr>
        <w:spacing w:after="0" w:line="240" w:lineRule="auto"/>
        <w:jc w:val="both"/>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br w:type="page"/>
      </w:r>
    </w:p>
    <w:p w14:paraId="7D8DFA8A"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lastRenderedPageBreak/>
        <w:t xml:space="preserve">Na podstawie art. 77 ust. 1 pkt 1, pkt 2 i pkt 4 u.o.o.ś. Burmistrz Śremu, pismami z 12.08.2024 r., wystąpił do Regionalnego Dyrektora Ochrony Środowiska w Poznaniu i Dyrektora Regionalnego Zarządu Gospodarki Wodnej Państwowego Gospodarstwa Wodnego Wody Polskie w Poznaniu o uzgodnienie środowiskowych uwarunkowań dla planowanego przedsięwzięcia oraz do Państwowego Powiatowego Inspektora Sanitarnego w Śremie o wyrażenie opinii w sprawie warunków realizacji planowanego przedsięwzięcia. </w:t>
      </w:r>
    </w:p>
    <w:p w14:paraId="4AD1698E"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Zgodnie z art. 33 ust. 1 i art. 79 ust. 1 u.o.o.ś. w celu zapewnienia udziału społeczeństwa w postępowaniu, w Biuletynie Informacji Publicznej Urzędu Miejskiego w Śremie (</w:t>
      </w:r>
      <w:hyperlink r:id="rId10" w:history="1">
        <w:r w:rsidRPr="00AE7261">
          <w:rPr>
            <w:rFonts w:ascii="Calibri" w:eastAsia="Calibri" w:hAnsi="Calibri" w:cs="Times New Roman"/>
            <w:color w:val="467886"/>
            <w:kern w:val="2"/>
            <w:sz w:val="28"/>
            <w:u w:val="single"/>
            <w14:ligatures w14:val="standardContextual"/>
          </w:rPr>
          <w:t>https://bip.srem.pl/public/?id=233262</w:t>
        </w:r>
      </w:hyperlink>
      <w:r w:rsidRPr="00AE7261">
        <w:rPr>
          <w:rFonts w:ascii="Calibri" w:eastAsia="Calibri" w:hAnsi="Calibri" w:cs="Times New Roman"/>
          <w:kern w:val="2"/>
          <w:sz w:val="28"/>
          <w14:ligatures w14:val="standardContextual"/>
        </w:rPr>
        <w:t>), w gablotach informacyjnych Urzędu, na tablicy ogłoszeniowej w Pyszącej oraz w prasie lokalnej (tydzien.net, nr 32 z 22.08.2024 r.)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14.08.2024 r. do 12.09.2024 r. We wskazanym terminie do Burmistrza Śremu nie wpłynęły żadne uwagi i wnioski.</w:t>
      </w:r>
    </w:p>
    <w:p w14:paraId="5ECB5C4D" w14:textId="77777777" w:rsidR="00AE7261" w:rsidRPr="00AE7261" w:rsidRDefault="00AE7261" w:rsidP="00AE7261">
      <w:pPr>
        <w:spacing w:after="0" w:line="240" w:lineRule="auto"/>
        <w:ind w:firstLine="709"/>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Państwowy Powiatowy Inspektor Sanitarny w Śremie, w piśmie z 11.09.2024 r. znak ON-NS.9011.18.31.2024, zaopiniował warunki w zakresie wymagań higienicznych i zdrowotnych do decyzji o środowiskowych uwarunkowaniach z następującymi uwagami:</w:t>
      </w:r>
    </w:p>
    <w:p w14:paraId="3AA0EF82" w14:textId="77777777" w:rsidR="00AE7261" w:rsidRPr="00AE7261" w:rsidRDefault="00AE7261" w:rsidP="00AE7261">
      <w:pPr>
        <w:spacing w:after="0" w:line="240" w:lineRule="auto"/>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xml:space="preserve">„1) </w:t>
      </w:r>
      <w:bookmarkStart w:id="7" w:name="_Hlk200533311"/>
      <w:r w:rsidRPr="00AE7261">
        <w:rPr>
          <w:rFonts w:ascii="Calibri" w:eastAsia="Calibri" w:hAnsi="Calibri" w:cs="Times New Roman"/>
          <w:kern w:val="2"/>
          <w:sz w:val="28"/>
          <w14:ligatures w14:val="standardContextual"/>
        </w:rPr>
        <w:t>Zapewnić zieleń izolacyjną składającą się z drzew i krzewów zimozielonych, tj.: zieleń wielopiętrową, złożoną z gatunków o gęstym poszyciu, gwarantującą długotrwałe utrzymanie zieleni, odporną na zanieczyszczenia, stanowiącą barierę funkcjonalną i optyczną oraz charakteryzującą się szybkim przyrostem wzdłuż wschodniej i południowej granicy działki inwestycyjnej</w:t>
      </w:r>
      <w:bookmarkEnd w:id="7"/>
      <w:r w:rsidRPr="00AE7261">
        <w:rPr>
          <w:rFonts w:ascii="Calibri" w:eastAsia="Calibri" w:hAnsi="Calibri" w:cs="Times New Roman"/>
          <w:kern w:val="2"/>
          <w:sz w:val="28"/>
          <w14:ligatures w14:val="standardContextual"/>
        </w:rPr>
        <w:t>;</w:t>
      </w:r>
    </w:p>
    <w:p w14:paraId="4B111987" w14:textId="77777777" w:rsidR="00AE7261" w:rsidRPr="00AE7261" w:rsidRDefault="00AE7261" w:rsidP="00AE7261">
      <w:pPr>
        <w:numPr>
          <w:ilvl w:val="0"/>
          <w:numId w:val="35"/>
        </w:numPr>
        <w:tabs>
          <w:tab w:val="left" w:pos="284"/>
        </w:tabs>
        <w:spacing w:after="120" w:line="240" w:lineRule="auto"/>
        <w:ind w:left="0" w:firstLine="0"/>
        <w:contextualSpacing/>
        <w:jc w:val="both"/>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Nie należy wykonywać hałaśliwych operacji w porze nocnej. Ograniczyć wszelkie prace związane z funkcjonowaniem gospodarstwa do pory dziennej tj. 6:00 – 22:00.”</w:t>
      </w:r>
    </w:p>
    <w:p w14:paraId="6A0D3EEF" w14:textId="77777777" w:rsidR="00AE7261" w:rsidRPr="00AE7261" w:rsidRDefault="00AE7261" w:rsidP="00AE7261">
      <w:pPr>
        <w:spacing w:after="0" w:line="240" w:lineRule="auto"/>
        <w:jc w:val="both"/>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br w:type="page"/>
      </w:r>
    </w:p>
    <w:p w14:paraId="1934506F"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lastRenderedPageBreak/>
        <w:t>Regionalny Dyrektor Ochrony Środowiska w Poznaniu, pismem z 11.10.2024 r., zwrócił się do Burmistrza Śremu, o przedstawienie informacji dotyczącej faktycznego zagospodarowania i wykorzystania terenów otaczających przedsięwzięcie i o ocenę, do którego rodzaju terenów, o których mowa w tabeli 1 załącznika do rozporządzenia Ministra Środowiska z dnia 14 czerwca 2007 r. w sprawie dopuszczalnych poziomów hałasu w środowisku (Dz. U. z 2014 r. poz. 112) należą sąsiednie tereny oraz o wskazanie gdzie i w jakiej odległości znajdują się najbliższe tereny wymienione w przywołanym rozporządzeniu, wymagające ochrony akustycznej. W piśmie z 26.11.2024 r. Burmistrz Śremu uczynił zadość wezwaniu.</w:t>
      </w:r>
    </w:p>
    <w:p w14:paraId="06FE8499"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Jednocześnie Regionalny Dyrektor Ochrony Środowiska w Poznaniu, pismami z 11.10.2024 r i 08.11.2024 r., zwrócił się do Burmistrza Śremu, o wezwanie wnioskodawcy do złożenia dodatkowych wyjaśnień i uzupełnień do raportu. Burmistrz Śremu, pismami z 14.10.2024 r. i 12.11.2024 r., wezwał wnioskodawcę do przedłożenia wymaganych informacji. Uzupełnienie raportu z 20.11.2024 r. (data wpływu 22.11.2024 r.) Burmistrz Śremu przekazał Regionalnemu Dyrektorowi pismem z 26.11.2024 r.</w:t>
      </w:r>
    </w:p>
    <w:p w14:paraId="6D31A5FD" w14:textId="77777777" w:rsidR="00AE7261" w:rsidRPr="00AE7261" w:rsidRDefault="00AE7261" w:rsidP="00AE7261">
      <w:pPr>
        <w:spacing w:after="0" w:line="240" w:lineRule="auto"/>
        <w:ind w:firstLine="709"/>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Postanowieniem z 23.05.2023 r. znak PO.RZŚ.4900.3.2023.BJ Dyrektor Regionalnego Zarządu Gospodarki Wodnej Państwowego Gospodarstwa Wodnego Wody Polskie w Poznaniu uzgodnił realizację przedsięwzięcia w proponowanym do realizacji wariancie oraz określił następujące warunki tej realizacji:</w:t>
      </w:r>
    </w:p>
    <w:p w14:paraId="24B9D4E5"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 w projektowanym budynku inwentarskim – oborze (01) będzie prowadzona hodowla krów w obsadzie 277 DJP, w tym:</w:t>
      </w:r>
    </w:p>
    <w:p w14:paraId="082923F2" w14:textId="77777777" w:rsidR="00AE7261" w:rsidRPr="00AE7261" w:rsidRDefault="00AE7261" w:rsidP="00AE7261">
      <w:pPr>
        <w:spacing w:after="0" w:line="240" w:lineRule="auto"/>
        <w:ind w:left="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krowy dojne 240 szt.</w:t>
      </w:r>
    </w:p>
    <w:p w14:paraId="2D54AAB8" w14:textId="77777777" w:rsidR="00AE7261" w:rsidRPr="00AE7261" w:rsidRDefault="00AE7261" w:rsidP="00AE7261">
      <w:pPr>
        <w:spacing w:after="0" w:line="240" w:lineRule="auto"/>
        <w:ind w:firstLine="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krowy zasuszone 37 szt.</w:t>
      </w:r>
    </w:p>
    <w:p w14:paraId="24262A57"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 w istniejącej oborze (K) będzie prowadzona hodowla krów w obsadzie 150,9 DJP, w tym:</w:t>
      </w:r>
    </w:p>
    <w:p w14:paraId="673308BF" w14:textId="77777777" w:rsidR="00AE7261" w:rsidRPr="00AE7261" w:rsidRDefault="00AE7261" w:rsidP="00AE7261">
      <w:pPr>
        <w:spacing w:after="0" w:line="240" w:lineRule="auto"/>
        <w:ind w:left="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jałówki cielne 110 szt.;</w:t>
      </w:r>
    </w:p>
    <w:p w14:paraId="2BE3699F" w14:textId="77777777" w:rsidR="00AE7261" w:rsidRPr="00AE7261" w:rsidRDefault="00AE7261" w:rsidP="00AE7261">
      <w:pPr>
        <w:spacing w:after="0" w:line="240" w:lineRule="auto"/>
        <w:ind w:left="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jałówki powyżej 1 roku 38 szt.</w:t>
      </w:r>
    </w:p>
    <w:p w14:paraId="4E57B142" w14:textId="77777777" w:rsidR="00AE7261" w:rsidRPr="00AE7261" w:rsidRDefault="00AE7261" w:rsidP="00AE7261">
      <w:pPr>
        <w:spacing w:after="0" w:line="240" w:lineRule="auto"/>
        <w:ind w:left="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jałówki od ½ do 1 roku 35 szt.</w:t>
      </w:r>
    </w:p>
    <w:p w14:paraId="1538092C"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3. w istniejącej oborze (H) będzie prowadzona hodowla krów w obsadzie 15,75 DJP, w tym:</w:t>
      </w:r>
    </w:p>
    <w:p w14:paraId="21C48872" w14:textId="77777777" w:rsidR="00AE7261" w:rsidRPr="00AE7261" w:rsidRDefault="00AE7261" w:rsidP="00AE7261">
      <w:pPr>
        <w:spacing w:after="0" w:line="240" w:lineRule="auto"/>
        <w:ind w:firstLine="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jałówki od ½ do 1 roku 43 szt.</w:t>
      </w:r>
    </w:p>
    <w:p w14:paraId="0BB33E61" w14:textId="77777777" w:rsidR="00AE7261" w:rsidRPr="00AE7261" w:rsidRDefault="00AE7261" w:rsidP="00AE7261">
      <w:pPr>
        <w:spacing w:after="0" w:line="240" w:lineRule="auto"/>
        <w:ind w:firstLine="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cielęta 19 szt.;</w:t>
      </w:r>
    </w:p>
    <w:p w14:paraId="766CD538"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4. w istniejącej oborze (G) będzie prowadzona hodowla cieląt w ilości 63 szt., tj. 9,45 DJP;</w:t>
      </w:r>
    </w:p>
    <w:p w14:paraId="483CB835"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lastRenderedPageBreak/>
        <w:t>5. nie należy przekraczać łącznej docelowej obsady całego gospodarstwa, tj. 453,1 DJP;</w:t>
      </w:r>
    </w:p>
    <w:p w14:paraId="5C73B4A0"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6. wszystkie projektowane zbiorniki, tj. zbiorniki na gnojowicę, zbiornik na ścieki bytowe oraz zbiornik na ścieki technologiczne należy wykonać jako szczelne, stanowiące zabezpieczenie przed zanieczyszczeniem środowiska gruntowo-wodnego przed odciekami;</w:t>
      </w:r>
    </w:p>
    <w:p w14:paraId="5DE54320"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7. wytwarzana w gospodarstwie gnojowica magazynowana będzie w projektowanym zewnętrznym zbiorniku o pojemności ok. 2 600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w kanałach gnojowicowych pod budynkiem obory (K) o pojemności ok. 400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xml:space="preserve"> oraz w kanałach gnojowych pod budynkiem obory (01) o pojemności ok. 1000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w:t>
      </w:r>
    </w:p>
    <w:p w14:paraId="3F4D1D22"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8. wytwarzany w gospodarstwie obornik magazynowany będzie na istniejącej płycie obornikowej o powierzchni ok. 380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gnojówka będzie magazynowana w istniejącym zbiorniku pod płytą obornikową o pojemności ok. 90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xml:space="preserve"> oraz w kanałach gnojowicowych pod budynkiem obory K i obory 01;</w:t>
      </w:r>
    </w:p>
    <w:p w14:paraId="0C637A85"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9. wytwarzane w gospodarstwie nawozy naturalne zagospodarowywane będą rolniczo na gruntach własnych inwestora oraz przekazywane będą innym rolnikom na podstawie umów do rolniczego zagospodarowania;</w:t>
      </w:r>
    </w:p>
    <w:p w14:paraId="5F5FF9A3"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10. miejsce załadunku obornika na przyczepy pojazdów należy wykonać jako szczelne (na betonowym utwardzeniu), umożliwiające zebranie „na sucho” i wywiezienie rozsypanych nawozów naturalnych po każdym załadunku, w sposób zabezpieczający środowisko gruntowo-wodne przed zanieczyszczeniem;</w:t>
      </w:r>
    </w:p>
    <w:p w14:paraId="7FF8BA54"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11. opróżnianie zbiorników z gnojówką i zbiornika z gnojowicą należy prowadzić z zastosowaniem rur ssawnych z hermetycznym złączem do beczek asenizacyjnych, z zabezpieczeniem środowiska gruntowo-wodnego przed rozlewami;</w:t>
      </w:r>
    </w:p>
    <w:p w14:paraId="041119BC"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12. zaopatrzenie w wodę na potrzeby przedsięwzięcia (do pojenia zwierząt, na cele socjalno-bytowe oraz do mycia instalacji udojowej i zbiornika na mleko) w zakładanej ilości 17 870,4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/rok, realizowane będzie z sieci wodociągowej, za zgodą i na warunkach ustalonych z gestorem sieci;</w:t>
      </w:r>
    </w:p>
    <w:p w14:paraId="1F150675"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13. czyszczenie budynków inwentarskich będzie prowadzone na sucho, bez użycia wody; do dezynfekcji należy używać wyłącznie środków biodegradowalnych;</w:t>
      </w:r>
    </w:p>
    <w:p w14:paraId="04A58316" w14:textId="77777777" w:rsidR="00AE7261" w:rsidRPr="00AE7261" w:rsidRDefault="00AE7261" w:rsidP="00AE7261">
      <w:pPr>
        <w:spacing w:after="120" w:line="240" w:lineRule="auto"/>
        <w:ind w:left="425" w:hanging="425"/>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14. ścieki z mycia urządzeń udojowych i zbiornika na mleko odprowadzane będą do szczelnego zbiornika bezodpływowego, a następnie wywożone okresowo, zgodnie z zapotrzebowaniem, taborem asenizacyjnym przez uprawnione podmioty do oczyszczalni ścieków.</w:t>
      </w:r>
    </w:p>
    <w:p w14:paraId="5CA28888"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lastRenderedPageBreak/>
        <w:t>Jednocześnie Organ uzgadniający nie stwierdził konieczności przeprowadzenia ponownej oceny oddziaływania przedsięwzięcia na środowisko oraz postępowania w sprawie transgranicznego oddziaływania na środowisko w ramach postępowania w sprawie wydania decyzji, o których mowa w art. 72 ust. 1 pkt 1 u.o.o.ś.</w:t>
      </w:r>
    </w:p>
    <w:p w14:paraId="625CA352"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xml:space="preserve">Burmistrz Śremu zweryfikował ustalenie punktu 4 i stwierdził, że z obliczeń przedstawionych w uzupełnieniu raportu wynika, że w oborze G będzie prowadzona hodowla cieląt w maksymalnej możliwej obsadzie wynoszącej 40 sztuk, to jest 6 DJP, co znalazło swoje odzwierciedlenie w warunkach decyzji. </w:t>
      </w:r>
    </w:p>
    <w:p w14:paraId="16F2596F"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Burmistrz Śremu zweryfikował również ustalenie punktu 8 i stwierdził, że gnojówka będzie magazynowana również w projektowanym zbiorniku na gnojówkę i gnojowicę, co znalazło swoje odzwierciedlenie w warunkach decyzji.</w:t>
      </w:r>
    </w:p>
    <w:p w14:paraId="6A5DA63A" w14:textId="77777777" w:rsidR="00AE7261" w:rsidRPr="00AE7261" w:rsidRDefault="00AE7261" w:rsidP="00AE7261">
      <w:pPr>
        <w:spacing w:after="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Postanowieniem z 17.03.2025 r. znak WOO-I.4221.238.2024.BM.5 Regionalny Dyrektor Ochrony Środowiska w Poznaniu uzgodnił realizację planowanego przedsięwzięcia i określił następujące warunki tej realizacji:</w:t>
      </w:r>
    </w:p>
    <w:p w14:paraId="25BEF409"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 Projektowany budynek inwentarski (obora nr 1) wraz ze zlewnią mleka wybudować w południowej części działki nr ewid. 12 obręb Pysząca, gmina Śrem.</w:t>
      </w:r>
    </w:p>
    <w:p w14:paraId="29A4C581"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 Pod projektowanym budynkiem inwentarskim wybudować kanały gnojowicowe o pojemności minimum 1 000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w:t>
      </w:r>
    </w:p>
    <w:p w14:paraId="31399D3D"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3. Na terenie gospodarstwa posadowić zbiornik na gnojówkę i gnojowicę o pojemności minimum 2 600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w:t>
      </w:r>
    </w:p>
    <w:p w14:paraId="0A51E98E"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4. W projektowanym obiekcie inwentarskim zastosować grawitacyjny system wentylacji z wykorzystaniem świetlika kalenicowego umieszczonego na wysokości minimum 13,8 m n.p.t.</w:t>
      </w:r>
    </w:p>
    <w:p w14:paraId="0379AF80"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5. W istniejących obiektach inwentarskich stosować grawitacyjny system wentylacji.</w:t>
      </w:r>
    </w:p>
    <w:p w14:paraId="6E4E7CD7"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6. Nie ogrzewać projektowanej obory z wykorzystaniem źródeł powodujących emisję substancji do powietrza.</w:t>
      </w:r>
    </w:p>
    <w:p w14:paraId="54183EE9"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7. Odpowietrzenie silosów paszowych wykonać poprzez zastosowanie rur odpowietrzających, skierowanych wylotem w dół. Podczas załadunku pasz do silosów na rury nakładać filtry workowe.</w:t>
      </w:r>
    </w:p>
    <w:p w14:paraId="413265C2"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8. W planowanym obiekcie inwentarskim wydzielić miejsca przeznaczone na utrzymanie zwierząt (legowiska, kojce) o łącznej powierzchni do 915,3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w:t>
      </w:r>
    </w:p>
    <w:p w14:paraId="457699A5" w14:textId="77777777" w:rsidR="00AE7261" w:rsidRPr="00AE7261" w:rsidRDefault="00AE7261" w:rsidP="00AE7261">
      <w:pPr>
        <w:spacing w:after="0" w:line="240" w:lineRule="auto"/>
        <w:jc w:val="both"/>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br w:type="page"/>
      </w:r>
    </w:p>
    <w:p w14:paraId="71F1246F" w14:textId="77777777" w:rsidR="00AE7261" w:rsidRPr="00AE7261" w:rsidRDefault="00AE7261" w:rsidP="00AE7261">
      <w:pPr>
        <w:spacing w:after="0" w:line="240" w:lineRule="auto"/>
        <w:ind w:left="284" w:hanging="284"/>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lastRenderedPageBreak/>
        <w:t>9. W istniejących obiektach inwentarskich łączna powierzchnia przeznaczona na utrzymanie zwierząt (legowiska, kojce) nie może przekroczyć odpowiednio w oborze K – 446,14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oborze H – 126,9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xml:space="preserve"> i w oborze G – 60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w:t>
      </w:r>
    </w:p>
    <w:p w14:paraId="4B0F99D4"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10. Łączna obsada zwierząt w gospodarstwie po realizacji przedsięwzięcia nie może przekroczyć 453,1 DJP.</w:t>
      </w:r>
    </w:p>
    <w:p w14:paraId="308D3C3F"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11. Obiekty inwentarskie utrzymywać w czystości. W obiektach zaprojektować sprawny system wentylacji zapewniającej odpowiednią temperaturę i wilgotność wewnątrz.</w:t>
      </w:r>
    </w:p>
    <w:p w14:paraId="354D1BBF"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12. Przepompowywanie gnojowicy prowadzić w sposób zhermetyzowany, z wykorzystaniem szczelnego złącza.</w:t>
      </w:r>
    </w:p>
    <w:p w14:paraId="6A2E4693"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13. Ruch pojazdów ciężkich na terenie inwestycji ograniczyć wyłącznie do pory dziennej, tj. do godz.: 06:00-22:00.</w:t>
      </w:r>
    </w:p>
    <w:p w14:paraId="0C566D97" w14:textId="77777777" w:rsidR="00AE7261" w:rsidRPr="00AE7261" w:rsidRDefault="00AE7261" w:rsidP="00AE7261">
      <w:pPr>
        <w:spacing w:after="0" w:line="240" w:lineRule="auto"/>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xml:space="preserve">14. Zaopatrzenie w wodę realizować z sieci wodociągowej. </w:t>
      </w:r>
    </w:p>
    <w:p w14:paraId="6AB6FAD1"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15. Zastosować system poideł posiadających zabezpieczenie przed niekontrolowanym wyciekiem wody.</w:t>
      </w:r>
    </w:p>
    <w:p w14:paraId="08C11047"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16. Prowadzić regularne odczyty zużycia wody, a wykryte nieszczelności wewnętrznej sieci wodociągowej niezwłocznie naprawiać.</w:t>
      </w:r>
    </w:p>
    <w:p w14:paraId="719A19EE" w14:textId="77777777" w:rsidR="00AE7261" w:rsidRPr="00AE7261" w:rsidRDefault="00AE7261" w:rsidP="00AE7261">
      <w:pPr>
        <w:spacing w:after="0" w:line="240" w:lineRule="auto"/>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17. Budynki inwentarskie czyścić na sucho, bez generowania ścieków.</w:t>
      </w:r>
    </w:p>
    <w:p w14:paraId="3FE1AAC2"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18. Wody opadowe i roztopowe odprowadzać w sposób niezorganizowany do gruntu, w granicach terenu, do którego wnioskodawca posiada tytuł prawny, w sposób niepowodujący szkody na gruntach sąsiednich.</w:t>
      </w:r>
    </w:p>
    <w:p w14:paraId="4F60B283"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19. Sztuki padłe i ubite z konieczności magazynować w zamkniętym, szczelnym konfiskatorze, a następnie przekazywać uprawnionym podmiotom do zagospodarowania zgodnie z przepisami szczegółowymi w tym zakresie.</w:t>
      </w:r>
    </w:p>
    <w:p w14:paraId="4BAD23DB" w14:textId="77777777" w:rsidR="00AE7261" w:rsidRPr="00AE7261" w:rsidRDefault="00AE7261" w:rsidP="00AE7261">
      <w:pPr>
        <w:spacing w:after="0" w:line="240" w:lineRule="auto"/>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20. Nie wycinać drzew i krzewów w związku z realizacją przedsięwzięcia.</w:t>
      </w:r>
    </w:p>
    <w:p w14:paraId="4C456159"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21. Miejsca składowania materiałów budowlanych i postoju ciężkiego sprzętu wyznaczyć poza obrysem rzutu koron drzew.</w:t>
      </w:r>
    </w:p>
    <w:p w14:paraId="1CB4768A"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22. Prace ziemne oraz inne prace związane z wykorzystaniem sprzętu mechanicznego prowadzone w obrębie bryły korzeniowej drzew i krzewów nieprzeznaczonych do wycinki, wykonywać w sposób jak najmniej szkodzący drzewom i krzewom w szczególności:</w:t>
      </w:r>
    </w:p>
    <w:p w14:paraId="5234527D" w14:textId="77777777" w:rsidR="00AE7261" w:rsidRPr="00AE7261" w:rsidRDefault="00AE7261" w:rsidP="00AE7261">
      <w:pPr>
        <w:spacing w:after="0" w:line="240" w:lineRule="auto"/>
        <w:ind w:left="709" w:hanging="283"/>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1) pnie drzew narażonych na uszkodzenia na czas budowy właściwie zabezpieczyć uwzględniając konieczność zapewnienia dostępu do schronień oraz w sposób niepowodujący zniszczenia, uszkodzenia lub zabicia występujących tam gatunków roślin, zwierząt i grzybów;</w:t>
      </w:r>
    </w:p>
    <w:p w14:paraId="3C4D74C1" w14:textId="77777777" w:rsidR="00AE7261" w:rsidRPr="00AE7261" w:rsidRDefault="00AE7261" w:rsidP="00AE7261">
      <w:pPr>
        <w:spacing w:after="0" w:line="240" w:lineRule="auto"/>
        <w:ind w:left="709" w:hanging="283"/>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 nie obsypywać ziemią pni drzew powyżej wysokości 0,2 m i krzewów powyżej wysokości 0,1 m, ponad pierwotny poziom terenu;</w:t>
      </w:r>
    </w:p>
    <w:p w14:paraId="0284E6CF" w14:textId="77777777" w:rsidR="00AE7261" w:rsidRPr="00AE7261" w:rsidRDefault="00AE7261" w:rsidP="00AE7261">
      <w:pPr>
        <w:spacing w:after="0" w:line="240" w:lineRule="auto"/>
        <w:ind w:left="709" w:hanging="283"/>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lastRenderedPageBreak/>
        <w:t>3) podczas prac ziemnych zabezpieczyć systemy korzeniowe przed przesychaniem i przemarzaniem;</w:t>
      </w:r>
    </w:p>
    <w:p w14:paraId="3F974CBF" w14:textId="77777777" w:rsidR="00AE7261" w:rsidRPr="00AE7261" w:rsidRDefault="00AE7261" w:rsidP="00AE7261">
      <w:pPr>
        <w:spacing w:after="0" w:line="240" w:lineRule="auto"/>
        <w:ind w:firstLine="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4) nie niszczyć korzeni odpowiedzialnych za statykę drzewa.</w:t>
      </w:r>
    </w:p>
    <w:p w14:paraId="2A68020C"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23. Na etapie prowadzenia prac ziemnych, minimum raz dziennie przed rozpoczęciem prac, kontrolować wykopy i zagłębienia a uwięzione w nich zwierzęta niezwłocznie przenosić w bezpieczne miejsce; taką samą kontrolę przeprowadzić bezpośrednio przed zasypaniem wykopów i likwidacją zagłębień.</w:t>
      </w:r>
    </w:p>
    <w:p w14:paraId="73235BDA"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24. Przed rozpoczęciem prac budowlanych przeprowadzić kontrolę terenu inwestycji pod kątem występowania gniazd ptaków.</w:t>
      </w:r>
    </w:p>
    <w:p w14:paraId="2E879DB4" w14:textId="77777777" w:rsidR="00AE7261" w:rsidRPr="00AE7261" w:rsidRDefault="00AE7261" w:rsidP="00AE7261">
      <w:pPr>
        <w:spacing w:after="0" w:line="240" w:lineRule="auto"/>
        <w:ind w:left="426" w:hanging="426"/>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25. Prace związane z przygotowaniem terenu pod budowę oraz niszczeniem roślinności zielnej (makroniwelacja) wykonać w okresie od 1 września do końca lutego.</w:t>
      </w:r>
    </w:p>
    <w:p w14:paraId="23B9BE43" w14:textId="77777777" w:rsidR="00AE7261" w:rsidRPr="00AE7261" w:rsidRDefault="00AE7261" w:rsidP="00AE7261">
      <w:pPr>
        <w:spacing w:after="120" w:line="240" w:lineRule="auto"/>
        <w:ind w:left="425" w:hanging="425"/>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26. Teren przedsięwzięcia wzdłuż granicy działki nr 12 z działką nr 43/2, obręb Pysząca, gmina Śrem, na czas realizacji wygrodzić tymczasowym ogrodzeniem herpetologicznym, wkopanym minimum 10 cm w ziemię, o wysokości co najmniej 50 cm n.p.t. z przewieszką w górnej części o szerokości co najmniej 5 cm skierowaną przeciwnie do terenu robót. Zakończenia płotków wykonać w kształcie litery „u”.”.</w:t>
      </w:r>
    </w:p>
    <w:p w14:paraId="27C4C8D6"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Jednocześnie Organ uzgadniający nie stwierdził konieczności ponownego przeprowadzenia oceny oddziaływania przedsięwzięcia na środowisko oraz postępowania w sprawie transgranicznego oddziaływania na środowisko w ramach postępowania w sprawie wydania decyzji, o których mowa w art. 72 ust. 1 pkt 1 u.o.o.ś.</w:t>
      </w:r>
    </w:p>
    <w:p w14:paraId="435991EF"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xml:space="preserve">W związku z uzupełnieniami raportu, stosownie do art. 77 ust 1 pkt 2 i pkt 4 u.o.o.ś., Burmistrz Śremu, pismem z 19.03.2025 r., wystąpił do Dyrektora Regionalnego Zarządu Gospodarki Wodnej Państwowego Gospodarstwa Wodnego Wody Polskie w Poznaniu oraz Państwowego Powiatowego Inspektora Sanitarnego w Śremie, o ponowne zajęcie stanowiska w sprawie warunków realizacji planowanego przedsięwzięcia. </w:t>
      </w:r>
    </w:p>
    <w:p w14:paraId="5E404FA5"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Państwowy Powiatowy Inspektor Sanitarny w Śremie, w piśmie z 16.04.2025 r. znak ON-NS.9011.145.2025, zaopiniował warunki w zakresie wymagań higienicznych i zdrowotnych do decyzji o środowiskowych uwarunkowaniach z uwagą: „nie należy wykonywać hałaśliwych operacji w porze nocnej. Ograniczyć wszelkie prace związane z funkcjonowaniem gospodarstwa do pory dziennej tj. 6:00 – 22:00.”.</w:t>
      </w:r>
    </w:p>
    <w:p w14:paraId="643C5444" w14:textId="77777777" w:rsidR="00AE7261" w:rsidRPr="00AE7261" w:rsidRDefault="00AE7261" w:rsidP="00AE7261">
      <w:pPr>
        <w:spacing w:after="0" w:line="240" w:lineRule="auto"/>
        <w:jc w:val="both"/>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br w:type="page"/>
      </w:r>
    </w:p>
    <w:p w14:paraId="7979A10C"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lastRenderedPageBreak/>
        <w:t xml:space="preserve">Dyrektor Regionalnego Zarządu Gospodarki Wodnej Państwowego Gospodarstwa Wodnego Wody Polskie w Poznaniu, w piśmie z 22.04.2025 r. znak PO.RZŚ.4900.122.2024.KS.3, poinformował, że podtrzymuje swoje stanowisko przedstawione w postanowieniu z 06.11.2024 r. </w:t>
      </w:r>
    </w:p>
    <w:p w14:paraId="4A243C39" w14:textId="77777777" w:rsidR="00AE7261" w:rsidRPr="00AE7261" w:rsidRDefault="00AE7261" w:rsidP="00AE7261">
      <w:pPr>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Stosownie do art. 33 ust. 1 i art. 79 ust. 1 u.o.o.ś. Burmistrz Śremu zapewnił udział społeczeństwa w postępowaniu. W Biuletynie Informacji Publicznej Urzędu Miejskiego w Śremie (</w:t>
      </w:r>
      <w:hyperlink r:id="rId11" w:history="1">
        <w:r w:rsidRPr="00AE7261">
          <w:rPr>
            <w:rFonts w:ascii="Calibri" w:eastAsia="Calibri" w:hAnsi="Calibri" w:cs="Times New Roman"/>
            <w:color w:val="467886"/>
            <w:kern w:val="2"/>
            <w:sz w:val="28"/>
            <w:u w:val="single"/>
            <w14:ligatures w14:val="standardContextual"/>
          </w:rPr>
          <w:t>https://bip.srem.pl/public/?id=233262</w:t>
        </w:r>
      </w:hyperlink>
      <w:r w:rsidRPr="00AE7261">
        <w:rPr>
          <w:rFonts w:ascii="Calibri" w:eastAsia="Calibri" w:hAnsi="Calibri" w:cs="Times New Roman"/>
          <w:kern w:val="2"/>
          <w:sz w:val="28"/>
          <w14:ligatures w14:val="standardContextual"/>
        </w:rPr>
        <w:t>), w gablotach informacyjnych Urzędu oraz na tablicach ogłoszeniowych w Pyszącej i Sosnowcu, zamieszczono informacje o: złożeniu wniosku w sprawie wydania decyzji o środowiskowych uwarunkowaniach na realizację przedmiotowego przedsięwzięcia; przeprowadzonej ocenie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28.04.2025 r. do 27.05.2025 r. We wskazanym terminie do Burmistrza Śremu nie wpłynęły żadne pisemne uwagi i wnioski.</w:t>
      </w:r>
    </w:p>
    <w:p w14:paraId="6B274214"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Następnie, zgodnie z art. 74 ust. 3 u.o.o.ś. strony postępowania zostały powiadomione, w formie obwieszczenia z 29.05.2025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2" w:history="1">
        <w:r w:rsidRPr="00AE7261">
          <w:rPr>
            <w:rFonts w:ascii="Calibri" w:eastAsia="Calibri" w:hAnsi="Calibri" w:cs="Times New Roman"/>
            <w:color w:val="467886"/>
            <w:kern w:val="2"/>
            <w:sz w:val="28"/>
            <w:u w:val="single"/>
            <w14:ligatures w14:val="standardContextual"/>
          </w:rPr>
          <w:t>https://bip.srem.pl/public/?id=233262</w:t>
        </w:r>
      </w:hyperlink>
      <w:r w:rsidRPr="00AE7261">
        <w:rPr>
          <w:rFonts w:ascii="Calibri" w:eastAsia="Times New Roman" w:hAnsi="Calibri" w:cs="Calibri"/>
          <w:sz w:val="28"/>
          <w:szCs w:val="28"/>
          <w:lang w:eastAsia="pl-PL"/>
        </w:rPr>
        <w:t xml:space="preserve">), w gablotach informacyjnych Urzędu oraz na tablicach ogłoszeniowych w Pyszącej i Sosnowcu. Żadna ze stron postępowania nie skorzystała z przysługującego jej prawa. </w:t>
      </w:r>
    </w:p>
    <w:p w14:paraId="5C1EDE44"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Zgodnie z art. 80 ust. 1 u.o.o.ś., jeżeli była przeprowadzona ocena oddziaływania przedsięwzięcia na środowisko, właściwy organ wydaje decyzję o środowiskowych uwarunkowaniach biorąc pod uwagę: wyniki uzgodnień i opinii, o których mowa w art. 77 ust. 1 u.o.o.ś.; ustalenia zawarte w raporcie o oddziaływaniu przedsięwzięcia na środowisko; wyniki postępowania z udziałem społeczeństwa; wyniki postępowania w sprawie transgranicznego oddziaływania na środowisko, jeżeli zostało przeprowadzone.</w:t>
      </w:r>
      <w:bookmarkStart w:id="8" w:name="mip45490988"/>
      <w:bookmarkEnd w:id="8"/>
      <w:r w:rsidRPr="00AE7261">
        <w:rPr>
          <w:rFonts w:ascii="Calibri" w:eastAsia="Times New Roman" w:hAnsi="Calibri" w:cs="Calibri"/>
          <w:sz w:val="28"/>
          <w:szCs w:val="28"/>
          <w:lang w:eastAsia="pl-PL"/>
        </w:rPr>
        <w:t xml:space="preserve"> </w:t>
      </w:r>
    </w:p>
    <w:p w14:paraId="2741D136"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2303DDC9"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Zgodnie z art. 62 ust. 1 u.o.o.ś. w ramach oceny oddziaływania przedsięwzięcia na środowisko określa się, analizuje oraz ocenia: bezpośredni i pośredni wpływ danego przedsięwzięcia na środowisko, w tym klimat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podatność danego przedsięwzięcia na zmiany klimatu; możliwości oraz sposoby zapobiegania i zmniejszania negatywnego oddziaływania przedsięwzięcia na środowisko; wymagany zakres monitoringu.</w:t>
      </w:r>
    </w:p>
    <w:p w14:paraId="66602156"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Wobec powyższego przedstawia się co następuje:</w:t>
      </w:r>
    </w:p>
    <w:p w14:paraId="10EBDEB9"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Planowane przedsięwzięcie polega na rozbudowie gospodarstwa rolnego zlokalizowanego na działkach o numerach ewidencyjnych 12 i 14, obręb Pysząca, o łącznej powierzchni 12,3568 ha. W gospodarstwie rolnym prowadzona jest hodowla bydła mlecznego w łącznej obsadzie 155,40 DJP. Obecnie zwierzęta utrzymywane są w trzech budynkach inwentarskich, to jest w oborze K o powierzchni zabudowy 990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oborze G o powierzchni zabudowy 384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i oborze H o powierzchni zabudowy 374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w:t>
      </w:r>
      <w:r w:rsidRPr="00AE7261">
        <w:rPr>
          <w:rFonts w:ascii="Calibri" w:eastAsia="Calibri" w:hAnsi="Calibri" w:cs="Times New Roman"/>
          <w:kern w:val="2"/>
          <w:sz w:val="28"/>
          <w14:ligatures w14:val="standardContextual"/>
        </w:rPr>
        <w:t>Na terenie przedsięwzięcia znajdują się również: trzy hale namiotowe pełniące funkcję magazynową, silos na kiszonkę, wiata rolnicza, budynek magazynowy, budynek gospodarczy, budynek mieszkalny, garaż, płyta obornikowa o powierzchni około 380 m</w:t>
      </w:r>
      <w:r w:rsidRPr="00AE7261">
        <w:rPr>
          <w:rFonts w:ascii="Calibri" w:eastAsia="Calibri" w:hAnsi="Calibri" w:cs="Times New Roman"/>
          <w:kern w:val="2"/>
          <w:sz w:val="28"/>
          <w:vertAlign w:val="superscript"/>
          <w14:ligatures w14:val="standardContextual"/>
        </w:rPr>
        <w:t>2</w:t>
      </w:r>
      <w:r w:rsidRPr="00AE7261">
        <w:rPr>
          <w:rFonts w:ascii="Calibri" w:eastAsia="Calibri" w:hAnsi="Calibri" w:cs="Times New Roman"/>
          <w:kern w:val="2"/>
          <w:sz w:val="28"/>
          <w14:ligatures w14:val="standardContextual"/>
        </w:rPr>
        <w:t xml:space="preserve"> wraz ze zbiornikiem na gnojówkę o pojemności około 90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zbiornik na odcieki technologiczne o pojemności około 15 m</w:t>
      </w:r>
      <w:r w:rsidRPr="00AE7261">
        <w:rPr>
          <w:rFonts w:ascii="Calibri" w:eastAsia="Calibri" w:hAnsi="Calibri" w:cs="Times New Roman"/>
          <w:kern w:val="2"/>
          <w:sz w:val="28"/>
          <w:vertAlign w:val="superscript"/>
          <w14:ligatures w14:val="standardContextual"/>
        </w:rPr>
        <w:t>3</w:t>
      </w:r>
      <w:r w:rsidRPr="00AE7261">
        <w:rPr>
          <w:rFonts w:ascii="Calibri" w:eastAsia="Calibri" w:hAnsi="Calibri" w:cs="Times New Roman"/>
          <w:kern w:val="2"/>
          <w:sz w:val="28"/>
          <w14:ligatures w14:val="standardContextual"/>
        </w:rPr>
        <w:t xml:space="preserve">, agregat prądotwórczy, miejsce selektywnej zbiórki odpadów. </w:t>
      </w:r>
    </w:p>
    <w:p w14:paraId="43CC2A0F"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bookmarkStart w:id="9" w:name="_Hlk200955963"/>
      <w:r w:rsidRPr="00AE7261">
        <w:rPr>
          <w:rFonts w:ascii="Calibri" w:eastAsia="Times New Roman" w:hAnsi="Calibri" w:cs="Calibri"/>
          <w:sz w:val="28"/>
          <w:szCs w:val="28"/>
          <w:lang w:eastAsia="pl-PL"/>
        </w:rPr>
        <w:t>W ramach przedsięwzięcia zaplanowano budowę obory wolnostanowiskowej dla bydła mlecznego, to jest obory nr 1, z kanałami gnojowicowymi pod budynkiem o łącznej pojemności nie mniejszej niż 1000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xml:space="preserve"> oraz zlewnią mleka, zbiornika na gnojówkę i gnojowicę o pojemności nie mniejszej niż 2 600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zbiornika na ścieki technologiczne o pojemności około 15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zbiornika na ścieki bytowe o pojemności około 5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konfiskatora sztuk padłych, dwóch silosów na paszę o możliwości przechowywania pasz w ilości 15 Mg i 28 Mg oraz utwardzeń na powierzchni około 2 400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w:t>
      </w:r>
      <w:bookmarkEnd w:id="9"/>
      <w:r w:rsidRPr="00AE7261">
        <w:rPr>
          <w:rFonts w:ascii="Calibri" w:eastAsia="Times New Roman" w:hAnsi="Calibri" w:cs="Calibri"/>
          <w:sz w:val="28"/>
          <w:szCs w:val="28"/>
          <w:lang w:eastAsia="pl-PL"/>
        </w:rPr>
        <w:t xml:space="preserve">Oborę nr 1 oraz pozostałe obiekty budowlane zaprojektowano na działce o numerze ewidencyjnym 12, obręb Pysząca. </w:t>
      </w:r>
    </w:p>
    <w:p w14:paraId="0A766CE6"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7C3C7929"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bookmarkStart w:id="10" w:name="_Hlk200958472"/>
      <w:r w:rsidRPr="00AE7261">
        <w:rPr>
          <w:rFonts w:ascii="Calibri" w:eastAsia="Times New Roman" w:hAnsi="Calibri" w:cs="Calibri"/>
          <w:sz w:val="28"/>
          <w:szCs w:val="28"/>
          <w:lang w:eastAsia="pl-PL"/>
        </w:rPr>
        <w:lastRenderedPageBreak/>
        <w:t xml:space="preserve">W związku z realizacją przedsięwzięcia w istniejących budynkach inwentarskich zostanie zmieniony rozkład poszczególnych grup wiekowych bydła mlecznego, a krowy dojne i zasuszone zostaną przeniesione do projektowanej obory nr 1. </w:t>
      </w:r>
      <w:bookmarkEnd w:id="10"/>
      <w:r w:rsidRPr="00AE7261">
        <w:rPr>
          <w:rFonts w:ascii="Calibri" w:eastAsia="Times New Roman" w:hAnsi="Calibri" w:cs="Calibri"/>
          <w:sz w:val="28"/>
          <w:szCs w:val="28"/>
          <w:lang w:eastAsia="pl-PL"/>
        </w:rPr>
        <w:t>Zaplanowano, że po realizacji przedsięwzięcia, w oborze nr 1 powierzchnia przeznaczona na utrzymanie zwierząt będzie wynosiła nie więcej niż 915,3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Na powierzchni tej zostanie wydzielonych 240 legowisk dla krów dojnych o łącznej powierzchni nie większej niż 748,8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i kojec ścielony dla krów zasuszonych o powierzchni nie większej niż 166,5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W oborze K łączna powierzchnia przeznaczona na utrzymanie zwierząt wyniesie nie więcej niż 446,14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Na powierzchni tej znajdą się 53 legowiska indywidualne dla jałówek do siódmego miesiąca ciąży o łącznej powierzchni nie większej niż 104,94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i cztery kojce ścielone dla jałówek o łącznej powierzchni nie większej niż 341,2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W oborze H przewidziano dwa kojce ścielone dla jałówek od pół roku do roku i cieląt do pół roku o łącznej powierzchni nie większej niż 126,9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W oborze G znajdzie się 40 indywidualnych kojców dla cieląt o łącznej powierzchni nie większej niż 60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Po rozbudowie w gospodarstwie rolnym będzie utrzymywane bydło mleczne w łącznej obsadzie 453,1 DJP, to jest: 240 krów dojnych, 37 krów zasuszonych, 110 jałówek cielnych, 38 jałówek powyżej roku, 78 jałówek od pół roku do roku, 59 cieląt. </w:t>
      </w:r>
    </w:p>
    <w:p w14:paraId="37011048"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 raporcie wykazano, że </w:t>
      </w:r>
      <w:bookmarkStart w:id="11" w:name="_Hlk200958717"/>
      <w:r w:rsidRPr="00AE7261">
        <w:rPr>
          <w:rFonts w:ascii="Calibri" w:eastAsia="Times New Roman" w:hAnsi="Calibri" w:cs="Calibri"/>
          <w:sz w:val="28"/>
          <w:szCs w:val="28"/>
          <w:lang w:eastAsia="pl-PL"/>
        </w:rPr>
        <w:t>powierzchnie przeznaczone dla zwierząt będą pozwalały na utrzymanie zwierząt zgodnie z wymogami określonymi w rozporządzeniu Ministra Rolnictwa i Rozwoju Wsi z dnia 15 lutego 2010 r. w sprawie wymagań i sposobu postępowania przy utrzymywaniu gatunków zwierząt gospodarskich, dla których normy ochrony zostały określone w przepisach Unii Europejskiej (Dz. U. Nr 56, poz. 344, Nr 171, poz. 1157 i z 2011 r. Nr 282, poz. 1652) - w zakresie dotyczącym utrzymania cieląt oraz w rozporządzeniu Ministra Rolnictwa i Rozwoju Wsi z dnia 28 czerwca 2010 r. w sprawie minimalnych warunków utrzymywania gatunków zwierząt gospodarskich inne niż te, dla których normy ochrony zostały określone w przepisach Unii Europejskiej (Dz. U. z 2019 r. poz. 1966) - dla bydła z wyjątkiem cieląt.</w:t>
      </w:r>
      <w:bookmarkEnd w:id="11"/>
      <w:r w:rsidRPr="00AE7261">
        <w:rPr>
          <w:rFonts w:ascii="Calibri" w:eastAsia="Times New Roman" w:hAnsi="Calibri" w:cs="Calibri"/>
          <w:sz w:val="28"/>
          <w:szCs w:val="28"/>
          <w:lang w:eastAsia="pl-PL"/>
        </w:rPr>
        <w:t xml:space="preserve"> Ze względu na dobrostan zwierząt oraz założenia przyjęte do analizy oddziaływania przedsięwzięcia na środowisko, zaproponowane w raporcie powierzchnie przeznaczone dla zwierząt oraz obsada zwierząt znalazły odzwierciedlenie w warunkach decyzji, zgodnie z postanowieniami Regionalnego Dyrektora Ochrony Środowiska w Poznaniu i Dyrektora Regionalnego Zarządu Gospodarki Wodnej Państwowego Gospodarstwa Wodnego Wody Polskie w Poznaniu oraz stanowią maksymalną możliwą obsadę zwierząt w gospodarstwie rolnym.</w:t>
      </w:r>
    </w:p>
    <w:p w14:paraId="3EDA73B2"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 xml:space="preserve">Z raportu wynika, że w oborze nr 1 zwierzęta będą utrzymywane na płytkiej ściółce i bezściołowo, podobnie w oborze K. Natomiast w oborach G i H zwierzęta są i będą utrzymywane na płytkiej ściółce. W związku z tym w gospodarstwie rolnym nadal będą wytwarzane obornik, gnojówka i gnojowica. </w:t>
      </w:r>
      <w:bookmarkStart w:id="12" w:name="_Hlk200959014"/>
      <w:r w:rsidRPr="00AE7261">
        <w:rPr>
          <w:rFonts w:ascii="Calibri" w:eastAsia="Times New Roman" w:hAnsi="Calibri" w:cs="Calibri"/>
          <w:sz w:val="28"/>
          <w:szCs w:val="28"/>
          <w:lang w:eastAsia="pl-PL"/>
        </w:rPr>
        <w:t>W gospodarstwie rolnym wykorzystywana jest płyta obornikowa o powierzchni około 380 m</w:t>
      </w:r>
      <w:r w:rsidRPr="00AE7261">
        <w:rPr>
          <w:rFonts w:ascii="Calibri" w:eastAsia="Times New Roman" w:hAnsi="Calibri" w:cs="Calibri"/>
          <w:sz w:val="28"/>
          <w:szCs w:val="28"/>
          <w:vertAlign w:val="superscript"/>
          <w:lang w:eastAsia="pl-PL"/>
        </w:rPr>
        <w:t>2</w:t>
      </w:r>
      <w:r w:rsidRPr="00AE7261">
        <w:rPr>
          <w:rFonts w:ascii="Calibri" w:eastAsia="Times New Roman" w:hAnsi="Calibri" w:cs="Calibri"/>
          <w:sz w:val="28"/>
          <w:szCs w:val="28"/>
          <w:lang w:eastAsia="pl-PL"/>
        </w:rPr>
        <w:t xml:space="preserve"> wraz ze zbiornikiem na gnojówkę o pojemności około 90 m</w:t>
      </w:r>
      <w:r w:rsidRPr="00AE7261">
        <w:rPr>
          <w:rFonts w:ascii="Calibri" w:eastAsia="Times New Roman" w:hAnsi="Calibri" w:cs="Calibri"/>
          <w:sz w:val="28"/>
          <w:szCs w:val="28"/>
          <w:vertAlign w:val="superscript"/>
          <w:lang w:eastAsia="pl-PL"/>
        </w:rPr>
        <w:t>3</w:t>
      </w:r>
      <w:bookmarkEnd w:id="12"/>
      <w:r w:rsidRPr="00AE7261">
        <w:rPr>
          <w:rFonts w:ascii="Calibri" w:eastAsia="Times New Roman" w:hAnsi="Calibri" w:cs="Calibri"/>
          <w:sz w:val="28"/>
          <w:szCs w:val="28"/>
          <w:lang w:eastAsia="pl-PL"/>
        </w:rPr>
        <w:t>, a pod oborą K kanały gnojowicowe o łącznej pojemności około 400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W ramach przedsięwzięcia zaplanowano wykonanie kanałów gnojowicowych pod projektowaną oborą nr 1 o łącznej pojemności nie mniejszej niż 1 000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xml:space="preserve"> oraz posadowienie zbiornika na gnojówkę i gnojowicę o pojemności nie mniejszej niż 2 600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xml:space="preserve">. Zatem gnojowica magazynowana będzie w projektowanym zbiorniku na gnojówkę i gnojowicę, w kanałach gnojowicowych pod oborą K oraz w kanałach gnojowicowych pod oborą nr 1. W urządzeniach tych magazynowana będzie też gnojówka, która dodatkowo będzie magazynowana w istniejącym zbiorniku pod płytą obornikową. Obornik będzie magazynowany na istniejącej płycie obornikowej. Z raportu wynika, że planowane urządzenia do przechowywania ciekłych nawozów naturalnych będą umożliwiały przechowywanie gnojówki i gnojowicy przez okres sześciu miesięcy, a płyta obornikowa będzie wystarczająca dla magazynowania obornika przez okres co najmniej pięciu miesięcy. Powyższe założenia wpisano jako warunek realizacji przedsięwzięcia, zgodnie z postanowieniami </w:t>
      </w:r>
      <w:bookmarkStart w:id="13" w:name="_Hlk200021026"/>
      <w:r w:rsidRPr="00AE7261">
        <w:rPr>
          <w:rFonts w:ascii="Calibri" w:eastAsia="Times New Roman" w:hAnsi="Calibri" w:cs="Calibri"/>
          <w:sz w:val="28"/>
          <w:szCs w:val="28"/>
          <w:lang w:eastAsia="pl-PL"/>
        </w:rPr>
        <w:t>Regionalnego Dyrektora Ochrony Środowiska w Poznaniu oraz Dyrektora Regionalnego Zarządu Gospodarki Wodnej Państwowego Gospodarstwa Wodnego Wody Polskie w Poznaniu</w:t>
      </w:r>
      <w:bookmarkEnd w:id="13"/>
      <w:r w:rsidRPr="00AE7261">
        <w:rPr>
          <w:rFonts w:ascii="Calibri" w:eastAsia="Times New Roman" w:hAnsi="Calibri" w:cs="Calibri"/>
          <w:sz w:val="28"/>
          <w:szCs w:val="28"/>
          <w:lang w:eastAsia="pl-PL"/>
        </w:rPr>
        <w:t xml:space="preserve">. W decyzji wskazano minimalną pojemność projektowanego zbiornika na gnojówkę i gnojowicę, która zapewni spełnienie powyższego. </w:t>
      </w:r>
      <w:bookmarkStart w:id="14" w:name="_Hlk200959460"/>
      <w:r w:rsidRPr="00AE7261">
        <w:rPr>
          <w:rFonts w:ascii="Calibri" w:eastAsia="Times New Roman" w:hAnsi="Calibri" w:cs="Calibri"/>
          <w:sz w:val="28"/>
          <w:szCs w:val="28"/>
          <w:lang w:eastAsia="pl-PL"/>
        </w:rPr>
        <w:t>Powstałe nawozy naturalne zostaną wykorzystane na gruntach rolnych będących we władaniu wnioskodawcy, a nadwyżki zbywane będą innym rolnikom na podstawie stosownych umów.</w:t>
      </w:r>
    </w:p>
    <w:bookmarkEnd w:id="14"/>
    <w:p w14:paraId="5D954FD3"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Zgodnie z rozporządzeniem Dyrektora Regionalnego Zarządu Gospodarki Wodnej w Poznaniu z dnia 28 lutego 2017 r. w sprawie określenia w regionie wodnym Warty wód powierzchniowych i podziemnych wrażliwych na zanieczyszczenie związkami azotu ze źródeł rolniczych oraz obszaru szczególnie narażonego, z którego odpływ azotu ze źródeł rolniczych do tych wód należy ograniczyć (Dz. Urz. Woj. Wielk. poz. 1638) oraz rozporządzeniem Dyrektora Regionalnego Zarządu Gospodarki Wodnej we Wrocławiu z dnia 1 lutego 2017 r. w sprawie określenia w regionie wodnym Środkowej Odry wód powierzchniowych i podziemnych wrażliwych na zanieczyszczenie związkami azotu ze źródeł rolniczych oraz obszaru szczególnie narażonego, z którego odpływ azotu ze źródeł rolniczych do tych </w:t>
      </w:r>
      <w:r w:rsidRPr="00AE7261">
        <w:rPr>
          <w:rFonts w:ascii="Calibri" w:eastAsia="Times New Roman" w:hAnsi="Calibri" w:cs="Calibri"/>
          <w:sz w:val="28"/>
          <w:szCs w:val="28"/>
          <w:lang w:eastAsia="pl-PL"/>
        </w:rPr>
        <w:lastRenderedPageBreak/>
        <w:t>wód należy ograniczyć (Dz. Urz. Woj. Wielk. poz. 1153) regiony wodne Warty i Środkowej Odry w całości zostały określone jako obszar szczególnie narażony na zanieczyszczenie związkami azotu ze źródeł rolniczych, z którego odpływ azotu ze źródeł rolniczych do wód należy ograniczyć. W rozporządzeniu Rady Ministrów z dnia 31 stycznia 2023 r. w sprawie "Programu działań mających na celu zmniejszenie zanieczyszczenia wód azotanami pochodzącymi ze źródeł rolniczych oraz zapobieganie dalszemu zanieczyszczeniu" (Dz. U. poz. 244), zostały określone szczegółowe wymagania, dotyczące rolniczego wykorzystania nawozów, sposobu ich przechowywania i stosowania. Planowany sposób postępowania z nawozami naturalnymi jest zgodny z Programem działań.</w:t>
      </w:r>
    </w:p>
    <w:p w14:paraId="44243B87"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Na podstawie raportu i ogólnodostępnych informacji ustalono, że w podłożu terenu przedsięwzięcia występują piaski rzeczne tarasów zalewowych do 4,0 m n.p.rzeki i namuły piaszczyste. Pierwszy poziom wodonośny, który jest jednocześnie głównym użytkowym poziomem wodonośnym, występuje na głębokości nie mniejszej niż 2 m p.p.t. i nie większej niż 5 m p.p.t. Poziom ten nie jest izolowany utworami słabo przepuszczalnymi i jest on w dużym stopniu zagrożony zanieczyszczeniem. </w:t>
      </w:r>
    </w:p>
    <w:p w14:paraId="3D0C76C5"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Teren przedsięwzięcia jest zlokalizowany na obszarze głównego zbiornika wód podziemnych nr 150 Pradolina Warszawa – Berlin. W promieniu 500 m od terenu przedsięwzięcia brak jest ujęć wód podziemnych. Teren przedsięwzięcia nie znajduje się na terenach zagrożonych powodzią. W odległości około 800 m w kierunku północnym od granicy działki o numerze ewidencyjnym 12, obręb Pysząca, przepływa rzeka Warta, a w odległości około 24 m w kierunku południowym od granicy działki o numerze ewidencyjnym 14, obręb Pysząca, przepływa rzeka Pysząca. W pobliżu projektowanej obory nr 1, od strony północno-wschodniej oraz południowej zlokalizowane są zbiorniki wodne wykorzystywane do rekreacyjnego wędkarstwa.</w:t>
      </w:r>
    </w:p>
    <w:p w14:paraId="22353D68"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Zgodnie z raportem woda w gospodarstwie rolnym jest i będzie wykorzystywana na cele produkcyjne, to jest pojenie bydła oraz porządkowe - do mycia robota udojowego oraz zbiornika na mleko. Zaopatrzenie w wodę jest i będzie odbywało się z gminnej sieci wodociągowej. Powyższe założenie wpisano jako warunek realizacji przedsięwzięcia, zgodnie z postanowieniami Regionalnego Dyrektora Ochrony Środowiska w Poznaniu oraz Dyrektora Regionalnego Zarządu Gospodarki Wodnej Państwowego Gospodarstwa Wodnego Wody Polskie w Poznaniu. </w:t>
      </w:r>
    </w:p>
    <w:p w14:paraId="6F819073"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 xml:space="preserve">W celu minimalizacji zużycia wody zobowiązano wnioskodawcę, aby zastosował system poideł posiadających zabezpieczenie przed niekontrolowanym wyciekiem wody, prowadził regularne odczyty zużycia wody, a wykryte nieszczelności wewnętrznej sieci wodociągowej niezwłocznie naprawiał. </w:t>
      </w:r>
      <w:bookmarkStart w:id="15" w:name="_Hlk200965372"/>
      <w:r w:rsidRPr="00AE7261">
        <w:rPr>
          <w:rFonts w:ascii="Calibri" w:eastAsia="Times New Roman" w:hAnsi="Calibri" w:cs="Calibri"/>
          <w:sz w:val="28"/>
          <w:szCs w:val="28"/>
          <w:lang w:eastAsia="pl-PL"/>
        </w:rPr>
        <w:t>Ścieki bytowe będą gromadzone w szczelnym zbiorniku bezodpływowym o pojemności około 5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a następnie wywożone do oczyszczalni ścieków. Budynki inwentarskie będą czyszczone bez użycia wody i generowania ścieków. Ścieki technologiczne powstające w związku z utrzymaniem czystości urządzeń związanych z udojem i magazynowaniem mleka będą odprowadzane do szczelnego, zakrytego zbiornika na odcieki technologiczne o pojemności około 15 m</w:t>
      </w:r>
      <w:r w:rsidRPr="00AE7261">
        <w:rPr>
          <w:rFonts w:ascii="Calibri" w:eastAsia="Times New Roman" w:hAnsi="Calibri" w:cs="Calibri"/>
          <w:sz w:val="28"/>
          <w:szCs w:val="28"/>
          <w:vertAlign w:val="superscript"/>
          <w:lang w:eastAsia="pl-PL"/>
        </w:rPr>
        <w:t>3</w:t>
      </w:r>
      <w:r w:rsidRPr="00AE7261">
        <w:rPr>
          <w:rFonts w:ascii="Calibri" w:eastAsia="Times New Roman" w:hAnsi="Calibri" w:cs="Calibri"/>
          <w:sz w:val="28"/>
          <w:szCs w:val="28"/>
          <w:lang w:eastAsia="pl-PL"/>
        </w:rPr>
        <w:t xml:space="preserve">, a następnie wywożone do oczyszczalni ścieków. Wody opadowe i roztopowe z terenu gospodarstwa rolnego będą tak jak dotychczas odprowadzane w sposób niezorganizowany do ziemi, w obrębie działek objętych wnioskiem. </w:t>
      </w:r>
      <w:bookmarkEnd w:id="15"/>
      <w:r w:rsidRPr="00AE7261">
        <w:rPr>
          <w:rFonts w:ascii="Calibri" w:eastAsia="Times New Roman" w:hAnsi="Calibri" w:cs="Calibri"/>
          <w:sz w:val="28"/>
          <w:szCs w:val="28"/>
          <w:lang w:eastAsia="pl-PL"/>
        </w:rPr>
        <w:t xml:space="preserve">Założenia przedstawione przez wnioskodawcę dotyczące sposobu zagospodarowania wód opadowych i roztopowych oraz ścieków, w celu ochrony środowiska gruntowo-wodnego, znalazły odzwierciedlenie w warunkach realizacji przedmiotowego przedsięwzięcia, zgodnie z postanowieniami Regionalnego Dyrektora Ochrony Środowiska w Poznaniu oraz Dyrektora Regionalnego Zarządu Gospodarki Wodnej Państwowego Gospodarstwa Wodnego Wody Polskie w Poznaniu. Ponadto, zgodnie z postanowieniem Dyrektora Regionalnego Zarządu Gospodarki Wodnej w decyzji wskazano warunki, aby wszystkie projektowane i istniejące zbiorniki na nawozy naturalne i ścieki oraz miejsce załadunku obornika na przyczepy pojazdów były szczelne. </w:t>
      </w:r>
    </w:p>
    <w:p w14:paraId="588F8B87"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 raporcie przedstawione zostały rodzaje i ilości odpadów wytwarzanych na etapach realizacji, eksploatacji i likwidacji przedsięwzięcia oraz sposób ich dalszego zagospodarowania. W związku z realizacją przedsięwzięcia będą wytwarzane odpady niebezpieczne oraz inne niż niebezpieczne. Na podstawie raportu ustalono, że wszystkie odpady będą magazynowane selektywnie, w przystosowanych pojemnikach, w wyznaczonych miejscach na terenie gospodarstwa rolnego. Odpady niebezpieczne będą magazynowane na szczelnej posadzce. Wszystkie odpady będą zagospodarowywane zgodnie z hierarchią postępowania z odpadami. </w:t>
      </w:r>
    </w:p>
    <w:p w14:paraId="15E8AEB6"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1A83287A" w14:textId="77777777" w:rsidR="00AE7261" w:rsidRPr="00AE7261" w:rsidRDefault="00AE7261" w:rsidP="00AE7261">
      <w:pPr>
        <w:spacing w:after="120" w:line="240" w:lineRule="auto"/>
        <w:ind w:firstLine="708"/>
        <w:rPr>
          <w:rFonts w:ascii="Calibri" w:eastAsia="Times New Roman" w:hAnsi="Calibri" w:cs="Calibri"/>
          <w:b/>
          <w:bCs/>
          <w:sz w:val="28"/>
          <w:szCs w:val="28"/>
          <w:lang w:eastAsia="pl-PL"/>
        </w:rPr>
      </w:pPr>
      <w:r w:rsidRPr="00AE7261">
        <w:rPr>
          <w:rFonts w:ascii="Calibri" w:eastAsia="Times New Roman" w:hAnsi="Calibri" w:cs="Calibri"/>
          <w:sz w:val="28"/>
          <w:szCs w:val="28"/>
          <w:lang w:eastAsia="pl-PL"/>
        </w:rPr>
        <w:lastRenderedPageBreak/>
        <w:t xml:space="preserve">Jak wynika z raportu padłe zwierzęta i ubite z konieczności będą przechowywane na terenie gospodarstwa rolnego w zamkniętym, szczelnym konfiskatorze, a następnie przekazywane uprawnionym podmiotom do zagospodarowania. Powyższe założenie zostało ujęte w decyzji jako warunek realizacji przedsięwzięcia, zgodnie z postanowieniem Regionalnego Dyrektora Ochrony Środowiska w Poznaniu. Wnioskodawca będzie przekazywał padłe lub ubite z konieczności sztuki jako uboczny produkt pochodzenia zwierzęcego, a nie jako odpad. W związku z przedsięwzięciem będą powstawać odpady weterynaryjne. Wnioskodawca nie będzie magazynował tego typu odpadów. </w:t>
      </w:r>
      <w:r w:rsidRPr="00AE7261">
        <w:rPr>
          <w:rFonts w:ascii="Calibri" w:eastAsia="Times New Roman" w:hAnsi="Calibri" w:cs="Calibri"/>
          <w:b/>
          <w:bCs/>
          <w:sz w:val="28"/>
          <w:szCs w:val="28"/>
          <w:lang w:eastAsia="pl-PL"/>
        </w:rPr>
        <w:t>Przy założeniu, że wnioskodawca będzie realizował planowane przedsięwzięcie zgodnie z zapisami w raporcie i warunkami decyzji, przedsięwzięcie nie będzie naruszać prawa w zakresie gospodarki odpadami.</w:t>
      </w:r>
    </w:p>
    <w:p w14:paraId="34B4982D"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Po przeanalizowaniu informacji dotyczących budowy geologicznej, warunków hydrogeologicznych, biorąc pod uwagę planowane rozwiązania chroniące środowisko gruntowo-wodne, w tym rozwiązania w zakresie gospodarki wodno-ściekowej, magazynowania i postępowania z odpadami oraz odchodami zwierząt </w:t>
      </w:r>
      <w:r w:rsidRPr="00AE7261">
        <w:rPr>
          <w:rFonts w:ascii="Calibri" w:eastAsia="Times New Roman" w:hAnsi="Calibri" w:cs="Calibri"/>
          <w:b/>
          <w:bCs/>
          <w:sz w:val="28"/>
          <w:szCs w:val="28"/>
          <w:lang w:eastAsia="pl-PL"/>
        </w:rPr>
        <w:t>nie przewiduje się znacząco negatywnego oddziaływania przedmiotowego przedsięwzięcia na środowisko gruntowo-wodne, w tym wody podziemne i powierzchniowe</w:t>
      </w:r>
      <w:r w:rsidRPr="00AE7261">
        <w:rPr>
          <w:rFonts w:ascii="Calibri" w:eastAsia="Times New Roman" w:hAnsi="Calibri" w:cs="Calibri"/>
          <w:sz w:val="28"/>
          <w:szCs w:val="28"/>
          <w:lang w:eastAsia="pl-PL"/>
        </w:rPr>
        <w:t>.</w:t>
      </w:r>
    </w:p>
    <w:p w14:paraId="0F3ED79C"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W raporcie przedstawiono oddziaływanie przedmiotowego przedsięwzięcia na stan jakości powietrza po jego zrealizowaniu</w:t>
      </w:r>
      <w:bookmarkStart w:id="16" w:name="_Hlk201574151"/>
      <w:r w:rsidRPr="00AE7261">
        <w:rPr>
          <w:rFonts w:ascii="Calibri" w:eastAsia="Times New Roman" w:hAnsi="Calibri" w:cs="Calibri"/>
          <w:sz w:val="28"/>
          <w:szCs w:val="28"/>
          <w:lang w:eastAsia="pl-PL"/>
        </w:rPr>
        <w:t xml:space="preserve">. Źródłem zorganizowanej emisji substancji do powietrza będą systemy wentylacyjne planowanej obory nr 1 i istniejących budynków inwentarskich, którymi będą wyprowadzane substancje pochodzące z utrzymywania bydła mlecznego, w tym substancje odorotwórcze powstające w wyniku rozkładu produktów przemiany materii tych zwierząt. Źródłem emisji niezorganizowanej do powietrza będzie emisja substancji pochodząca z procesu spalania paliw w silnikach pojazdów poruszających się po terenie przedsięwzięcia. Ponadto będzie występować emisja zanieczyszczeń pochodząca z przechowywania obornika na istniejącej płycie obornikowej. Gnojowica pochodząca z projektowanej obory nr 1 i istniejących budynków inwentarskich będzie magazynowana w kanałach gnojowicowych umieszczonych pod oborami oraz w projektowanym szczelnym zbiorniku bezodpływowym, w związku z czym emisja substancji do powietrza </w:t>
      </w:r>
      <w:r w:rsidRPr="00AE7261">
        <w:rPr>
          <w:rFonts w:ascii="Calibri" w:eastAsia="Calibri" w:hAnsi="Calibri" w:cs="Times New Roman"/>
          <w:kern w:val="2"/>
          <w:sz w:val="28"/>
          <w14:ligatures w14:val="standardContextual"/>
        </w:rPr>
        <w:t>z przechowywania</w:t>
      </w:r>
      <w:r w:rsidRPr="00AE7261">
        <w:rPr>
          <w:rFonts w:ascii="Calibri" w:eastAsia="Times New Roman" w:hAnsi="Calibri" w:cs="Calibri"/>
          <w:sz w:val="28"/>
          <w:szCs w:val="28"/>
          <w:lang w:eastAsia="pl-PL"/>
        </w:rPr>
        <w:t xml:space="preserve"> gnojowicy została uwzględniona w obliczeniach jako emisja z budynku inwentarskiego. Gnojówka powstająca w budynkach inwentarskich jest i będzie magazynowana w szczelnym zbiorniku oraz w kanałach gnojowicowych.</w:t>
      </w:r>
    </w:p>
    <w:p w14:paraId="78E2264E"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Proces odbioru gnojowicy i gnojówki do pojazdów asenizacyjnych będzie odbywał się z wykorzystaniem hermetycznego złącza, co znalazło swoje odzwierciedlenie w warunku decyzji, zatem nie przewiduje się, aby ich odbiór stanowił źródło emisji substancji do powietrza. Obornik z pomieszczeń przeznaczonych do utrzymywania zwierząt na płytkiej ściółce będzie usuwany na zewnątrz i wywożony na istniejącą płytę obornikową. Obornik podczas transportu będzie przykrywany na przykład plandeką.</w:t>
      </w:r>
    </w:p>
    <w:p w14:paraId="16E465BD"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Z raportu wynika, że w gospodarstwie rolnym stosowane jest żywienie wielofazowe. Pasza dostarczana jest i będzie do silosów specjalnymi pojazdami – paszowozami. W raporcie wskazano, że napełnianie silosów paszowych nie będzie źródłem emisji pyłu do powietrza, z uwagi na to, że rury odpowietrzające z silosów będą skierowane wylotem w dół, a podczas załadunku pasz do silosów nakładane są na nie filtry workowe. Powyższe rozwiązanie wpisano jako warunek w decyzji, zgodnie z postanowieniem Regionalnego Dyrektora Ochrony Środowiska w Poznaniu. Ponadto kiszonki magazynowane na terenie gospodarstwa rolnego nie będą źródłem emisji substancji do powietrza.</w:t>
      </w:r>
    </w:p>
    <w:p w14:paraId="531FD09C"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Z raportu wynika, że projektowana obora i istniejące budynki inwentarskie nie będą ogrzewane z wykorzystaniem źródeł powodujących emisję substancji do powietrza. Z przedstawionych obliczeń rozprzestrzeniania substancji w powietrzu wynika, że </w:t>
      </w:r>
      <w:r w:rsidRPr="00AE7261">
        <w:rPr>
          <w:rFonts w:ascii="Calibri" w:eastAsia="Times New Roman" w:hAnsi="Calibri" w:cs="Calibri"/>
          <w:b/>
          <w:bCs/>
          <w:sz w:val="28"/>
          <w:szCs w:val="28"/>
          <w:lang w:eastAsia="pl-PL"/>
        </w:rPr>
        <w:t>emisje substancji do powietrza z wyżej wymienionych źródeł nie będą powodować przekroczenia wartości odniesienia substancji w powietrzu oraz dopuszczalnych częstości przekroczeń</w:t>
      </w:r>
      <w:r w:rsidRPr="00AE7261">
        <w:rPr>
          <w:rFonts w:ascii="Calibri" w:eastAsia="Times New Roman" w:hAnsi="Calibri" w:cs="Calibri"/>
          <w:sz w:val="28"/>
          <w:szCs w:val="28"/>
          <w:lang w:eastAsia="pl-PL"/>
        </w:rPr>
        <w:t xml:space="preserve"> określonych w rozporządzeniu Ministra Środowiska z dnia 26 stycznia 2010 r. w sprawie wartości odniesienia dla niektórych substancji w powietrzu (Dz. U. Nr 16, poz. 87) poza terenem, do którego wnioskodawca posiada tytuł prawny, a także że </w:t>
      </w:r>
      <w:r w:rsidRPr="00AE7261">
        <w:rPr>
          <w:rFonts w:ascii="Calibri" w:eastAsia="Times New Roman" w:hAnsi="Calibri" w:cs="Calibri"/>
          <w:b/>
          <w:bCs/>
          <w:sz w:val="28"/>
          <w:szCs w:val="28"/>
          <w:lang w:eastAsia="pl-PL"/>
        </w:rPr>
        <w:t>będą dotrzymane standardy jakości powietrza</w:t>
      </w:r>
      <w:r w:rsidRPr="00AE7261">
        <w:rPr>
          <w:rFonts w:ascii="Calibri" w:eastAsia="Times New Roman" w:hAnsi="Calibri" w:cs="Calibri"/>
          <w:sz w:val="28"/>
          <w:szCs w:val="28"/>
          <w:lang w:eastAsia="pl-PL"/>
        </w:rPr>
        <w:t xml:space="preserve"> określone w rozporządzeniu Ministra Środowiska z dnia 24 sierpnia 2012 r. w sprawie poziomów niektórych substancji w powietrzu (Dz. U. z 2021 r. poz. 845), a w związku z tym </w:t>
      </w:r>
      <w:r w:rsidRPr="00AE7261">
        <w:rPr>
          <w:rFonts w:ascii="Calibri" w:eastAsia="Times New Roman" w:hAnsi="Calibri" w:cs="Calibri"/>
          <w:b/>
          <w:bCs/>
          <w:sz w:val="28"/>
          <w:szCs w:val="28"/>
          <w:lang w:eastAsia="pl-PL"/>
        </w:rPr>
        <w:t>będą spełnione wymagania w zakresie ochrony powietrza określone w przepisach prawa</w:t>
      </w:r>
      <w:r w:rsidRPr="00AE7261">
        <w:rPr>
          <w:rFonts w:ascii="Calibri" w:eastAsia="Times New Roman" w:hAnsi="Calibri" w:cs="Calibri"/>
          <w:sz w:val="28"/>
          <w:szCs w:val="28"/>
          <w:lang w:eastAsia="pl-PL"/>
        </w:rPr>
        <w:t xml:space="preserve">. </w:t>
      </w:r>
      <w:bookmarkEnd w:id="16"/>
      <w:r w:rsidRPr="00AE7261">
        <w:rPr>
          <w:rFonts w:ascii="Calibri" w:eastAsia="Times New Roman" w:hAnsi="Calibri" w:cs="Calibri"/>
          <w:sz w:val="28"/>
          <w:szCs w:val="28"/>
          <w:lang w:eastAsia="pl-PL"/>
        </w:rPr>
        <w:t>Należy ponadto wskazać, że ewentualne skumulowane oddziaływanie planowanego przedsięwzięcia z innymi przedsięwzięciami znajdującymi się w sąsiedztwie zostało ocenione poprzez uwzględnienie w przedstawionych obliczeniach aktualnego stanu jakości powietrza, co wynika z referencyjnej metodyki modelowania poziomów substancji w powietrzu.</w:t>
      </w:r>
    </w:p>
    <w:p w14:paraId="0692DF6B"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4B91D12E"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 xml:space="preserve">W celu ograniczenia wpływu przedsięwzięcia na środowisko w zakresie emisji substancji do powietrza wnioskodawca zapewni czystość wewnątrz oraz na zewnątrz budynków inwentarskich oraz odpowiednią temperaturę i wilgotność wewnątrz tych budynków poprzez sprawny system wentylacji grawitacyjnej. Z uwagi na założenia przyjęte w raporcie, zobowiązano wnioskodawcę, aby projektowaną oborę nr 1 wentylował z wykorzystaniem świetlika kalenicowego umieszczonego na przyjętej minimalnej wysokości, nie ogrzewał obory z wykorzystaniem źródeł powodujących emisję substancji do powietrza oraz realizował odbiór nawozów płynnych z wykorzystaniem hermetycznego złącza, zgodnie z postanowieniami Regionalnego Dyrektora Ochrony Środowiska w Poznaniu oraz Dyrektora Regionalnego Zarządu Gospodarki Wodnej Państwowego Gospodarstwa Wodnego Wody Polskie w Poznaniu. </w:t>
      </w:r>
    </w:p>
    <w:p w14:paraId="3412AC3A"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Z raportu wynika, że wnioskodawca zaplanował wykonanie nasadzeń zieleni izolacyjnej wzdłuż części wschodnich granic działek objętych wnioskiem. Mając powyższe na uwadze, w decyzji nałożono warunek, aby wnioskodawca zapewnił zieleń izolacyjną składającą się z drzew i krzewów zimozielonych, to jest zieleń wielopiętrową, złożoną z gatunków rodzimych o gęstym poszyciu, gwarantującą długotrwałe utrzymanie zieleni, odporną na zanieczyszczenia, stanowiącą barierę funkcjonalną i optyczną oraz charakteryzującą się szybkim przyrostem.</w:t>
      </w:r>
    </w:p>
    <w:p w14:paraId="4B65F0BB"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Biorąc powyższe pod uwagę, a także uwzględniając wyniki analizy przedstawionej w raporcie, należy stwierdzić, że przy zastosowaniu opisanych rozwiązań, </w:t>
      </w:r>
      <w:r w:rsidRPr="00AE7261">
        <w:rPr>
          <w:rFonts w:ascii="Calibri" w:eastAsia="Times New Roman" w:hAnsi="Calibri" w:cs="Calibri"/>
          <w:b/>
          <w:bCs/>
          <w:sz w:val="28"/>
          <w:szCs w:val="28"/>
          <w:lang w:eastAsia="pl-PL"/>
        </w:rPr>
        <w:t>przedsięwzięcie nie powinno stanowić zagrożenia dla stanu jakości powietrza w rejonie zainwestowania</w:t>
      </w:r>
      <w:r w:rsidRPr="00AE7261">
        <w:rPr>
          <w:rFonts w:ascii="Calibri" w:eastAsia="Times New Roman" w:hAnsi="Calibri" w:cs="Calibri"/>
          <w:sz w:val="28"/>
          <w:szCs w:val="28"/>
          <w:lang w:eastAsia="pl-PL"/>
        </w:rPr>
        <w:t>.</w:t>
      </w:r>
    </w:p>
    <w:p w14:paraId="20D11099"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Najbliższe tereny podlegające ochronie akustycznej zgodnie z rozporządzeniem </w:t>
      </w:r>
      <w:bookmarkStart w:id="17" w:name="_Hlk201576621"/>
      <w:r w:rsidRPr="00AE7261">
        <w:rPr>
          <w:rFonts w:ascii="Calibri" w:eastAsia="Times New Roman" w:hAnsi="Calibri" w:cs="Calibri"/>
          <w:sz w:val="28"/>
          <w:szCs w:val="28"/>
          <w:lang w:eastAsia="pl-PL"/>
        </w:rPr>
        <w:t>Ministra Środowiska z dnia 14 czerwca 2007 r. w sprawie dopuszczalnych poziomów hałasu w środowisku (Dz. U. z 2014 r. poz. 112)</w:t>
      </w:r>
      <w:bookmarkEnd w:id="17"/>
      <w:r w:rsidRPr="00AE7261">
        <w:rPr>
          <w:rFonts w:ascii="Calibri" w:eastAsia="Times New Roman" w:hAnsi="Calibri" w:cs="Calibri"/>
          <w:sz w:val="28"/>
          <w:szCs w:val="28"/>
          <w:lang w:eastAsia="pl-PL"/>
        </w:rPr>
        <w:t>, stanowią tereny zabudowy mieszkaniowej jednorodzinnej zlokalizowane w kierunku północno-wschodnim, w odległości około 78 m od terenu przedsięwzięcia, na działce o numerze ewidencyjnym 31/3 obręb Pysząca.</w:t>
      </w:r>
    </w:p>
    <w:p w14:paraId="0F768F2F"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bookmarkStart w:id="18" w:name="_Hlk201575248"/>
      <w:r w:rsidRPr="00AE7261">
        <w:rPr>
          <w:rFonts w:ascii="Calibri" w:eastAsia="Times New Roman" w:hAnsi="Calibri" w:cs="Calibri"/>
          <w:sz w:val="28"/>
          <w:szCs w:val="28"/>
          <w:lang w:eastAsia="pl-PL"/>
        </w:rPr>
        <w:t xml:space="preserve">Głównymi źródłami hałasu emitowanego w wyniku funkcjonowania przedsięwzięcia będą roboty udojowe, zlewnia mleka oraz ruch pojazdów ciężkich obsługujących gospodarstwo rolne. Planuje się wyposażenie projektowanej obory nr 1 w cztery roboty udojowe o poziomie mocy akustycznej nie wyższym niż 76,9 dB każdy. Planowana do budowy zlewnia mleka będzie się znajdowała w przybudówce do głównej bryły obory. </w:t>
      </w:r>
    </w:p>
    <w:p w14:paraId="525FAA22"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3B0EACB3"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Zgodnie z raportem budynek zlewni mleka wykonany zostanie w technologii zapewniającej izolacyjność akustyczną przegród zewnętrznych ścian i dachu wynoszącą co najmniej 25 dB, a poziom hałasu wewnątrz budynku nie przekroczy 81 dB. Zlewnia mleka oraz roboty udojowe będą stanowić źródło hałasu w porach dnia i nocy. Z raportu wynika, że istniejące budynki inwentarskie oraz projektowana obora nr 1 będą wentylowane w sposób grawitacyjny. W uzupełnieniu do raportu wyjaśniono, że bytowanie krów w budynkach inwentarskich nie będzie źródłem hałasu na terenie gospodarstwa rolnego. Z uwagi na powyższe, część hodowlana budynków inwentarskich nie została uwzględniona jako powierzchniowe źródło hałasu. Na terenie gospodarstwa rolnego zlokalizowany jest agregat prądotwórczy o poziomie mocy akustycznej nie wyższym niż 97 dB, wykorzystywany w sytuacjach awaryjnych, w przypadku długotrwałego zaniku energii elektrycznej. Agregat prądotwórczy zostanie umieszczony w obudowie o izolacyjności akustycznej przegród zewnętrznych nie mniejszej niż 10 dB. Oceniając oddziaływanie hałasu powodowanego przez pojazdy w raporcie założono, że po terenie przedsięwzięcia w ciągu ośmiu najmniej korzystnych godzin pory dnia będzie poruszać się nie więcej niż pięć pojazdów ciężkich. Ruch pojazdów ciężkich po terenie przedsięwzięcia związany będzie głównie z operacjami odbioru nawozów naturalnych, ścieków, mleka, padłych zwierząt oraz transportu paszy. W porze nocy nie przewiduje się ruchu pojazdów po terenie przedsięwzięcia. W uzupełnieniu do raportu uwzględniono także hałas związany z ruchem pojazdów po terenie całego gospodarstwa rolnego.</w:t>
      </w:r>
    </w:p>
    <w:p w14:paraId="3D041A68"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Dla powyższych warunków w raporcie przedstawiono obliczenia rozprzestrzeniania się hałasu w środowisku. Z zaprezentowanej analizy akustycznej wynika, że przy spełnieniu założeń przedstawionych w raporcie, </w:t>
      </w:r>
      <w:r w:rsidRPr="00AE7261">
        <w:rPr>
          <w:rFonts w:ascii="Calibri" w:eastAsia="Times New Roman" w:hAnsi="Calibri" w:cs="Calibri"/>
          <w:b/>
          <w:bCs/>
          <w:sz w:val="28"/>
          <w:szCs w:val="28"/>
          <w:lang w:eastAsia="pl-PL"/>
        </w:rPr>
        <w:t>eksploatacja przedsięwzięcia nie spowoduje przekroczenia dopuszczalnego poziomu hałasu</w:t>
      </w:r>
      <w:r w:rsidRPr="00AE7261">
        <w:rPr>
          <w:rFonts w:ascii="Calibri" w:eastAsia="Times New Roman" w:hAnsi="Calibri" w:cs="Calibri"/>
          <w:sz w:val="28"/>
          <w:szCs w:val="28"/>
          <w:lang w:eastAsia="pl-PL"/>
        </w:rPr>
        <w:t xml:space="preserve"> określonego w rozporządzeniu Ministra Środowiska w sprawie dopuszczalnych poziomów hałasu w środowisku na granicy terenów podlegających ochronie akustycznej.</w:t>
      </w:r>
    </w:p>
    <w:bookmarkEnd w:id="18"/>
    <w:p w14:paraId="6175D747"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Warunki wpisane do decyzji, zgodnie z postanowieniem Regionalnego Dyrektora Ochrony Środowiska w Poznaniu, dotyczące ograniczenia ruchu pojazdów ciężkich wyłącznie do pory dnia i stosowania w budynkach inwentarskich wyłącznie wentylacji grawitacyjnej, wynikają bezpośrednio z założeń przyjętych do analizy akustycznej i zapewniają dotrzymanie standardów akustycznych w środowisku. </w:t>
      </w:r>
    </w:p>
    <w:p w14:paraId="00D0B449"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61A100CD"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Analiza akustyczna została przeprowadzona z założeniem wybudowania projektowanej obory nr 1 wraz ze zlewnią mleka w południowej części działki o numerze ewidencyjnym 12, obręb Pysząca i dla takiej lokalizacji nie wykazano przekroczenia standardów akustycznych w środowisku. Mając na uwadze zasadę przezorności, zważywszy na lokalizację najbliższych terenów chronionych akustycznie od strony północno-wschodniej terenu przedsięwzięcia, w warunkach decyzji zobowiązano wnioskodawcę do zachowania przyjętej w raporcie lokalizacji powyższych obiektów, zgodnie z postanowieniem Regionalnego Dyrektora Ochrony Środowiska w Poznaniu. Ponadto, zgodnie z opinią Państwowego Powiatowego Inspektora Sanitarnego w Śremie, w decyzji wskazano warunek, aby wnioskodawca nie wykonywał hałaśliwych operacji w porze nocy i ograniczył wszelkie prace związane z funkcjonowaniem gospodarstwa rolnego do pory dnia, to jest godzin od 06:00 do 22:00.</w:t>
      </w:r>
    </w:p>
    <w:p w14:paraId="78A89FB9"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bookmarkStart w:id="19" w:name="_Hlk201579927"/>
      <w:r w:rsidRPr="00AE7261">
        <w:rPr>
          <w:rFonts w:ascii="Calibri" w:eastAsia="Times New Roman" w:hAnsi="Calibri" w:cs="Calibri"/>
          <w:sz w:val="28"/>
          <w:szCs w:val="28"/>
          <w:lang w:eastAsia="pl-PL"/>
        </w:rPr>
        <w:t>W fazie realizacji przedsięwzięcia może wystąpić chwilowe niekorzystne oddziaływanie przedsięwzięcia w zakresie emisji hałasu do środowiska oraz emisji zanieczyszczeń do powietrza, w tym pyłu. Będzie to jednak oddziaływanie krótkotrwałe i odwracalne. Z raportu wynika, że prace budowlane na tym etapie zostaną ograniczone do pory dnia.</w:t>
      </w:r>
      <w:bookmarkEnd w:id="19"/>
    </w:p>
    <w:p w14:paraId="78046D0C"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Z uwagi na charakter planowanego przedsięwzięcia zakłada się, że nie będzie ono miało znaczącego negatywnego wpływu na klimat. W celu mitygacji zmian klimatu przewiduje się stosowanie odpowiedniej wentylacji oraz minimalizację emisji substancji do powietrza poprzez między innymi wywóz nawozów płynnych w sposób zhermetyzowany i dobór pasz odpowiednio zbilansowanych i dostosowanych do potrzeb energetycznych zwierząt oraz ich zapotrzebowania na białko. </w:t>
      </w:r>
    </w:p>
    <w:p w14:paraId="5CD8547A"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Przedsięwzięcie nie będzie położone na terenach zalewowych, zagrożonych wystąpieniami powodzi, czy zagrożonych ruchami masowymi ziemi. Uwzględniając przewidywany zakres i technologię prac budowlanych oraz technologię chowu zwierząt, lokalizację przedsięwzięcia oraz przyjęte rozwiązania konstrukcyjne i technologiczne obiektów i instalacji należy stwierdzić, że </w:t>
      </w:r>
      <w:r w:rsidRPr="00AE7261">
        <w:rPr>
          <w:rFonts w:ascii="Calibri" w:eastAsia="Times New Roman" w:hAnsi="Calibri" w:cs="Calibri"/>
          <w:b/>
          <w:bCs/>
          <w:sz w:val="28"/>
          <w:szCs w:val="28"/>
          <w:lang w:eastAsia="pl-PL"/>
        </w:rPr>
        <w:t>przedsięwzięcie będzie zaadaptowane do postępujących zmian klimatu.</w:t>
      </w:r>
    </w:p>
    <w:p w14:paraId="722DB48B"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5E742BBC"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bookmarkStart w:id="20" w:name="_Hlk201578816"/>
      <w:r w:rsidRPr="00AE7261">
        <w:rPr>
          <w:rFonts w:ascii="Calibri" w:eastAsia="Times New Roman" w:hAnsi="Calibri" w:cs="Calibri"/>
          <w:sz w:val="28"/>
          <w:szCs w:val="28"/>
          <w:lang w:eastAsia="pl-PL"/>
        </w:rPr>
        <w:lastRenderedPageBreak/>
        <w:t>Przedmiotowe przedsięwzięcie zlokalizowane zostanie poza obszarami chronionymi na podstawie ustawy z dnia 16 kwietnia 2004 r. o ochronie przyrody (Dz.U. 2024 r. poz. 1478 i 1940), w odległości około 700 m od najbliżej położonych obszarów Natura 2000, którymi są: obszar specjalnej ochrony ptaków Ostoja Rogalińska PLB300017 oraz specjalny obszar ochrony siedlisk Rogalińska Dolina Warty PLH300012.</w:t>
      </w:r>
    </w:p>
    <w:bookmarkEnd w:id="20"/>
    <w:p w14:paraId="29BEB339"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Teren przedsięwzięcia zlokalizowany jest poza korytarzami ekologicznymi, które zostały wyznaczone w opracowaniu: Jędrzejewski W., Nowak S., Stachura K., Skierczyński M., Mysłajek R. W., Niedziałkowski K., Jędrzejewska B., Wójcik J. M., Zalewska H., Pilot M., Górny M., Kurek R.T., Ślusarczyk R. Projekt korytarzy ekologicznych łączących Europejską Sieć Natura 2000 w Polsce. Zakład Badania Ssaków PAN, Białowieża 2011.</w:t>
      </w:r>
    </w:p>
    <w:p w14:paraId="13EE6914"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Otoczenie terenu przedsięwzięcia stanowią pola uprawne, drogi, zadrzewienia śródpolne, zbiorniki wodne wykorzystywane do rekreacyjnego wędkarstwa oraz zabudowa mieszkaniowa jednorodzinna i zagrodowa. Przez teren przedsięwzięcia przebiega droga gruntowa (działka o numerze ewidencyjnym 13, obręb Pysząca). W miejscu przeznaczonym pod projektowane obiekty i instalacje znajduje się nieużytek (plac techniczny wraz z gruntową drogą dojazdową), gdzie zlokalizowane są pryzmy ziemi, gruzu, składowane są baloty słomy i płyty betonowe. Teren ten funkcjonuje również jako parking dla maszyn rolniczych. Wnioskodawca zakłada, że planowane obiekty będą miały elewacje w jasnych, neutralnych kolorach. W porze nocy na terenie przedsięwzięcia nie będzie stosowane ciągłe oświetlenie. Wzdłuż wschodnich granic działek objętych wnioskiem przewidziano dodatkowo fragment nasadzeń zieleni izolacyjnej, co przyczyni się do ograniczenia widoczności projektowanych obiektów od strony najbliższej zabudowy mieszkaniowej. </w:t>
      </w:r>
    </w:p>
    <w:p w14:paraId="3C41CFCD"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 raporcie wskazano, że w maju 2024 r. na przedmiotowym terenie przeprowadzono inwentaryzację przyrodniczą i </w:t>
      </w:r>
      <w:r w:rsidRPr="00AE7261">
        <w:rPr>
          <w:rFonts w:ascii="Calibri" w:eastAsia="Times New Roman" w:hAnsi="Calibri" w:cs="Calibri"/>
          <w:b/>
          <w:bCs/>
          <w:sz w:val="28"/>
          <w:szCs w:val="28"/>
          <w:lang w:eastAsia="pl-PL"/>
        </w:rPr>
        <w:t>nie stwierdzono występowania chronionych lub zagrożonych gatunków roślin i grzybów oraz siedlisk przyrodniczych</w:t>
      </w:r>
      <w:r w:rsidRPr="00AE7261">
        <w:rPr>
          <w:rFonts w:ascii="Calibri" w:eastAsia="Times New Roman" w:hAnsi="Calibri" w:cs="Calibri"/>
          <w:sz w:val="28"/>
          <w:szCs w:val="28"/>
          <w:lang w:eastAsia="pl-PL"/>
        </w:rPr>
        <w:t xml:space="preserve">. W sąsiedztwie planowanego przedsięwzięcia odnotowano pojedyncze osobniki zająca szaraka Lepus europaeus. Spośród fauny chronionej na badanym terenie (przedmiotowe działki, sąsiadujące grunty orne, zabudowania gospodarcze i otaczająca je zieleń przydomowa) stwierdzono przede wszystkim przedstawicieli gatunków ptaków, to jest: w obrębie gruntów rolnych: skowronek Alauda arvensis (pięć stanowisk, wszystkie poza zasięgiem bezpośredniego oddziaływania przedsięwzięcia), potrzeszcz Emberiza calandra (trzy stanowiska, w tym jedno w bezpośrednim zasięgu oddziaływania przedsięwzięcia), dzierlatka Galerida cristata (trzy </w:t>
      </w:r>
      <w:r w:rsidRPr="00AE7261">
        <w:rPr>
          <w:rFonts w:ascii="Calibri" w:eastAsia="Times New Roman" w:hAnsi="Calibri" w:cs="Calibri"/>
          <w:sz w:val="28"/>
          <w:szCs w:val="28"/>
          <w:lang w:eastAsia="pl-PL"/>
        </w:rPr>
        <w:lastRenderedPageBreak/>
        <w:t>stanowiska, w tym jedno w bezpośrednim zasięgu oddziaływania przedsięwzięcia); w obrębie zakrzewień i zadrzewień śródpolnych: trznadel Emberiza citrinella (jedno stanowisko), cierniówka Sylvia communis (jedno stanowisko), kapturka Sylvia atricapilla (jedno stanowisko), gajówka Sylvia borin (jedno stanowisko), piegża Sylvia curruca (jedno stanowisko), szpak Sturnus vulgaris (jedno stanowisko), słowik rdzawy Luscinia megarynchos (jedno stanowisko), kukułka Cuculus canorus (jedno stanowisko), wróbel Passer montanus (jedno stanowisko); w obrębie zabudowań gospodarstwa rolnego: pliszka siwa Motacilla alba (jedno stanowisko), wróbel Passer domesticus oraz dymówka Hirundo rustica. Ze względu na termin i ilość kontroli można zakwalifikować status powyższych obserwacji jako gatunki prawdopodobnie lęgowe na badanym terenie. W okolicy miejsca ich stwierdzenia występują alternatywne i odpowiednie dla nich siedliska. W wyniku realizacji przedsięwzięcia częściowemu zniszczeniu ulegnie siedlisko lęgowe jednej pary potrzeszcza i jednej pary dzierlatki (część rewirów), ale mając na uwadze charakter środowisk występujących w bezpośrednim sąsiedztwie oraz preferencje siedliskowe wymienionych gatunków ocenia się, że oddziaływanie na ich lokalne populacje w przypadku realizacji przedsięwzięcia nie będzie miało istotnie negatywnego wpływu. Aby uniknąć zniszczenia gniazd ptaków nałożono w decyzji warunek sprawdzenia terenu przed rozpoczęciem prac budowlanych, zgodnie z postanowieniem Regionalnego Dyrektora Ochrony Środowiska w Poznaniu.</w:t>
      </w:r>
    </w:p>
    <w:p w14:paraId="43CDB367"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Planowane przedsięwzięcie wymaga przekształcenia powierzchni ziemi na terenie wydzielonym pod budowę obory nr 1 oraz pozostałych obiektów i instalacji. Faza budowy wiązać się będzie również z możliwością uszkodzenia powierzchni ziemi przez wjeżdżające na teren przedsięwzięcia maszyny i środki transportu. By zapobiec zniszczeniu miejsc lęgowych i rozrodczych zwierząt w wyniku realizacji przedsięwzięcia, zgodnie z postanowieniem Regionalnego Dyrektora Ochrony Środowiska w Poznaniu, nałożono w decyzji warunek, aby prace związane z przygotowaniem terenu pod budowę oraz niszczeniem roślinności zielnej (makroniwelację) wykonać poza okresem lęgowym ptaków to jest w terminie od 1 września do końca lutego.</w:t>
      </w:r>
    </w:p>
    <w:p w14:paraId="45685EA5"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 obrębie zbiornika śródpolnego znajdującego się od strony północno-wschodniej od terenu przedsięwzięcia odnotowano godowisko kompleksu żab zielonych Pelophylax esculenta complex to jest żaby jeziorkowej Pelophylax lessonae i żaby wodnej Pelophylax kl. esculentus. Stwierdzono tam około 50 godujących samców. </w:t>
      </w:r>
    </w:p>
    <w:p w14:paraId="5003ACD1"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3809B5B4"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Aby nie dopuścić do przedostawania się płazów na teren przedsięwzięcia w czasie prac budowlanych, zgodnie z postanowieniem Regionalnego Dyrektora Ochrony Środowiska w Poznaniu, nałożono w decyzji warunek wykonania tymczasowych płotków herpetologicznych wzdłuż granicy działki o numerze ewidencyjnym 12, obręb Pysząca z działką o numerze ewidencyjnym 43/2, obręb Pysząca.</w:t>
      </w:r>
    </w:p>
    <w:p w14:paraId="678C83D1"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Wnioskodawca zadeklarował, że w związku z realizacją przedsięwzięcia nie będzie dokonywał wycinki istniejących drzew. Mając na uwadze ważną rolę drzew zarówno dla lokalnego ekosystemu i klimatu, jak i wartości kulturowe, krajobrazowe, zgodnie z postanowieniem Regionalnego Dyrektora Ochrony Środowiska w Poznaniu, w decyzji nałożono warunek niedokonywania wycinki drzew w ramach realizacji przedsięwzięcia. Zgodnie z postanowieniem Regionalnego Dyrektora, w celu ochrony drzew, w decyzji nałożono szereg warunków mających na celu ich zabezpieczenie przed mechanicznymi uszkodzeniami, naruszeniem statyki. Zgodnie z postanowieniem Regionalnego Dyrektora, w decyzji nałożono także warunek chroniący florę, faunę i biotę grzybów występujących na drzewach polegający na takim zabezpieczaniu ich pni, które zapewni zachowanie występujących w ich obrębie gatunków zwierząt, roślin i grzybów i ich siedlisk. W celu ochrony ptaków lęgowych, zgodnie z postanowieniem Regionalnego Dyrektora, w decyzji nałożono warunek przeprowadzenia kontroli terenowej przed rozpoczęciem robót budowlanych, w celu wykluczenia występowania gniazd ptaków. Dodatkowo, zgodnie z postanowieniem Regionalnego Dyrektora, w decyzji nałożono warunek regularnych kontroli wykopów i uwalniania uwięzionych w nich zwierząt na etapie prowadzenia prac ziemnych.</w:t>
      </w:r>
    </w:p>
    <w:p w14:paraId="14A9E96E"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Mając na względzie lokalizację planowanego przedsięwzięcia na gruncie rolnym oraz określone w decyzji warunki realizacji przedsięwzięcia, </w:t>
      </w:r>
      <w:r w:rsidRPr="00AE7261">
        <w:rPr>
          <w:rFonts w:ascii="Calibri" w:eastAsia="Times New Roman" w:hAnsi="Calibri" w:cs="Calibri"/>
          <w:b/>
          <w:bCs/>
          <w:sz w:val="28"/>
          <w:szCs w:val="28"/>
          <w:lang w:eastAsia="pl-PL"/>
        </w:rPr>
        <w:t>nie przewiduje się znaczącego negatywnego oddziaływania przedsięwzięcia na środowisko przyrodnicze</w:t>
      </w:r>
      <w:r w:rsidRPr="00AE7261">
        <w:rPr>
          <w:rFonts w:ascii="Calibri" w:eastAsia="Times New Roman" w:hAnsi="Calibri" w:cs="Calibri"/>
          <w:sz w:val="28"/>
          <w:szCs w:val="28"/>
          <w:lang w:eastAsia="pl-PL"/>
        </w:rPr>
        <w:t xml:space="preserve">, </w:t>
      </w:r>
      <w:bookmarkStart w:id="21" w:name="_Hlk201578991"/>
      <w:r w:rsidRPr="00AE7261">
        <w:rPr>
          <w:rFonts w:ascii="Calibri" w:eastAsia="Times New Roman" w:hAnsi="Calibri" w:cs="Calibri"/>
          <w:sz w:val="28"/>
          <w:szCs w:val="28"/>
          <w:lang w:eastAsia="pl-PL"/>
        </w:rPr>
        <w:t>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grzybów i zwierząt oraz ich siedlisk, dla których ochrony zostały wyznaczone obszary Natura 2000, na ich integralność lub powiązanie z innymi obszarami.</w:t>
      </w:r>
      <w:bookmarkEnd w:id="21"/>
      <w:r w:rsidRPr="00AE7261">
        <w:rPr>
          <w:rFonts w:ascii="Calibri" w:eastAsia="Calibri" w:hAnsi="Calibri" w:cs="Times New Roman"/>
          <w:kern w:val="2"/>
          <w:sz w:val="28"/>
          <w14:ligatures w14:val="standardContextual"/>
        </w:rPr>
        <w:t xml:space="preserve"> </w:t>
      </w:r>
      <w:r w:rsidRPr="00AE7261">
        <w:rPr>
          <w:rFonts w:ascii="Calibri" w:eastAsia="Times New Roman" w:hAnsi="Calibri" w:cs="Calibri"/>
          <w:sz w:val="28"/>
          <w:szCs w:val="28"/>
          <w:lang w:eastAsia="pl-PL"/>
        </w:rPr>
        <w:t>Wobec powyższego nie zachodzi przesłanka do odmówienia zgody realizacji planowanego przedsięwzięcia, o której mowa w art. 81 ust. 2 u.o.o.ś.</w:t>
      </w:r>
    </w:p>
    <w:p w14:paraId="556CE824"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Jak wskazał Regionalny Dyrektor Ochrony Środowiska w Poznaniu, prace związane z realizacją przedsięwzięcia, niezależnie od terminu ich realizacji, mogą powodować naruszenie zakazów określonych w rozporządzeniu Ministra Środowiska z dnia 9 października 2014 r. w sprawie ochrony gatunkowej grzybów (Dz. U. poz. 1408), rozporządzeniu Ministra Środowiska z dnia 9 października 2014 r. sprawie ochrony gatunkowej roślin (Dz. U. poz. 1409) i rozporządzeniu Ministra Środowiska z dnia 16 grudnia 2016 r. w sprawie ochrony gatunkowej zwierząt (Dz. U. z 2022 r. poz. 2380). Przed przystąpieniem do prac sprzecznych z zakazami określonymi w wyżej wskazanych aktach prawnych należy uzyskać zezwolenia właściwego organu na odstępstwa od zakazów obowiązujących w stosunku do danego gatunku.</w:t>
      </w:r>
    </w:p>
    <w:p w14:paraId="4E129C59"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Zgodnie z art. 81 ust. 3 u.o.o.ś. przeanalizowano wpływ przedmiotowego przedsięwzięcia na możliwość osiągnięcia celów środowiskowych, o których mowa w art. 56, art. 57, art. 59 oraz art. 61 ustawy z dnia 20 lipca 2017 r. – Prawo wodne (Dz. U. z 2024 r. poz. 1087, 1089, 1473, z 2023 r. poz. 877 i z 2025 r. poz. 680). Ustalono, że planowane przedsięwzięcie zlokalizowane jest w granicach jednolitej części wód podziemnych (jcwpd) o kodzie PLGW600061 oraz w granicach jednolitej części wód powierzchniowych (jcwp) o kodzie PLRW600010185549 – Pysząca. Zgodnie z obowiązującym „Planem gospodarowania wodami na obszarze dorzecza Odry” (Dz. U. z 2023 r. poz. 335) jcwpd o kodzie PLGW600061 charakteryzuje się dobrym stanem ilościowym oraz chemicznym, a w odniesieniu do ryzyka nieosiągnięcia celów środowiskowych została uznana za niezagrożoną. Jcwp o kodzie PLRW600010185549 posiada status naturalnej części wód, o aktualnie złym stanie. Jest ona monitorowana, a w odniesieniu do ryzyka nieosiągnięcia celów środowiskowych została uznana za niezagrożoną. Mając na względzie charakter i skalę oddziaływania przedsięwzięcia, proponowane do zastosowania rozwiązania i technologie oraz przy założeniu realizacji wymogów prowadzenia działalności rolniczej określonych w „Programie działań mających na celu zmniejszenie zanieczyszczenia wód azotanami pochodzącymi ze źródeł rolniczych oraz zapobieganie dalszemu zanieczyszczeniu”, </w:t>
      </w:r>
      <w:r w:rsidRPr="00AE7261">
        <w:rPr>
          <w:rFonts w:ascii="Calibri" w:eastAsia="Times New Roman" w:hAnsi="Calibri" w:cs="Calibri"/>
          <w:b/>
          <w:bCs/>
          <w:sz w:val="28"/>
          <w:szCs w:val="28"/>
          <w:lang w:eastAsia="pl-PL"/>
        </w:rPr>
        <w:t xml:space="preserve">nie stwierdza się negatywnego oddziaływania planowanego przedsięwzięcia na realizację celów środowiskowych, </w:t>
      </w:r>
      <w:r w:rsidRPr="00AE7261">
        <w:rPr>
          <w:rFonts w:ascii="Calibri" w:eastAsia="Times New Roman" w:hAnsi="Calibri" w:cs="Calibri"/>
          <w:sz w:val="28"/>
          <w:szCs w:val="28"/>
          <w:lang w:eastAsia="pl-PL"/>
        </w:rPr>
        <w:t xml:space="preserve">o których mowa w art. 56, art. 57, art. 59 i art. 61 ustawy z dnia 20 lipca 2017 r. – Prawo wodne, a określonych dla tych części wód w „Planie gospodarowania wodami na obszarze dorzecza Odry”. Wobec powyższego w przedmiotowej sprawie nie zachodzi przesłanka do odmówienia zgody </w:t>
      </w:r>
      <w:r w:rsidRPr="00AE7261">
        <w:rPr>
          <w:rFonts w:ascii="Calibri" w:eastAsia="Times New Roman" w:hAnsi="Calibri" w:cs="Calibri"/>
          <w:sz w:val="28"/>
          <w:szCs w:val="28"/>
          <w:lang w:eastAsia="pl-PL"/>
        </w:rPr>
        <w:lastRenderedPageBreak/>
        <w:t>realizacji planowanego przedsięwzięcia, o której mowa w art. 81 ust. 3 u.o.o.ś.</w:t>
      </w:r>
    </w:p>
    <w:p w14:paraId="3B04D20E"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W ramach przedsięwzięcia nie planuje się prac rozbiórkowych dotyczących przedsięwzięć mogących znacząco oddziaływać na środowisko.</w:t>
      </w:r>
    </w:p>
    <w:p w14:paraId="42FB471E" w14:textId="77777777" w:rsidR="00AE7261" w:rsidRPr="00AE7261" w:rsidRDefault="00AE7261" w:rsidP="00AE7261">
      <w:pPr>
        <w:autoSpaceDE w:val="0"/>
        <w:autoSpaceDN w:val="0"/>
        <w:adjustRightInd w:val="0"/>
        <w:spacing w:after="120" w:line="240" w:lineRule="auto"/>
        <w:ind w:firstLine="708"/>
        <w:rPr>
          <w:rFonts w:ascii="Calibri" w:eastAsia="Calibri" w:hAnsi="Calibri" w:cs="Calibri"/>
          <w:sz w:val="28"/>
          <w:szCs w:val="28"/>
        </w:rPr>
      </w:pPr>
      <w:r w:rsidRPr="00AE7261">
        <w:rPr>
          <w:rFonts w:ascii="Calibri" w:eastAsia="Times New Roman" w:hAnsi="Calibri" w:cs="Calibri"/>
          <w:sz w:val="28"/>
          <w:szCs w:val="28"/>
          <w:lang w:eastAsia="pl-PL"/>
        </w:rPr>
        <w:t>Na podstawie raportu i posiadanych przez Urząd materiałów kartograficznych ustalono, że n</w:t>
      </w:r>
      <w:r w:rsidRPr="00AE7261">
        <w:rPr>
          <w:rFonts w:ascii="Calibri" w:eastAsia="Calibri" w:hAnsi="Calibri" w:cs="Calibri"/>
          <w:sz w:val="28"/>
          <w:szCs w:val="28"/>
        </w:rPr>
        <w:t xml:space="preserve">a działce o numerze ewidencyjnym 12, obręb Pysząca zlokalizowane są zewidencjonowane stanowiska archeologiczne, a mianowicie obszary AZP 59-29/142 i AZP 59-29/143 ujęte w Gminnej Ewidencji Zabytków (Zarządzenie nr 49/2013 Burmistrza Śremu z dnia 8 maja 2013 r. w sprawie przyjęcia Gminnej Ewidencji Zabytków Gminy Śrem), wobec czego podczas prac ziemnych związanych z zabudowaniem i zagospodarowaniem przedmiotowego terenu zastosowanie mają przepisy ustawy z dnia 23 lipca 2003 r. o ochronie zabytków i opiece nad zabytkami </w:t>
      </w:r>
      <w:r w:rsidRPr="00AE7261">
        <w:rPr>
          <w:rFonts w:ascii="Calibri" w:eastAsia="Times New Roman" w:hAnsi="Calibri" w:cs="Calibri"/>
          <w:sz w:val="28"/>
          <w:szCs w:val="28"/>
          <w:lang w:eastAsia="pl-PL"/>
        </w:rPr>
        <w:t>(Dz. U. z 2024 r. poz. 1292)</w:t>
      </w:r>
      <w:r w:rsidRPr="00AE7261">
        <w:rPr>
          <w:rFonts w:ascii="Calibri" w:eastAsia="Calibri" w:hAnsi="Calibri" w:cs="Calibri"/>
          <w:sz w:val="28"/>
          <w:szCs w:val="28"/>
        </w:rPr>
        <w:t xml:space="preserve">. </w:t>
      </w:r>
    </w:p>
    <w:p w14:paraId="3CE4102F" w14:textId="77777777" w:rsidR="00AE7261" w:rsidRPr="00AE7261" w:rsidRDefault="00AE7261" w:rsidP="00AE7261">
      <w:pPr>
        <w:autoSpaceDE w:val="0"/>
        <w:autoSpaceDN w:val="0"/>
        <w:adjustRightInd w:val="0"/>
        <w:spacing w:after="120" w:line="240" w:lineRule="auto"/>
        <w:ind w:firstLine="708"/>
        <w:rPr>
          <w:rFonts w:ascii="Calibri" w:eastAsia="Calibri" w:hAnsi="Calibri" w:cs="Times New Roman"/>
          <w:kern w:val="2"/>
          <w:sz w:val="28"/>
          <w14:ligatures w14:val="standardContextual"/>
        </w:rPr>
      </w:pPr>
      <w:r w:rsidRPr="00AE7261">
        <w:rPr>
          <w:rFonts w:ascii="Calibri" w:eastAsia="Calibri" w:hAnsi="Calibri" w:cs="Calibri"/>
          <w:sz w:val="28"/>
          <w:szCs w:val="28"/>
        </w:rPr>
        <w:t>Ponadto ustalono, że realizacja planowanego przedsięwzięcia nie będzie miała bezpośredniego i pośredniego wpływu na dobra materialne znajdujące się w sąsiedztwie gospodarstwa rolnego czy dostępność do złóż kopalin.</w:t>
      </w:r>
      <w:r w:rsidRPr="00AE7261">
        <w:rPr>
          <w:rFonts w:ascii="Calibri" w:eastAsia="Calibri" w:hAnsi="Calibri" w:cs="Times New Roman"/>
          <w:kern w:val="2"/>
          <w:sz w:val="28"/>
          <w14:ligatures w14:val="standardContextual"/>
        </w:rPr>
        <w:t xml:space="preserve"> </w:t>
      </w:r>
    </w:p>
    <w:p w14:paraId="144D9D17" w14:textId="77777777" w:rsidR="00AE7261" w:rsidRPr="00AE7261" w:rsidRDefault="00AE7261" w:rsidP="00AE7261">
      <w:pPr>
        <w:autoSpaceDE w:val="0"/>
        <w:autoSpaceDN w:val="0"/>
        <w:adjustRightInd w:val="0"/>
        <w:spacing w:after="120" w:line="240" w:lineRule="auto"/>
        <w:ind w:firstLine="708"/>
        <w:rPr>
          <w:rFonts w:ascii="Calibri" w:eastAsia="Times New Roman" w:hAnsi="Calibri" w:cs="Calibri"/>
          <w:sz w:val="28"/>
          <w:szCs w:val="28"/>
          <w:lang w:eastAsia="pl-PL"/>
        </w:rPr>
      </w:pPr>
      <w:r w:rsidRPr="00AE7261">
        <w:rPr>
          <w:rFonts w:ascii="Calibri" w:eastAsia="Calibri" w:hAnsi="Calibri" w:cs="Calibri"/>
          <w:sz w:val="28"/>
          <w:szCs w:val="28"/>
        </w:rPr>
        <w:t>Z uwagi na lokalizację przedsięwzięcia na terenie przekształconym antropogenicznie, nie przewiduje się wpływu przedsięwzięcia na krajobraz obszaru, na którym będzie realizowane, w tym krajobraz kulturowy.</w:t>
      </w:r>
    </w:p>
    <w:p w14:paraId="00902FCF"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planowane przedsięwzięcie nie znajduje się w obszarze objętym ustaleniami obowiązującego miejscowego planu zagospodarowania przestrzennego.</w:t>
      </w:r>
    </w:p>
    <w:p w14:paraId="3686D15F"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6D1AF3B1"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Zgodnie ze stanowiskami Regionalnego Dyrektora Ochrony Środowiska w Poznaniu i Dyrektora Regionalnego Zarządu Gospodarki Wodnej Państwowego Gospodarstwa Wodnego Wody Polskie w Poznaniu, ze względu na szczegółowy i jednoznaczny opis planowanej do zastosowania technologii oraz stosowanych środków mających na celu minimalizację negatywnego oddziaływania na środowisko planowanego przedsięwzięcia, w decyzji nie wskazano konieczności ponownego przeprowadzenia oceny oddziaływania przedsięwzięcia na środowisko, w ramach postępowania w sprawie wydania decyzji, o których mowa w art. 72 ust. 1 pkt 1 u.o.o.ś. Jednocześnie zgodnie ze stanowiskami Organów uzgadniających, ze względu na lokalizację przedmiotowego zakładu w dużej odległości od granic państwa oraz zasięg oddziaływania przedsięwzięcia, w decyzji nie stwierdzono również konieczności przeprowadzenia postępowania w sprawie transgranicznego oddziaływania na środowisko.</w:t>
      </w:r>
    </w:p>
    <w:p w14:paraId="3E03ABDC"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 raporcie przedstawiono opis wariantu proponowanego przez wnioskodawcę oraz opis racjonalnego wariantu alternatywnego. Wskazano również, że wariant proponowany przez wnioskodawcę jest jednocześnie wariantem najkorzystniejszym dla środowiska. W raporcie przedstawiono ocenę oddziaływania na środowisko analizowanych wariantów oraz dokonano ich porównania. Burmistrz Śremu stwierdził, że wariant proponowany przez wnioskodawcę jest możliwy do realizacji i dla niego zostały określone w decyzji warunki realizacji, </w:t>
      </w:r>
      <w:bookmarkStart w:id="22" w:name="_Hlk200368004"/>
      <w:r w:rsidRPr="00AE7261">
        <w:rPr>
          <w:rFonts w:ascii="Calibri" w:eastAsia="Times New Roman" w:hAnsi="Calibri" w:cs="Calibri"/>
          <w:sz w:val="28"/>
          <w:szCs w:val="28"/>
          <w:lang w:eastAsia="pl-PL"/>
        </w:rPr>
        <w:t>zgodnie z postanowieniami Regionalnego Dyrektora Ochrony Środowiska w Poznaniu i Dyrektora Regionalnego Zarządu Gospodarki Wodnej Państwowego Gospodarstwa Wodnego Wody Polskie w Poznaniu oraz opinią Państwowego Powiatowego Inspektora Sanitarnego w Śremie.</w:t>
      </w:r>
      <w:bookmarkEnd w:id="22"/>
    </w:p>
    <w:p w14:paraId="2DE4F9C1"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Odnosząc się do art. 81 ust. 1 u.o.o.ś. z oceny oddziaływania przedsięwzięcia na środowisko nie wynika zasadność wskazania przez Burmistrza Śremu realizacji przedsięwzięcia w wariancie innym niż proponowanym przez wnioskodawcę.</w:t>
      </w:r>
    </w:p>
    <w:p w14:paraId="444E2AFE"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Z raportu wynika także, że </w:t>
      </w:r>
      <w:r w:rsidRPr="00AE7261">
        <w:rPr>
          <w:rFonts w:ascii="Calibri" w:eastAsia="Times New Roman" w:hAnsi="Calibri" w:cs="Calibri"/>
          <w:b/>
          <w:bCs/>
          <w:sz w:val="28"/>
          <w:szCs w:val="28"/>
          <w:lang w:eastAsia="pl-PL"/>
        </w:rPr>
        <w:t>planowane przedsięwzięcie nie należy do kategorii zakładów stwarzających zagrożenie wystąpienia poważnych awarii</w:t>
      </w:r>
      <w:r w:rsidRPr="00AE7261">
        <w:rPr>
          <w:rFonts w:ascii="Calibri" w:eastAsia="Times New Roman" w:hAnsi="Calibri" w:cs="Calibri"/>
          <w:sz w:val="28"/>
          <w:szCs w:val="28"/>
          <w:lang w:eastAsia="pl-PL"/>
        </w:rPr>
        <w:t>,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poz. 138), jak również nie wymaga utworzenia obszaru ograniczonego użytkowania, dlatego w decyzji nie określono wymogów w powyższym zakresie.</w:t>
      </w:r>
    </w:p>
    <w:p w14:paraId="05D42FDD"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Przedsięwzięcie nie będzie wyposażone w instalację do spalania paliw w celu wytwarzania energii elektrycznej, dlatego w decyzji nie określono gotowości instalacji do wychwytywania dwutlenku węgla.</w:t>
      </w:r>
    </w:p>
    <w:p w14:paraId="383CDFBE"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Ocena oddziaływania przedmiotowego przedsięwzięcia na środowisko, przedstawiona w raporcie i jego uzupełnieniach, dokonana została w oparciu o szczegółowe informacje i konkretne założenia przyjęte do analiz, w tym położenie poszczególnych obiektów na terenie przedsięwzięcia. Dla lokalizacji obiektów wskazanych w raporcie wykazano dochowanie norm jakości środowiska określonych w obowiązujących przepisach prawa. Mając powyższe na uwadze, przy zachowaniu wszelkich ustaleń zawartych w raporcie i jego uzupełnieniu oraz spełnieniu warunków realizacji przedsięwzięcia wskazanych w decyzji, przedmiotowe </w:t>
      </w:r>
      <w:r w:rsidRPr="00AE7261">
        <w:rPr>
          <w:rFonts w:ascii="Calibri" w:eastAsia="Times New Roman" w:hAnsi="Calibri" w:cs="Calibri"/>
          <w:b/>
          <w:bCs/>
          <w:sz w:val="28"/>
          <w:szCs w:val="28"/>
          <w:lang w:eastAsia="pl-PL"/>
        </w:rPr>
        <w:t>przedsięwzięcie nie będzie powodowało przekroczenia standardów jakości ochrony środowiska.</w:t>
      </w:r>
    </w:p>
    <w:p w14:paraId="1260472E"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Wobec powyższego w decyzji nie nałożono obowiązku przedstawienia analizy porealizacyjnej, natomiast wskazano obowiązek zapobiegania, ograniczania oraz monitorowania oddziaływania przedsięwzięcia na środowisko, w zakresie gospodarki wodno-ściekowej, emisji substancji zanieczyszczających do powietrza, w tym hałasu, przy zastosowaniu rozwiązań wskazanych w raporcie oraz w postanowieniach Regionalnego Dyrektora Ochrony Środowiska w Poznaniu i Dyrektora Regionalnego Zarządu Gospodarki Wodnej Państwowego Gospodarstwa Wodnego Wody Polskie w Poznaniu i opinii Państwowego Powiatowego Inspektora Sanitarnego w Śremie.</w:t>
      </w:r>
    </w:p>
    <w:p w14:paraId="12976A4F"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Wnioskodawca zapewnia, że zastosowane rozwiązania techniczne i technologiczne są prawidłowe z punktu widzenia ochrony środowiska i zostały zaplanowane zgodnie ze współczesną wiedzą techniczną w oparciu o aktualne przepisy prawa. </w:t>
      </w:r>
    </w:p>
    <w:p w14:paraId="55D60DD3"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W decyzji określono warunki wykorzystywania terenu w trakcie realizacji i eksploatacji przedsięwzięcia oraz wymagania dotyczące ochrony środowiska konieczne do uwzględnienia w projekcie zagospodarowania działki lub terenu lub projekcie architektoniczno-budowlanym, wynikające z rodzaju przedsięwzięcia.</w:t>
      </w:r>
    </w:p>
    <w:p w14:paraId="0FDD292D"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 ramach postępowania z udziałem społeczeństwa do Burmistrza Śremu nie wpłynęły żadne uwagi i wnioski. </w:t>
      </w:r>
    </w:p>
    <w:p w14:paraId="32816ECD" w14:textId="77777777" w:rsidR="00AE7261" w:rsidRPr="00AE7261" w:rsidRDefault="00AE7261" w:rsidP="00AE7261">
      <w:pPr>
        <w:spacing w:after="0" w:line="240" w:lineRule="auto"/>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br w:type="page"/>
      </w:r>
    </w:p>
    <w:p w14:paraId="2A8484F1" w14:textId="77777777" w:rsidR="00AE7261" w:rsidRPr="00AE7261" w:rsidRDefault="00AE7261" w:rsidP="00AE7261">
      <w:pPr>
        <w:spacing w:after="120" w:line="240" w:lineRule="auto"/>
        <w:ind w:firstLine="708"/>
        <w:rPr>
          <w:rFonts w:ascii="Calibri" w:eastAsia="Times New Roman" w:hAnsi="Calibri" w:cs="Calibri"/>
          <w:sz w:val="28"/>
          <w:szCs w:val="28"/>
          <w:u w:val="single"/>
          <w:lang w:eastAsia="pl-PL"/>
        </w:rPr>
      </w:pPr>
      <w:r w:rsidRPr="00AE7261">
        <w:rPr>
          <w:rFonts w:ascii="Calibri" w:eastAsia="Times New Roman" w:hAnsi="Calibri" w:cs="Calibri"/>
          <w:sz w:val="28"/>
          <w:szCs w:val="28"/>
          <w:lang w:eastAsia="pl-PL"/>
        </w:rPr>
        <w:lastRenderedPageBreak/>
        <w:t xml:space="preserve">W związku z powyższym, po przeprowadzeniu analizy i oceny wpływu przedsięwzięcia na środowisko oraz biorąc pod uwagę stanowiska właściwych organów, Burmistrz Śremu stwierdził, że </w:t>
      </w:r>
      <w:r w:rsidRPr="00AE7261">
        <w:rPr>
          <w:rFonts w:ascii="Calibri" w:eastAsia="Times New Roman" w:hAnsi="Calibri" w:cs="Calibri"/>
          <w:b/>
          <w:sz w:val="28"/>
          <w:szCs w:val="28"/>
          <w:lang w:eastAsia="pl-PL"/>
        </w:rPr>
        <w:t>przedsięwzięcie będzie zgodne z wymaganiami ochrony środowiska,</w:t>
      </w:r>
      <w:r w:rsidRPr="00AE7261">
        <w:rPr>
          <w:rFonts w:ascii="Calibri" w:eastAsia="Times New Roman" w:hAnsi="Calibri" w:cs="Calibri"/>
          <w:sz w:val="28"/>
          <w:szCs w:val="28"/>
          <w:lang w:eastAsia="pl-PL"/>
        </w:rPr>
        <w:t xml:space="preserve"> </w:t>
      </w:r>
      <w:r w:rsidRPr="00AE7261">
        <w:rPr>
          <w:rFonts w:ascii="Calibri" w:eastAsia="Times New Roman" w:hAnsi="Calibri" w:cs="Calibri"/>
          <w:b/>
          <w:sz w:val="28"/>
          <w:szCs w:val="28"/>
          <w:lang w:eastAsia="pl-PL"/>
        </w:rPr>
        <w:t>jeśli zostaną spełnione warunki określone w raporcie i w decyzji o środowiskowych uwarunkowaniach. Ponadto, podmiot realizujący i eksploatujący przedsięwzięcie zobowiązany jest do dotrzymania standardów jakości środowiska określonych w przepisach odrębnych.</w:t>
      </w:r>
      <w:r w:rsidRPr="00AE7261">
        <w:rPr>
          <w:rFonts w:ascii="Calibri" w:eastAsia="Times New Roman" w:hAnsi="Calibri" w:cs="Calibri"/>
          <w:sz w:val="28"/>
          <w:szCs w:val="28"/>
          <w:lang w:eastAsia="pl-PL"/>
        </w:rPr>
        <w:t xml:space="preserve"> </w:t>
      </w:r>
    </w:p>
    <w:p w14:paraId="38ECDC8E" w14:textId="77777777" w:rsidR="00AE7261" w:rsidRPr="00AE7261" w:rsidRDefault="00AE7261" w:rsidP="00AE7261">
      <w:pPr>
        <w:spacing w:after="120" w:line="240" w:lineRule="auto"/>
        <w:ind w:firstLine="708"/>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Biorąc powyższe pod uwagę orzeczono jak w osnowie decyzji</w:t>
      </w:r>
    </w:p>
    <w:p w14:paraId="71D6069B" w14:textId="77777777" w:rsidR="00AE7261" w:rsidRPr="00AE7261" w:rsidRDefault="00AE7261" w:rsidP="00AE7261">
      <w:pPr>
        <w:spacing w:after="80" w:line="240" w:lineRule="auto"/>
        <w:jc w:val="center"/>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Pouczenie</w:t>
      </w:r>
    </w:p>
    <w:p w14:paraId="3AC84C0A" w14:textId="77777777" w:rsidR="00AE7261" w:rsidRPr="00AE7261" w:rsidRDefault="00AE7261" w:rsidP="00AE7261">
      <w:pPr>
        <w:spacing w:after="0" w:line="240" w:lineRule="auto"/>
        <w:ind w:firstLine="567"/>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119EC7B" w14:textId="77777777" w:rsidR="00AE7261" w:rsidRPr="00AE7261" w:rsidRDefault="00AE7261" w:rsidP="00AE7261">
      <w:pPr>
        <w:spacing w:after="0" w:line="240" w:lineRule="auto"/>
        <w:ind w:firstLine="567"/>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A920426" w14:textId="77777777" w:rsidR="00AE7261" w:rsidRPr="00AE7261" w:rsidRDefault="00AE7261" w:rsidP="00AE7261">
      <w:pPr>
        <w:spacing w:after="0" w:line="240" w:lineRule="auto"/>
        <w:ind w:firstLine="567"/>
        <w:rPr>
          <w:rFonts w:ascii="Calibri" w:eastAsia="Times New Roman" w:hAnsi="Calibri" w:cs="Calibri"/>
          <w:sz w:val="28"/>
          <w:szCs w:val="28"/>
          <w:lang w:eastAsia="pl-PL"/>
        </w:rPr>
      </w:pPr>
    </w:p>
    <w:p w14:paraId="5EB5FAFF" w14:textId="77777777" w:rsidR="00AE7261" w:rsidRPr="00AE7261" w:rsidRDefault="00AE7261" w:rsidP="00AE7261">
      <w:pPr>
        <w:spacing w:after="0" w:line="240" w:lineRule="auto"/>
        <w:ind w:firstLine="567"/>
        <w:rPr>
          <w:rFonts w:ascii="Calibri" w:eastAsia="Times New Roman" w:hAnsi="Calibri" w:cs="Calibri"/>
          <w:sz w:val="28"/>
          <w:szCs w:val="28"/>
          <w:lang w:eastAsia="pl-PL"/>
        </w:rPr>
      </w:pPr>
    </w:p>
    <w:p w14:paraId="066AF6A3" w14:textId="77777777" w:rsidR="00AE7261" w:rsidRPr="00AE7261" w:rsidRDefault="00AE7261" w:rsidP="00AE7261">
      <w:pPr>
        <w:spacing w:after="0" w:line="240" w:lineRule="auto"/>
        <w:ind w:firstLine="567"/>
        <w:rPr>
          <w:rFonts w:ascii="Calibri" w:eastAsia="Times New Roman" w:hAnsi="Calibri" w:cs="Calibri"/>
          <w:sz w:val="28"/>
          <w:szCs w:val="28"/>
          <w:lang w:eastAsia="pl-PL"/>
        </w:rPr>
      </w:pPr>
      <w:r w:rsidRPr="00AE7261">
        <w:rPr>
          <w:rFonts w:ascii="Calibri" w:eastAsia="Times New Roman" w:hAnsi="Calibri" w:cs="Calibri"/>
          <w:sz w:val="28"/>
          <w:szCs w:val="28"/>
          <w:lang w:eastAsia="pl-PL"/>
        </w:rPr>
        <w:lastRenderedPageBreak/>
        <w:t xml:space="preserve">Decyzja o środowiskowych uwarunkowaniach wiąże organy: </w:t>
      </w:r>
    </w:p>
    <w:p w14:paraId="50847134" w14:textId="77777777" w:rsidR="00AE7261" w:rsidRPr="00AE7261" w:rsidRDefault="00AE7261" w:rsidP="00AE7261">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03F7B541" w14:textId="77777777" w:rsidR="00AE7261" w:rsidRPr="00AE7261" w:rsidRDefault="00AE7261" w:rsidP="00AE7261">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wydające decyzje, o których mowa w art. 72 ust. 1 u.o.o.ś.; </w:t>
      </w:r>
    </w:p>
    <w:p w14:paraId="50F13E87" w14:textId="77777777" w:rsidR="00AE7261" w:rsidRPr="00AE7261" w:rsidRDefault="00AE7261" w:rsidP="00AE7261">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przyjmujące zgłoszenia, o których mowa w art. 72 ust. 1a u.o.o.ś.</w:t>
      </w:r>
    </w:p>
    <w:p w14:paraId="51F8988F" w14:textId="77777777" w:rsidR="00AE7261" w:rsidRPr="00AE7261" w:rsidRDefault="00AE7261" w:rsidP="00AE7261">
      <w:pPr>
        <w:spacing w:after="0" w:line="240" w:lineRule="auto"/>
        <w:ind w:left="2124"/>
        <w:jc w:val="center"/>
        <w:rPr>
          <w:rFonts w:ascii="Calibri" w:eastAsia="Calibri" w:hAnsi="Calibri" w:cs="Calibri"/>
          <w:sz w:val="28"/>
          <w:szCs w:val="28"/>
        </w:rPr>
      </w:pPr>
    </w:p>
    <w:p w14:paraId="490185C8" w14:textId="579545A6" w:rsidR="00AE7261" w:rsidRPr="00AE7261" w:rsidRDefault="00AE7261" w:rsidP="00AE7261">
      <w:pPr>
        <w:spacing w:after="0" w:line="240" w:lineRule="auto"/>
        <w:ind w:left="2124"/>
        <w:jc w:val="center"/>
        <w:rPr>
          <w:rFonts w:ascii="Calibri" w:eastAsia="Calibri" w:hAnsi="Calibri" w:cs="Calibri"/>
          <w:sz w:val="28"/>
          <w:szCs w:val="28"/>
        </w:rPr>
      </w:pPr>
      <w:r w:rsidRPr="00AE7261">
        <w:rPr>
          <w:rFonts w:ascii="Calibri" w:eastAsia="Calibri" w:hAnsi="Calibri" w:cs="Calibri"/>
          <w:sz w:val="28"/>
          <w:szCs w:val="28"/>
        </w:rPr>
        <w:t>z up. BURMISTRZA</w:t>
      </w:r>
    </w:p>
    <w:p w14:paraId="5A762FB5" w14:textId="77777777" w:rsidR="00AE7261" w:rsidRPr="00AE7261" w:rsidRDefault="00AE7261" w:rsidP="00AE7261">
      <w:pPr>
        <w:spacing w:after="0" w:line="240" w:lineRule="auto"/>
        <w:ind w:left="2124"/>
        <w:jc w:val="center"/>
        <w:rPr>
          <w:rFonts w:ascii="Calibri" w:eastAsia="Calibri" w:hAnsi="Calibri" w:cs="Calibri"/>
          <w:sz w:val="28"/>
          <w:szCs w:val="28"/>
        </w:rPr>
      </w:pPr>
      <w:r w:rsidRPr="00AE7261">
        <w:rPr>
          <w:rFonts w:ascii="Calibri" w:eastAsia="Calibri" w:hAnsi="Calibri" w:cs="Calibri"/>
          <w:sz w:val="28"/>
          <w:szCs w:val="28"/>
        </w:rPr>
        <w:t>Katarzyna Bednarowicz</w:t>
      </w:r>
    </w:p>
    <w:p w14:paraId="03111BBC" w14:textId="77777777" w:rsidR="00AE7261" w:rsidRPr="00AE7261" w:rsidRDefault="00AE7261" w:rsidP="00AE7261">
      <w:pPr>
        <w:spacing w:after="0" w:line="240" w:lineRule="auto"/>
        <w:ind w:left="2124"/>
        <w:jc w:val="center"/>
        <w:rPr>
          <w:rFonts w:ascii="Calibri" w:eastAsia="Calibri" w:hAnsi="Calibri" w:cs="Calibri"/>
          <w:sz w:val="28"/>
          <w:szCs w:val="28"/>
        </w:rPr>
      </w:pPr>
      <w:r w:rsidRPr="00AE7261">
        <w:rPr>
          <w:rFonts w:ascii="Calibri" w:eastAsia="Calibri" w:hAnsi="Calibri" w:cs="Calibri"/>
          <w:sz w:val="28"/>
          <w:szCs w:val="28"/>
        </w:rPr>
        <w:t xml:space="preserve">naczelnik Pionu Gospodarowania </w:t>
      </w:r>
    </w:p>
    <w:p w14:paraId="42619AC4" w14:textId="77777777" w:rsidR="00AE7261" w:rsidRPr="00AE7261" w:rsidRDefault="00AE7261" w:rsidP="00AE7261">
      <w:pPr>
        <w:spacing w:after="0" w:line="240" w:lineRule="auto"/>
        <w:ind w:left="2124"/>
        <w:jc w:val="center"/>
        <w:rPr>
          <w:rFonts w:ascii="Calibri" w:eastAsia="Calibri" w:hAnsi="Calibri" w:cs="Calibri"/>
          <w:sz w:val="28"/>
          <w:szCs w:val="28"/>
        </w:rPr>
      </w:pPr>
      <w:r w:rsidRPr="00AE7261">
        <w:rPr>
          <w:rFonts w:ascii="Calibri" w:eastAsia="Calibri" w:hAnsi="Calibri" w:cs="Calibri"/>
          <w:sz w:val="28"/>
          <w:szCs w:val="28"/>
        </w:rPr>
        <w:t>Przestrzenią i Środowiskiem</w:t>
      </w:r>
    </w:p>
    <w:p w14:paraId="52D89A88" w14:textId="77777777" w:rsidR="00AE7261" w:rsidRPr="00AE7261" w:rsidRDefault="00AE7261" w:rsidP="00AE7261">
      <w:pPr>
        <w:spacing w:after="0" w:line="240" w:lineRule="auto"/>
        <w:ind w:left="2124"/>
        <w:jc w:val="center"/>
        <w:rPr>
          <w:rFonts w:ascii="Calibri" w:eastAsia="Calibri" w:hAnsi="Calibri" w:cs="Calibri"/>
          <w:sz w:val="28"/>
          <w:szCs w:val="28"/>
        </w:rPr>
      </w:pPr>
    </w:p>
    <w:p w14:paraId="5AAD27A0" w14:textId="77777777" w:rsidR="00AE7261" w:rsidRPr="00AE7261" w:rsidRDefault="00AE7261" w:rsidP="00AE7261">
      <w:pPr>
        <w:spacing w:after="12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Załączniki:</w:t>
      </w:r>
    </w:p>
    <w:p w14:paraId="3FD60542" w14:textId="77777777" w:rsidR="00AE7261" w:rsidRPr="00AE7261" w:rsidRDefault="00AE7261" w:rsidP="00AE7261">
      <w:pPr>
        <w:spacing w:after="12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Załącznik nr 1 – Charakterystyka całego przedsięwzięcia.</w:t>
      </w:r>
    </w:p>
    <w:p w14:paraId="1094908B" w14:textId="77777777" w:rsidR="00AE7261" w:rsidRPr="00AE7261" w:rsidRDefault="00AE7261" w:rsidP="00AE7261">
      <w:pPr>
        <w:spacing w:after="0" w:line="240" w:lineRule="auto"/>
        <w:rPr>
          <w:rFonts w:ascii="Calibri" w:eastAsia="Times New Roman" w:hAnsi="Calibri" w:cs="Calibri"/>
          <w:sz w:val="28"/>
          <w:szCs w:val="28"/>
          <w:lang w:eastAsia="pl-PL"/>
        </w:rPr>
      </w:pPr>
    </w:p>
    <w:p w14:paraId="2E79D6A0" w14:textId="77777777" w:rsidR="00AE7261" w:rsidRPr="00AE7261" w:rsidRDefault="00AE7261" w:rsidP="00AE7261">
      <w:pPr>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Sprawę prowadzi:</w:t>
      </w:r>
    </w:p>
    <w:p w14:paraId="132B7F76" w14:textId="77777777" w:rsidR="00AE7261" w:rsidRPr="00AE7261" w:rsidRDefault="00AE7261" w:rsidP="00AE7261">
      <w:pPr>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Małgorzata Borowska</w:t>
      </w:r>
    </w:p>
    <w:p w14:paraId="06C5825A" w14:textId="77777777" w:rsidR="00AE7261" w:rsidRPr="00AE7261" w:rsidRDefault="00AE7261" w:rsidP="00AE7261">
      <w:pPr>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inspektor</w:t>
      </w:r>
    </w:p>
    <w:p w14:paraId="622657D0" w14:textId="77777777" w:rsidR="00AE7261" w:rsidRPr="00AE7261" w:rsidRDefault="00AE7261" w:rsidP="00AE7261">
      <w:pPr>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tel. 61 28 47 140</w:t>
      </w:r>
    </w:p>
    <w:p w14:paraId="7403AB57" w14:textId="77777777" w:rsidR="00AE7261" w:rsidRPr="00AE7261" w:rsidRDefault="00AE7261" w:rsidP="00AE7261">
      <w:pPr>
        <w:spacing w:after="0" w:line="240" w:lineRule="auto"/>
        <w:jc w:val="both"/>
        <w:rPr>
          <w:rFonts w:ascii="Calibri" w:eastAsia="Times New Roman" w:hAnsi="Calibri" w:cs="Calibri"/>
          <w:sz w:val="28"/>
          <w:szCs w:val="28"/>
          <w:lang w:eastAsia="pl-PL"/>
        </w:rPr>
      </w:pPr>
    </w:p>
    <w:p w14:paraId="4BD10E35" w14:textId="77777777" w:rsidR="00AE7261" w:rsidRPr="00AE7261" w:rsidRDefault="00AE7261" w:rsidP="00AE7261">
      <w:pPr>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Otrzymują:</w:t>
      </w:r>
    </w:p>
    <w:p w14:paraId="2E1AECC8" w14:textId="77777777" w:rsidR="00AE7261" w:rsidRPr="00AE7261" w:rsidRDefault="00AE7261" w:rsidP="00AE7261">
      <w:pPr>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I. Strony postępowania:</w:t>
      </w:r>
    </w:p>
    <w:p w14:paraId="59FA9337" w14:textId="49C29438" w:rsidR="00AE7261" w:rsidRPr="00AE7261" w:rsidRDefault="00AE7261" w:rsidP="00AE7261">
      <w:pPr>
        <w:numPr>
          <w:ilvl w:val="0"/>
          <w:numId w:val="38"/>
        </w:numPr>
        <w:spacing w:after="120" w:line="240" w:lineRule="auto"/>
        <w:ind w:left="284" w:hanging="284"/>
        <w:contextualSpacing/>
        <w:jc w:val="both"/>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xml:space="preserve">Pan </w:t>
      </w:r>
      <w:r w:rsidRPr="00B4306A">
        <w:rPr>
          <w:rFonts w:ascii="Calibri" w:eastAsia="Calibri" w:hAnsi="Calibri" w:cs="Times New Roman"/>
          <w:kern w:val="2"/>
          <w:sz w:val="28"/>
          <w:highlight w:val="black"/>
          <w14:ligatures w14:val="standardContextual"/>
        </w:rPr>
        <w:t>……………………………………………………………………………………………..</w:t>
      </w:r>
    </w:p>
    <w:p w14:paraId="7CEE87A8" w14:textId="77777777" w:rsidR="00AE7261" w:rsidRPr="00AE7261" w:rsidRDefault="00AE7261" w:rsidP="00AE7261">
      <w:pPr>
        <w:spacing w:after="120" w:line="240" w:lineRule="auto"/>
        <w:ind w:left="284"/>
        <w:contextualSpacing/>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pełnomocnik: Pan Łukasz Nowak, ul. Przedrynek 8, 99-100 Łęczyca</w:t>
      </w:r>
    </w:p>
    <w:p w14:paraId="65D740B3" w14:textId="77777777" w:rsidR="00AE7261" w:rsidRPr="00AE7261" w:rsidRDefault="00AE7261" w:rsidP="00AE7261">
      <w:pPr>
        <w:numPr>
          <w:ilvl w:val="0"/>
          <w:numId w:val="38"/>
        </w:numPr>
        <w:spacing w:after="120" w:line="240" w:lineRule="auto"/>
        <w:ind w:left="284" w:hanging="284"/>
        <w:contextualSpacing/>
        <w:jc w:val="both"/>
        <w:rPr>
          <w:rFonts w:ascii="Calibri" w:eastAsia="Calibri" w:hAnsi="Calibri" w:cs="Times New Roman"/>
          <w:kern w:val="2"/>
          <w:sz w:val="28"/>
          <w14:ligatures w14:val="standardContextual"/>
        </w:rPr>
      </w:pPr>
      <w:r w:rsidRPr="00AE7261">
        <w:rPr>
          <w:rFonts w:ascii="Calibri" w:eastAsia="Calibri" w:hAnsi="Calibri" w:cs="Times New Roman"/>
          <w:kern w:val="2"/>
          <w:sz w:val="28"/>
          <w14:ligatures w14:val="standardContextual"/>
        </w:rPr>
        <w:t xml:space="preserve">Pozostałe strony postępowania przez obwieszczenie, zgodnie z art. 74 ust. 3 u.o.o.ś. </w:t>
      </w:r>
    </w:p>
    <w:p w14:paraId="0DD9F8DC" w14:textId="77777777" w:rsidR="00AE7261" w:rsidRPr="00AE7261" w:rsidRDefault="00AE7261" w:rsidP="00AE7261">
      <w:pPr>
        <w:tabs>
          <w:tab w:val="left" w:pos="990"/>
        </w:tabs>
        <w:spacing w:after="12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II. aa</w:t>
      </w:r>
    </w:p>
    <w:p w14:paraId="7E2CBDA0" w14:textId="77777777" w:rsidR="00AE7261" w:rsidRPr="00AE7261" w:rsidRDefault="00AE7261" w:rsidP="00AE7261">
      <w:pPr>
        <w:tabs>
          <w:tab w:val="left" w:pos="990"/>
        </w:tabs>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Do wiadomości:</w:t>
      </w:r>
    </w:p>
    <w:p w14:paraId="15739BB0" w14:textId="77777777" w:rsidR="00AE7261" w:rsidRPr="00AE7261" w:rsidRDefault="00AE7261" w:rsidP="00AE7261">
      <w:pPr>
        <w:numPr>
          <w:ilvl w:val="0"/>
          <w:numId w:val="36"/>
        </w:numPr>
        <w:tabs>
          <w:tab w:val="left" w:pos="284"/>
        </w:tabs>
        <w:spacing w:after="0" w:line="240" w:lineRule="auto"/>
        <w:ind w:left="284" w:hanging="284"/>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Regionalny Dyrektor Ochrony Środowiska w Poznaniu (ePUAP)</w:t>
      </w:r>
    </w:p>
    <w:p w14:paraId="0F286C75" w14:textId="77777777" w:rsidR="00AE7261" w:rsidRPr="00AE7261" w:rsidRDefault="00AE7261" w:rsidP="00AE7261">
      <w:pPr>
        <w:numPr>
          <w:ilvl w:val="0"/>
          <w:numId w:val="36"/>
        </w:numPr>
        <w:tabs>
          <w:tab w:val="left" w:pos="284"/>
        </w:tabs>
        <w:spacing w:after="0" w:line="240" w:lineRule="auto"/>
        <w:ind w:left="284" w:hanging="284"/>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Państwowy Powiatowy Inspektor Sanitarny w Śremie (ePUAP)</w:t>
      </w:r>
    </w:p>
    <w:p w14:paraId="1CD57CDA" w14:textId="77777777" w:rsidR="00AE7261" w:rsidRPr="00AE7261" w:rsidRDefault="00AE7261" w:rsidP="00AE7261">
      <w:pPr>
        <w:numPr>
          <w:ilvl w:val="0"/>
          <w:numId w:val="36"/>
        </w:numPr>
        <w:tabs>
          <w:tab w:val="left" w:pos="284"/>
        </w:tabs>
        <w:spacing w:after="0" w:line="240" w:lineRule="auto"/>
        <w:ind w:left="284" w:hanging="284"/>
        <w:jc w:val="both"/>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Dyrektor Regionalnego Zarządu Gospodarki Wodnej Państwowe Gospodarstwo Wodne Wody Polskie w Poznaniu (ePUAP)</w:t>
      </w:r>
    </w:p>
    <w:p w14:paraId="45238173" w14:textId="77777777" w:rsidR="00AE7261" w:rsidRPr="00AE7261" w:rsidRDefault="00AE7261" w:rsidP="00AE7261">
      <w:pPr>
        <w:spacing w:after="120" w:line="240" w:lineRule="auto"/>
        <w:rPr>
          <w:rFonts w:ascii="Calibri" w:eastAsia="Times New Roman" w:hAnsi="Calibri" w:cs="Calibri"/>
          <w:sz w:val="28"/>
          <w:szCs w:val="28"/>
          <w:lang w:eastAsia="pl-PL"/>
        </w:rPr>
      </w:pPr>
    </w:p>
    <w:p w14:paraId="7E29F2D6" w14:textId="77777777" w:rsidR="00AE7261" w:rsidRPr="00AE7261" w:rsidRDefault="00AE7261" w:rsidP="00AE7261">
      <w:pPr>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 xml:space="preserve">Uiszczono opłatę skarbową w kwocie 239,00 zł </w:t>
      </w:r>
    </w:p>
    <w:p w14:paraId="2A5608AF" w14:textId="77777777" w:rsidR="00AE7261" w:rsidRPr="00AE7261" w:rsidRDefault="00AE7261" w:rsidP="00AE7261">
      <w:pPr>
        <w:tabs>
          <w:tab w:val="left" w:pos="990"/>
        </w:tabs>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Data wpłaty: 11.06.2024 r.</w:t>
      </w:r>
    </w:p>
    <w:p w14:paraId="4197EEAD" w14:textId="77777777" w:rsidR="00AE7261" w:rsidRPr="00AE7261" w:rsidRDefault="00AE7261" w:rsidP="00AE7261">
      <w:pPr>
        <w:spacing w:after="0" w:line="240" w:lineRule="auto"/>
        <w:rPr>
          <w:rFonts w:ascii="Calibri" w:eastAsia="Times New Roman" w:hAnsi="Calibri" w:cs="Calibri"/>
          <w:sz w:val="28"/>
          <w:szCs w:val="28"/>
          <w:lang w:eastAsia="pl-PL"/>
        </w:rPr>
      </w:pPr>
      <w:r w:rsidRPr="00AE7261">
        <w:rPr>
          <w:rFonts w:ascii="Calibri" w:eastAsia="Times New Roman" w:hAnsi="Calibri" w:cs="Calibri"/>
          <w:sz w:val="28"/>
          <w:szCs w:val="28"/>
          <w:lang w:eastAsia="pl-PL"/>
        </w:rPr>
        <w:t>Nr rachunku bankowego: 57 9084 0003 2102 0013 0521 0013</w:t>
      </w:r>
    </w:p>
    <w:p w14:paraId="7CAC3929" w14:textId="77777777" w:rsidR="00AE7261" w:rsidRPr="00AE7261" w:rsidRDefault="00AE7261" w:rsidP="00AE7261">
      <w:pPr>
        <w:spacing w:after="120" w:line="240" w:lineRule="auto"/>
        <w:rPr>
          <w:rFonts w:ascii="Calibri" w:eastAsia="Calibri" w:hAnsi="Calibri" w:cs="Calibri"/>
          <w:sz w:val="28"/>
          <w:szCs w:val="28"/>
        </w:rPr>
      </w:pPr>
    </w:p>
    <w:p w14:paraId="7619E3AF" w14:textId="0B46083C" w:rsidR="00B4306A" w:rsidRDefault="00B4306A">
      <w:pPr>
        <w:rPr>
          <w:rFonts w:ascii="Calibri" w:eastAsia="Calibri" w:hAnsi="Calibri" w:cs="Times New Roman"/>
          <w:kern w:val="2"/>
          <w:sz w:val="28"/>
          <w14:ligatures w14:val="standardContextual"/>
        </w:rPr>
      </w:pPr>
      <w:r>
        <w:rPr>
          <w:rFonts w:ascii="Calibri" w:eastAsia="Calibri" w:hAnsi="Calibri" w:cs="Times New Roman"/>
          <w:kern w:val="2"/>
          <w:sz w:val="28"/>
          <w14:ligatures w14:val="standardContextual"/>
        </w:rPr>
        <w:br w:type="page"/>
      </w:r>
    </w:p>
    <w:tbl>
      <w:tblPr>
        <w:tblW w:w="0" w:type="auto"/>
        <w:tblLook w:val="04A0" w:firstRow="1" w:lastRow="0" w:firstColumn="1" w:lastColumn="0" w:noHBand="0" w:noVBand="1"/>
      </w:tblPr>
      <w:tblGrid>
        <w:gridCol w:w="4077"/>
        <w:gridCol w:w="4850"/>
      </w:tblGrid>
      <w:tr w:rsidR="00511E35" w:rsidRPr="00511E35" w14:paraId="74863C15" w14:textId="77777777" w:rsidTr="002842FC">
        <w:tc>
          <w:tcPr>
            <w:tcW w:w="4077" w:type="dxa"/>
            <w:shd w:val="clear" w:color="auto" w:fill="auto"/>
          </w:tcPr>
          <w:p w14:paraId="0CAD5059" w14:textId="28A4C22B" w:rsidR="00511E35" w:rsidRPr="00511E35" w:rsidRDefault="00511E35" w:rsidP="00511E35">
            <w:pPr>
              <w:tabs>
                <w:tab w:val="left" w:pos="3156"/>
              </w:tabs>
              <w:spacing w:after="0" w:line="240" w:lineRule="auto"/>
              <w:ind w:right="639"/>
              <w:jc w:val="center"/>
              <w:rPr>
                <w:rFonts w:ascii="Calibri" w:eastAsia="Times New Roman" w:hAnsi="Calibri" w:cs="Calibri"/>
                <w:bCs/>
                <w:sz w:val="28"/>
                <w:szCs w:val="28"/>
                <w:lang w:eastAsia="pl-PL"/>
              </w:rPr>
            </w:pPr>
            <w:r w:rsidRPr="00511E35">
              <w:rPr>
                <w:rFonts w:ascii="Calibri" w:eastAsia="Times New Roman" w:hAnsi="Calibri" w:cs="Calibri"/>
                <w:bCs/>
                <w:sz w:val="28"/>
                <w:szCs w:val="28"/>
                <w:lang w:eastAsia="pl-PL"/>
              </w:rPr>
              <w:lastRenderedPageBreak/>
              <w:t>Burmistrz Śremu</w:t>
            </w:r>
          </w:p>
          <w:p w14:paraId="6FF0226C" w14:textId="77777777" w:rsidR="00511E35" w:rsidRPr="00511E35" w:rsidRDefault="00511E35" w:rsidP="00511E35">
            <w:pPr>
              <w:tabs>
                <w:tab w:val="left" w:pos="3156"/>
              </w:tabs>
              <w:spacing w:after="0" w:line="240" w:lineRule="auto"/>
              <w:ind w:right="639"/>
              <w:jc w:val="center"/>
              <w:rPr>
                <w:rFonts w:ascii="Calibri" w:eastAsia="Times New Roman" w:hAnsi="Calibri" w:cs="Calibri"/>
                <w:bCs/>
                <w:sz w:val="28"/>
                <w:szCs w:val="28"/>
                <w:lang w:eastAsia="pl-PL"/>
              </w:rPr>
            </w:pPr>
            <w:r w:rsidRPr="00511E35">
              <w:rPr>
                <w:rFonts w:ascii="Calibri" w:eastAsia="Times New Roman" w:hAnsi="Calibri" w:cs="Calibri"/>
                <w:bCs/>
                <w:sz w:val="28"/>
                <w:szCs w:val="28"/>
                <w:lang w:eastAsia="pl-PL"/>
              </w:rPr>
              <w:t>ul. Plac 20 Października 1</w:t>
            </w:r>
          </w:p>
          <w:p w14:paraId="6A657CFF" w14:textId="77777777" w:rsidR="00511E35" w:rsidRPr="00511E35" w:rsidRDefault="00511E35" w:rsidP="00511E35">
            <w:pPr>
              <w:tabs>
                <w:tab w:val="left" w:pos="3156"/>
              </w:tabs>
              <w:spacing w:after="0" w:line="240" w:lineRule="auto"/>
              <w:ind w:right="639"/>
              <w:jc w:val="center"/>
              <w:rPr>
                <w:rFonts w:ascii="Calibri" w:eastAsia="Times New Roman" w:hAnsi="Calibri" w:cs="Calibri"/>
                <w:bCs/>
                <w:sz w:val="28"/>
                <w:szCs w:val="28"/>
                <w:lang w:eastAsia="pl-PL"/>
              </w:rPr>
            </w:pPr>
            <w:r w:rsidRPr="00511E35">
              <w:rPr>
                <w:rFonts w:ascii="Calibri" w:eastAsia="Times New Roman" w:hAnsi="Calibri" w:cs="Calibri"/>
                <w:bCs/>
                <w:sz w:val="28"/>
                <w:szCs w:val="28"/>
                <w:lang w:eastAsia="pl-PL"/>
              </w:rPr>
              <w:t>63-100 Śrem</w:t>
            </w:r>
          </w:p>
        </w:tc>
        <w:tc>
          <w:tcPr>
            <w:tcW w:w="4850" w:type="dxa"/>
            <w:shd w:val="clear" w:color="auto" w:fill="auto"/>
          </w:tcPr>
          <w:p w14:paraId="527934E7" w14:textId="77777777" w:rsidR="00511E35" w:rsidRPr="00511E35" w:rsidRDefault="00511E35" w:rsidP="00511E35">
            <w:pPr>
              <w:spacing w:after="0" w:line="240" w:lineRule="auto"/>
              <w:jc w:val="both"/>
              <w:rPr>
                <w:rFonts w:ascii="Calibri" w:eastAsia="Times New Roman" w:hAnsi="Calibri" w:cs="Calibri"/>
                <w:bCs/>
                <w:sz w:val="28"/>
                <w:szCs w:val="28"/>
                <w:lang w:eastAsia="pl-PL"/>
              </w:rPr>
            </w:pPr>
            <w:r w:rsidRPr="00511E35">
              <w:rPr>
                <w:rFonts w:ascii="Calibri" w:eastAsia="Times New Roman" w:hAnsi="Calibri" w:cs="Calibri"/>
                <w:bCs/>
                <w:sz w:val="28"/>
                <w:szCs w:val="28"/>
                <w:lang w:eastAsia="pl-PL"/>
              </w:rPr>
              <w:t>Załącznik nr 1</w:t>
            </w:r>
          </w:p>
          <w:p w14:paraId="0EEF5BD6" w14:textId="77777777" w:rsidR="00511E35" w:rsidRPr="00511E35" w:rsidRDefault="00511E35" w:rsidP="00511E35">
            <w:pPr>
              <w:spacing w:after="0" w:line="240" w:lineRule="auto"/>
              <w:jc w:val="both"/>
              <w:rPr>
                <w:rFonts w:ascii="Calibri" w:eastAsia="Times New Roman" w:hAnsi="Calibri" w:cs="Calibri"/>
                <w:bCs/>
                <w:sz w:val="28"/>
                <w:szCs w:val="28"/>
                <w:lang w:eastAsia="pl-PL"/>
              </w:rPr>
            </w:pPr>
            <w:r w:rsidRPr="00511E35">
              <w:rPr>
                <w:rFonts w:ascii="Calibri" w:eastAsia="Times New Roman" w:hAnsi="Calibri" w:cs="Calibri"/>
                <w:bCs/>
                <w:sz w:val="28"/>
                <w:szCs w:val="28"/>
                <w:lang w:eastAsia="pl-PL"/>
              </w:rPr>
              <w:t>do decyzji znak PPSOŚ.6220.13.2024.BM</w:t>
            </w:r>
          </w:p>
          <w:p w14:paraId="0FA2D306" w14:textId="77777777" w:rsidR="00511E35" w:rsidRPr="00511E35" w:rsidRDefault="00511E35" w:rsidP="00511E35">
            <w:pPr>
              <w:spacing w:after="0" w:line="240" w:lineRule="auto"/>
              <w:jc w:val="both"/>
              <w:rPr>
                <w:rFonts w:ascii="Calibri" w:eastAsia="Times New Roman" w:hAnsi="Calibri" w:cs="Calibri"/>
                <w:bCs/>
                <w:sz w:val="28"/>
                <w:szCs w:val="28"/>
                <w:lang w:eastAsia="pl-PL"/>
              </w:rPr>
            </w:pPr>
            <w:r w:rsidRPr="00511E35">
              <w:rPr>
                <w:rFonts w:ascii="Calibri" w:eastAsia="Times New Roman" w:hAnsi="Calibri" w:cs="Calibri"/>
                <w:bCs/>
                <w:sz w:val="28"/>
                <w:szCs w:val="28"/>
                <w:lang w:eastAsia="pl-PL"/>
              </w:rPr>
              <w:t>z 24 czerwca 2025 r.</w:t>
            </w:r>
          </w:p>
        </w:tc>
      </w:tr>
    </w:tbl>
    <w:p w14:paraId="5CBBE697" w14:textId="77777777" w:rsidR="00511E35" w:rsidRPr="00511E35" w:rsidRDefault="00511E35" w:rsidP="00511E35">
      <w:pPr>
        <w:spacing w:before="120" w:after="120" w:line="240" w:lineRule="auto"/>
        <w:rPr>
          <w:rFonts w:ascii="Calibri" w:eastAsia="Calibri" w:hAnsi="Calibri" w:cs="Calibri"/>
          <w:sz w:val="28"/>
          <w:szCs w:val="28"/>
        </w:rPr>
      </w:pPr>
      <w:r w:rsidRPr="00511E35">
        <w:rPr>
          <w:rFonts w:ascii="Calibri" w:eastAsia="Times New Roman" w:hAnsi="Calibri" w:cs="Calibri"/>
          <w:sz w:val="28"/>
          <w:szCs w:val="28"/>
          <w:lang w:eastAsia="pl-PL"/>
        </w:rPr>
        <w:t>Charakterystyka przedsięwzięcia</w:t>
      </w:r>
      <w:r w:rsidRPr="00511E35">
        <w:rPr>
          <w:rFonts w:ascii="Calibri" w:eastAsia="Times New Roman" w:hAnsi="Calibri" w:cs="Calibri"/>
          <w:bCs/>
          <w:sz w:val="28"/>
          <w:szCs w:val="28"/>
          <w:lang w:eastAsia="pl-PL"/>
        </w:rPr>
        <w:t>:</w:t>
      </w:r>
      <w:r w:rsidRPr="00511E35">
        <w:rPr>
          <w:rFonts w:ascii="Calibri" w:eastAsia="Times New Roman" w:hAnsi="Calibri" w:cs="Calibri"/>
          <w:b/>
          <w:sz w:val="28"/>
          <w:szCs w:val="28"/>
          <w:lang w:eastAsia="pl-PL"/>
        </w:rPr>
        <w:t xml:space="preserve"> </w:t>
      </w:r>
      <w:r w:rsidRPr="00511E35">
        <w:rPr>
          <w:rFonts w:ascii="Calibri" w:eastAsia="Calibri" w:hAnsi="Calibri" w:cs="Calibri"/>
          <w:sz w:val="28"/>
          <w:szCs w:val="28"/>
        </w:rPr>
        <w:t>rozbudowa gospodarstwa rolnego zlokalizowanego na działkach o numerach ewidencyjnych 12 i 14, obręb Pysząca, poprzez budowę obory wolnostanowiskowej dla bydła mlecznego wraz z niezbędną infrastrukturą na działce o numerze ewidencyjnym 12, obręb Pysząca.</w:t>
      </w:r>
    </w:p>
    <w:p w14:paraId="2F8A1D87" w14:textId="77777777" w:rsidR="00511E35" w:rsidRPr="00511E35" w:rsidRDefault="00511E35" w:rsidP="00511E35">
      <w:pPr>
        <w:spacing w:after="120" w:line="240" w:lineRule="auto"/>
        <w:ind w:firstLine="708"/>
        <w:contextualSpacing/>
        <w:jc w:val="both"/>
        <w:rPr>
          <w:rFonts w:ascii="Calibri" w:eastAsia="Times New Roman" w:hAnsi="Calibri" w:cs="Calibri"/>
          <w:sz w:val="28"/>
          <w:szCs w:val="28"/>
          <w:shd w:val="clear" w:color="auto" w:fill="FFFFFF"/>
          <w:lang w:eastAsia="pl-PL"/>
        </w:rPr>
      </w:pPr>
    </w:p>
    <w:p w14:paraId="609B8262" w14:textId="77777777" w:rsidR="00511E35" w:rsidRPr="00511E35" w:rsidRDefault="00511E35" w:rsidP="00511E35">
      <w:pPr>
        <w:spacing w:after="120" w:line="240" w:lineRule="auto"/>
        <w:ind w:firstLine="708"/>
        <w:rPr>
          <w:rFonts w:ascii="Calibri" w:eastAsia="Times New Roman" w:hAnsi="Calibri" w:cs="Calibri"/>
          <w:sz w:val="28"/>
          <w:szCs w:val="28"/>
          <w:shd w:val="clear" w:color="auto" w:fill="FFFFFF"/>
          <w:lang w:eastAsia="pl-PL"/>
        </w:rPr>
      </w:pPr>
      <w:r w:rsidRPr="00511E35">
        <w:rPr>
          <w:rFonts w:ascii="Calibri" w:eastAsia="Times New Roman" w:hAnsi="Calibri" w:cs="Calibri"/>
          <w:sz w:val="28"/>
          <w:szCs w:val="28"/>
          <w:shd w:val="clear" w:color="auto" w:fill="FFFFFF"/>
          <w:lang w:eastAsia="pl-PL"/>
        </w:rPr>
        <w:t xml:space="preserve">Przedsięwzięcie polega na rozbudowie gospodarstwa rolnego </w:t>
      </w:r>
      <w:r w:rsidRPr="00511E35">
        <w:rPr>
          <w:rFonts w:ascii="Calibri" w:eastAsia="Calibri" w:hAnsi="Calibri" w:cs="Calibri"/>
          <w:sz w:val="28"/>
          <w:szCs w:val="28"/>
        </w:rPr>
        <w:t>zlokalizowanego na działkach o numerach ewidencyjnych 12 i 14, obręb Pysząca,</w:t>
      </w:r>
      <w:r w:rsidRPr="00511E35">
        <w:rPr>
          <w:rFonts w:ascii="Calibri" w:eastAsia="Times New Roman" w:hAnsi="Calibri" w:cs="Calibri"/>
          <w:sz w:val="28"/>
          <w:szCs w:val="28"/>
          <w:shd w:val="clear" w:color="auto" w:fill="FFFFFF"/>
          <w:lang w:eastAsia="pl-PL"/>
        </w:rPr>
        <w:t xml:space="preserve"> poprzez budowę obory dla bydła mlecznego z niezbędną infrastrukturą, na działce o numerze ewidencyjnym 12, obręb Pysząca. Przedmiotowy teren nie znajduje się w obszarze objętym ustaleniami obowiązującego miejscowego planu zagospodarowania przestrzennego. </w:t>
      </w:r>
    </w:p>
    <w:p w14:paraId="48E5C83C" w14:textId="77777777" w:rsidR="00511E35" w:rsidRPr="00511E35" w:rsidRDefault="00511E35" w:rsidP="00511E35">
      <w:pPr>
        <w:spacing w:after="120" w:line="240" w:lineRule="auto"/>
        <w:ind w:firstLine="708"/>
        <w:rPr>
          <w:rFonts w:ascii="Calibri" w:eastAsia="Times New Roman" w:hAnsi="Calibri" w:cs="Calibri"/>
          <w:sz w:val="28"/>
          <w:szCs w:val="28"/>
          <w:shd w:val="clear" w:color="auto" w:fill="FFFFFF"/>
          <w:lang w:eastAsia="pl-PL"/>
        </w:rPr>
      </w:pPr>
      <w:r w:rsidRPr="00511E35">
        <w:rPr>
          <w:rFonts w:ascii="Calibri" w:eastAsia="Times New Roman" w:hAnsi="Calibri" w:cs="Calibri"/>
          <w:sz w:val="28"/>
          <w:szCs w:val="28"/>
          <w:shd w:val="clear" w:color="auto" w:fill="FFFFFF"/>
          <w:lang w:eastAsia="pl-PL"/>
        </w:rPr>
        <w:t xml:space="preserve">Obecnie w gospodarstwie rolnym prowadzona jest hodowla bydła mlecznego w łącznej obsadzie 155,40 DJP, w trzech budynkach inwentarskich, to jest w oborach: K, G i H. </w:t>
      </w:r>
    </w:p>
    <w:p w14:paraId="323F8F72" w14:textId="77777777" w:rsidR="00511E35" w:rsidRPr="00511E35" w:rsidRDefault="00511E35" w:rsidP="00511E35">
      <w:pPr>
        <w:spacing w:after="0" w:line="240" w:lineRule="auto"/>
        <w:ind w:firstLine="709"/>
        <w:rPr>
          <w:rFonts w:ascii="Calibri" w:eastAsia="Times New Roman" w:hAnsi="Calibri" w:cs="Calibri"/>
          <w:sz w:val="28"/>
          <w:szCs w:val="28"/>
          <w:shd w:val="clear" w:color="auto" w:fill="FFFFFF"/>
          <w:lang w:eastAsia="pl-PL"/>
        </w:rPr>
      </w:pPr>
      <w:r w:rsidRPr="00511E35">
        <w:rPr>
          <w:rFonts w:ascii="Calibri" w:eastAsia="Times New Roman" w:hAnsi="Calibri" w:cs="Calibri"/>
          <w:sz w:val="28"/>
          <w:szCs w:val="28"/>
          <w:shd w:val="clear" w:color="auto" w:fill="FFFFFF"/>
          <w:lang w:eastAsia="pl-PL"/>
        </w:rPr>
        <w:t>W ramach przedsięwzięcia zaplanowano budowę:</w:t>
      </w:r>
    </w:p>
    <w:p w14:paraId="4B6EE699" w14:textId="77777777" w:rsidR="00511E35" w:rsidRPr="00511E35" w:rsidRDefault="00511E35" w:rsidP="00511E35">
      <w:pPr>
        <w:numPr>
          <w:ilvl w:val="0"/>
          <w:numId w:val="42"/>
        </w:numPr>
        <w:spacing w:after="120" w:line="240" w:lineRule="auto"/>
        <w:contextualSpacing/>
        <w:rPr>
          <w:rFonts w:ascii="Calibri" w:eastAsia="Times New Roman" w:hAnsi="Calibri" w:cs="Calibri"/>
          <w:sz w:val="28"/>
          <w:szCs w:val="28"/>
          <w:lang w:eastAsia="pl-PL"/>
        </w:rPr>
      </w:pPr>
      <w:r w:rsidRPr="00511E35">
        <w:rPr>
          <w:rFonts w:ascii="Calibri" w:eastAsia="Times New Roman" w:hAnsi="Calibri" w:cs="Calibri"/>
          <w:sz w:val="28"/>
          <w:szCs w:val="28"/>
          <w:shd w:val="clear" w:color="auto" w:fill="FFFFFF"/>
          <w:lang w:eastAsia="pl-PL"/>
        </w:rPr>
        <w:t>obory wolnostanowiskowej dla bydła mlecznego, to jest obory nr 1, z kanałami gnojowicowymi pod budynkiem o łącznej pojemności nie mniejszej niż 1 000 m</w:t>
      </w:r>
      <w:r w:rsidRPr="00511E35">
        <w:rPr>
          <w:rFonts w:ascii="Calibri" w:eastAsia="Times New Roman" w:hAnsi="Calibri" w:cs="Calibri"/>
          <w:sz w:val="28"/>
          <w:szCs w:val="28"/>
          <w:shd w:val="clear" w:color="auto" w:fill="FFFFFF"/>
          <w:vertAlign w:val="superscript"/>
          <w:lang w:eastAsia="pl-PL"/>
        </w:rPr>
        <w:t>3</w:t>
      </w:r>
      <w:r w:rsidRPr="00511E35">
        <w:rPr>
          <w:rFonts w:ascii="Calibri" w:eastAsia="Times New Roman" w:hAnsi="Calibri" w:cs="Calibri"/>
          <w:sz w:val="28"/>
          <w:szCs w:val="28"/>
          <w:shd w:val="clear" w:color="auto" w:fill="FFFFFF"/>
          <w:lang w:eastAsia="pl-PL"/>
        </w:rPr>
        <w:t xml:space="preserve"> wraz ze zlewnią mleka,</w:t>
      </w:r>
    </w:p>
    <w:p w14:paraId="789161C8" w14:textId="77777777" w:rsidR="00511E35" w:rsidRPr="00511E35" w:rsidRDefault="00511E35" w:rsidP="00511E35">
      <w:pPr>
        <w:numPr>
          <w:ilvl w:val="0"/>
          <w:numId w:val="42"/>
        </w:numPr>
        <w:spacing w:after="120" w:line="240" w:lineRule="auto"/>
        <w:contextualSpacing/>
        <w:rPr>
          <w:rFonts w:ascii="Calibri" w:eastAsia="Times New Roman" w:hAnsi="Calibri" w:cs="Calibri"/>
          <w:sz w:val="28"/>
          <w:szCs w:val="28"/>
          <w:lang w:eastAsia="pl-PL"/>
        </w:rPr>
      </w:pPr>
      <w:r w:rsidRPr="00511E35">
        <w:rPr>
          <w:rFonts w:ascii="Calibri" w:eastAsia="Times New Roman" w:hAnsi="Calibri" w:cs="Calibri"/>
          <w:sz w:val="28"/>
          <w:szCs w:val="28"/>
          <w:shd w:val="clear" w:color="auto" w:fill="FFFFFF"/>
          <w:lang w:eastAsia="pl-PL"/>
        </w:rPr>
        <w:t>zbiornika na gnojówkę i gnojowicę o pojemności nie mniejszej niż 2 600 m</w:t>
      </w:r>
      <w:r w:rsidRPr="00511E35">
        <w:rPr>
          <w:rFonts w:ascii="Calibri" w:eastAsia="Times New Roman" w:hAnsi="Calibri" w:cs="Calibri"/>
          <w:sz w:val="28"/>
          <w:szCs w:val="28"/>
          <w:shd w:val="clear" w:color="auto" w:fill="FFFFFF"/>
          <w:vertAlign w:val="superscript"/>
          <w:lang w:eastAsia="pl-PL"/>
        </w:rPr>
        <w:t>3</w:t>
      </w:r>
      <w:r w:rsidRPr="00511E35">
        <w:rPr>
          <w:rFonts w:ascii="Calibri" w:eastAsia="Times New Roman" w:hAnsi="Calibri" w:cs="Calibri"/>
          <w:sz w:val="28"/>
          <w:szCs w:val="28"/>
          <w:shd w:val="clear" w:color="auto" w:fill="FFFFFF"/>
          <w:lang w:eastAsia="pl-PL"/>
        </w:rPr>
        <w:t xml:space="preserve">, </w:t>
      </w:r>
    </w:p>
    <w:p w14:paraId="7C612C90" w14:textId="77777777" w:rsidR="00511E35" w:rsidRPr="00511E35" w:rsidRDefault="00511E35" w:rsidP="00511E35">
      <w:pPr>
        <w:numPr>
          <w:ilvl w:val="0"/>
          <w:numId w:val="42"/>
        </w:numPr>
        <w:spacing w:after="120" w:line="240" w:lineRule="auto"/>
        <w:contextualSpacing/>
        <w:rPr>
          <w:rFonts w:ascii="Calibri" w:eastAsia="Times New Roman" w:hAnsi="Calibri" w:cs="Calibri"/>
          <w:sz w:val="28"/>
          <w:szCs w:val="28"/>
          <w:lang w:eastAsia="pl-PL"/>
        </w:rPr>
      </w:pPr>
      <w:r w:rsidRPr="00511E35">
        <w:rPr>
          <w:rFonts w:ascii="Calibri" w:eastAsia="Times New Roman" w:hAnsi="Calibri" w:cs="Calibri"/>
          <w:sz w:val="28"/>
          <w:szCs w:val="28"/>
          <w:shd w:val="clear" w:color="auto" w:fill="FFFFFF"/>
          <w:lang w:eastAsia="pl-PL"/>
        </w:rPr>
        <w:t>zbiornika na ścieki technologiczne o pojemności około 15 m</w:t>
      </w:r>
      <w:r w:rsidRPr="00511E35">
        <w:rPr>
          <w:rFonts w:ascii="Calibri" w:eastAsia="Times New Roman" w:hAnsi="Calibri" w:cs="Calibri"/>
          <w:sz w:val="28"/>
          <w:szCs w:val="28"/>
          <w:shd w:val="clear" w:color="auto" w:fill="FFFFFF"/>
          <w:vertAlign w:val="superscript"/>
          <w:lang w:eastAsia="pl-PL"/>
        </w:rPr>
        <w:t>3</w:t>
      </w:r>
      <w:r w:rsidRPr="00511E35">
        <w:rPr>
          <w:rFonts w:ascii="Calibri" w:eastAsia="Times New Roman" w:hAnsi="Calibri" w:cs="Calibri"/>
          <w:sz w:val="28"/>
          <w:szCs w:val="28"/>
          <w:shd w:val="clear" w:color="auto" w:fill="FFFFFF"/>
          <w:lang w:eastAsia="pl-PL"/>
        </w:rPr>
        <w:t xml:space="preserve">, </w:t>
      </w:r>
    </w:p>
    <w:p w14:paraId="36F79AB5" w14:textId="77777777" w:rsidR="00511E35" w:rsidRPr="00511E35" w:rsidRDefault="00511E35" w:rsidP="00511E35">
      <w:pPr>
        <w:numPr>
          <w:ilvl w:val="0"/>
          <w:numId w:val="42"/>
        </w:numPr>
        <w:spacing w:after="120" w:line="240" w:lineRule="auto"/>
        <w:contextualSpacing/>
        <w:rPr>
          <w:rFonts w:ascii="Calibri" w:eastAsia="Times New Roman" w:hAnsi="Calibri" w:cs="Calibri"/>
          <w:sz w:val="28"/>
          <w:szCs w:val="28"/>
          <w:lang w:eastAsia="pl-PL"/>
        </w:rPr>
      </w:pPr>
      <w:r w:rsidRPr="00511E35">
        <w:rPr>
          <w:rFonts w:ascii="Calibri" w:eastAsia="Times New Roman" w:hAnsi="Calibri" w:cs="Calibri"/>
          <w:sz w:val="28"/>
          <w:szCs w:val="28"/>
          <w:shd w:val="clear" w:color="auto" w:fill="FFFFFF"/>
          <w:lang w:eastAsia="pl-PL"/>
        </w:rPr>
        <w:t>zbiornika na ścieki bytowe o pojemności około 5 m</w:t>
      </w:r>
      <w:r w:rsidRPr="00511E35">
        <w:rPr>
          <w:rFonts w:ascii="Calibri" w:eastAsia="Times New Roman" w:hAnsi="Calibri" w:cs="Calibri"/>
          <w:sz w:val="28"/>
          <w:szCs w:val="28"/>
          <w:shd w:val="clear" w:color="auto" w:fill="FFFFFF"/>
          <w:vertAlign w:val="superscript"/>
          <w:lang w:eastAsia="pl-PL"/>
        </w:rPr>
        <w:t>3</w:t>
      </w:r>
      <w:r w:rsidRPr="00511E35">
        <w:rPr>
          <w:rFonts w:ascii="Calibri" w:eastAsia="Times New Roman" w:hAnsi="Calibri" w:cs="Calibri"/>
          <w:sz w:val="28"/>
          <w:szCs w:val="28"/>
          <w:shd w:val="clear" w:color="auto" w:fill="FFFFFF"/>
          <w:lang w:eastAsia="pl-PL"/>
        </w:rPr>
        <w:t xml:space="preserve">, </w:t>
      </w:r>
    </w:p>
    <w:p w14:paraId="53F6D81C" w14:textId="77777777" w:rsidR="00511E35" w:rsidRPr="00511E35" w:rsidRDefault="00511E35" w:rsidP="00511E35">
      <w:pPr>
        <w:numPr>
          <w:ilvl w:val="0"/>
          <w:numId w:val="42"/>
        </w:numPr>
        <w:spacing w:after="120" w:line="240" w:lineRule="auto"/>
        <w:contextualSpacing/>
        <w:rPr>
          <w:rFonts w:ascii="Calibri" w:eastAsia="Times New Roman" w:hAnsi="Calibri" w:cs="Calibri"/>
          <w:sz w:val="28"/>
          <w:szCs w:val="28"/>
          <w:lang w:eastAsia="pl-PL"/>
        </w:rPr>
      </w:pPr>
      <w:r w:rsidRPr="00511E35">
        <w:rPr>
          <w:rFonts w:ascii="Calibri" w:eastAsia="Times New Roman" w:hAnsi="Calibri" w:cs="Calibri"/>
          <w:sz w:val="28"/>
          <w:szCs w:val="28"/>
          <w:shd w:val="clear" w:color="auto" w:fill="FFFFFF"/>
          <w:lang w:eastAsia="pl-PL"/>
        </w:rPr>
        <w:t>konfiskatora sztuk padłych,</w:t>
      </w:r>
    </w:p>
    <w:p w14:paraId="3FCD9984" w14:textId="77777777" w:rsidR="00511E35" w:rsidRPr="00511E35" w:rsidRDefault="00511E35" w:rsidP="00511E35">
      <w:pPr>
        <w:numPr>
          <w:ilvl w:val="0"/>
          <w:numId w:val="42"/>
        </w:numPr>
        <w:spacing w:after="120" w:line="240" w:lineRule="auto"/>
        <w:contextualSpacing/>
        <w:rPr>
          <w:rFonts w:ascii="Calibri" w:eastAsia="Times New Roman" w:hAnsi="Calibri" w:cs="Calibri"/>
          <w:sz w:val="28"/>
          <w:szCs w:val="28"/>
          <w:lang w:eastAsia="pl-PL"/>
        </w:rPr>
      </w:pPr>
      <w:r w:rsidRPr="00511E35">
        <w:rPr>
          <w:rFonts w:ascii="Calibri" w:eastAsia="Times New Roman" w:hAnsi="Calibri" w:cs="Calibri"/>
          <w:sz w:val="28"/>
          <w:szCs w:val="28"/>
          <w:shd w:val="clear" w:color="auto" w:fill="FFFFFF"/>
          <w:lang w:eastAsia="pl-PL"/>
        </w:rPr>
        <w:t>silosa na paszę o możliwości przechowywania pasz w ilości 15 Mg,</w:t>
      </w:r>
    </w:p>
    <w:p w14:paraId="4D8733A5" w14:textId="77777777" w:rsidR="00511E35" w:rsidRPr="00511E35" w:rsidRDefault="00511E35" w:rsidP="00511E35">
      <w:pPr>
        <w:numPr>
          <w:ilvl w:val="0"/>
          <w:numId w:val="42"/>
        </w:numPr>
        <w:spacing w:after="120" w:line="240" w:lineRule="auto"/>
        <w:contextualSpacing/>
        <w:rPr>
          <w:rFonts w:ascii="Calibri" w:eastAsia="Times New Roman" w:hAnsi="Calibri" w:cs="Calibri"/>
          <w:sz w:val="28"/>
          <w:szCs w:val="28"/>
          <w:lang w:eastAsia="pl-PL"/>
        </w:rPr>
      </w:pPr>
      <w:r w:rsidRPr="00511E35">
        <w:rPr>
          <w:rFonts w:ascii="Calibri" w:eastAsia="Times New Roman" w:hAnsi="Calibri" w:cs="Calibri"/>
          <w:sz w:val="28"/>
          <w:szCs w:val="28"/>
          <w:shd w:val="clear" w:color="auto" w:fill="FFFFFF"/>
          <w:lang w:eastAsia="pl-PL"/>
        </w:rPr>
        <w:t>silosa na paszę o możliwości przechowywania pasz w ilości 28 Mg</w:t>
      </w:r>
    </w:p>
    <w:p w14:paraId="56D520D9" w14:textId="77777777" w:rsidR="00511E35" w:rsidRPr="00511E35" w:rsidRDefault="00511E35" w:rsidP="00511E35">
      <w:pPr>
        <w:numPr>
          <w:ilvl w:val="0"/>
          <w:numId w:val="42"/>
        </w:numPr>
        <w:spacing w:after="0" w:line="240" w:lineRule="auto"/>
        <w:rPr>
          <w:rFonts w:ascii="Calibri" w:eastAsia="Times New Roman" w:hAnsi="Calibri" w:cs="Calibri"/>
          <w:sz w:val="28"/>
          <w:szCs w:val="28"/>
          <w:lang w:eastAsia="pl-PL"/>
        </w:rPr>
      </w:pPr>
      <w:r w:rsidRPr="00511E35">
        <w:rPr>
          <w:rFonts w:ascii="Calibri" w:eastAsia="Times New Roman" w:hAnsi="Calibri" w:cs="Calibri"/>
          <w:sz w:val="28"/>
          <w:szCs w:val="28"/>
          <w:shd w:val="clear" w:color="auto" w:fill="FFFFFF"/>
          <w:lang w:eastAsia="pl-PL"/>
        </w:rPr>
        <w:t>utwardzeń na powierzchni około 2 400 m</w:t>
      </w:r>
      <w:r w:rsidRPr="00511E35">
        <w:rPr>
          <w:rFonts w:ascii="Calibri" w:eastAsia="Times New Roman" w:hAnsi="Calibri" w:cs="Calibri"/>
          <w:sz w:val="28"/>
          <w:szCs w:val="28"/>
          <w:shd w:val="clear" w:color="auto" w:fill="FFFFFF"/>
          <w:vertAlign w:val="superscript"/>
          <w:lang w:eastAsia="pl-PL"/>
        </w:rPr>
        <w:t>2</w:t>
      </w:r>
      <w:r w:rsidRPr="00511E35">
        <w:rPr>
          <w:rFonts w:ascii="Calibri" w:eastAsia="Times New Roman" w:hAnsi="Calibri" w:cs="Calibri"/>
          <w:sz w:val="28"/>
          <w:szCs w:val="28"/>
          <w:shd w:val="clear" w:color="auto" w:fill="FFFFFF"/>
          <w:lang w:eastAsia="pl-PL"/>
        </w:rPr>
        <w:t>,</w:t>
      </w:r>
    </w:p>
    <w:p w14:paraId="495A11DA" w14:textId="77777777" w:rsidR="00511E35" w:rsidRPr="00511E35" w:rsidRDefault="00511E35" w:rsidP="00511E35">
      <w:pPr>
        <w:spacing w:after="120" w:line="240" w:lineRule="auto"/>
        <w:ind w:firstLine="426"/>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oraz nasadzenia zieleni izolacyjnej wzdłuż części wschodnich granic działek o numerach ewidencyjnych 12 i 14, obręb Pysząca.</w:t>
      </w:r>
    </w:p>
    <w:p w14:paraId="1F6BBD0D"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p>
    <w:p w14:paraId="034061EF"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p>
    <w:p w14:paraId="57F9C8DE" w14:textId="77777777" w:rsidR="00511E35" w:rsidRPr="00511E35" w:rsidRDefault="00511E35" w:rsidP="00511E35">
      <w:pPr>
        <w:spacing w:after="120" w:line="240" w:lineRule="auto"/>
        <w:rPr>
          <w:rFonts w:ascii="Calibri" w:eastAsia="Times New Roman" w:hAnsi="Calibri" w:cs="Calibri"/>
          <w:sz w:val="28"/>
          <w:szCs w:val="28"/>
          <w:lang w:eastAsia="pl-PL"/>
        </w:rPr>
      </w:pPr>
    </w:p>
    <w:p w14:paraId="249BCB96" w14:textId="77777777" w:rsidR="00511E35" w:rsidRPr="00511E35" w:rsidRDefault="00511E35" w:rsidP="00511E35">
      <w:pPr>
        <w:spacing w:after="120" w:line="240" w:lineRule="auto"/>
        <w:rPr>
          <w:rFonts w:ascii="Calibri" w:eastAsia="Times New Roman" w:hAnsi="Calibri" w:cs="Calibri"/>
          <w:sz w:val="28"/>
          <w:szCs w:val="28"/>
          <w:lang w:eastAsia="pl-PL"/>
        </w:rPr>
      </w:pPr>
    </w:p>
    <w:p w14:paraId="07DE094B" w14:textId="77777777" w:rsidR="00511E35" w:rsidRPr="00511E35" w:rsidRDefault="00511E35" w:rsidP="00511E35">
      <w:pPr>
        <w:spacing w:after="120" w:line="240" w:lineRule="auto"/>
        <w:rPr>
          <w:rFonts w:ascii="Calibri" w:eastAsia="Times New Roman" w:hAnsi="Calibri" w:cs="Calibri"/>
          <w:sz w:val="28"/>
          <w:szCs w:val="28"/>
          <w:lang w:eastAsia="pl-PL"/>
        </w:rPr>
      </w:pPr>
      <w:r w:rsidRPr="00511E35">
        <w:rPr>
          <w:rFonts w:ascii="Calibri" w:eastAsia="Times New Roman" w:hAnsi="Calibri" w:cs="Calibri"/>
          <w:noProof/>
          <w:sz w:val="28"/>
          <w:szCs w:val="28"/>
          <w:lang w:eastAsia="pl-PL"/>
        </w:rPr>
        <w:lastRenderedPageBreak/>
        <w:drawing>
          <wp:inline distT="0" distB="0" distL="0" distR="0" wp14:anchorId="6F7451E8" wp14:editId="5C773574">
            <wp:extent cx="5579745" cy="4134485"/>
            <wp:effectExtent l="0" t="0" r="1905" b="0"/>
            <wp:docPr id="1474143852" name="Obraz 1" descr="Obraz zawierający tekst, mapa, diagram, Plan&#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143852" name="Obraz 1" descr="Obraz zawierający tekst, mapa, diagram, Plan&#10;&#10;Zawartość wygenerowana przez AI może być niepoprawna."/>
                    <pic:cNvPicPr/>
                  </pic:nvPicPr>
                  <pic:blipFill>
                    <a:blip r:embed="rId13"/>
                    <a:stretch>
                      <a:fillRect/>
                    </a:stretch>
                  </pic:blipFill>
                  <pic:spPr>
                    <a:xfrm>
                      <a:off x="0" y="0"/>
                      <a:ext cx="5579745" cy="4134485"/>
                    </a:xfrm>
                    <a:prstGeom prst="rect">
                      <a:avLst/>
                    </a:prstGeom>
                  </pic:spPr>
                </pic:pic>
              </a:graphicData>
            </a:graphic>
          </wp:inline>
        </w:drawing>
      </w:r>
    </w:p>
    <w:p w14:paraId="6C1746E1" w14:textId="77777777" w:rsidR="00511E35" w:rsidRPr="00511E35" w:rsidRDefault="00511E35" w:rsidP="00511E35">
      <w:pPr>
        <w:spacing w:after="120" w:line="240" w:lineRule="auto"/>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Rysunek 1. Wstępna koncepcja zagospodarowania terenu przedsięwzięcia.</w:t>
      </w:r>
    </w:p>
    <w:p w14:paraId="54070E43"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W związku z realizacją przedsięwzięcia w istniejących budynkach inwentarskich zostanie zmieniony rozkład poszczególnych grup wiekowych bydła mlecznego, a krowy dojne i zasuszone zostaną przeniesione do projektowanej obory nr 1.</w:t>
      </w:r>
    </w:p>
    <w:p w14:paraId="2DBB092A"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Obsada zwierząt wraz ze sposobem ich utrzymania w budynkach inwentarskich po realizacji przedsięwzięcia przedstawia się następująco:</w:t>
      </w:r>
    </w:p>
    <w:tbl>
      <w:tblPr>
        <w:tblStyle w:val="Tabela-Siatka2"/>
        <w:tblW w:w="0" w:type="auto"/>
        <w:tblLook w:val="04A0" w:firstRow="1" w:lastRow="0" w:firstColumn="1" w:lastColumn="0" w:noHBand="0" w:noVBand="1"/>
      </w:tblPr>
      <w:tblGrid>
        <w:gridCol w:w="2405"/>
        <w:gridCol w:w="1134"/>
        <w:gridCol w:w="1418"/>
        <w:gridCol w:w="1984"/>
        <w:gridCol w:w="1695"/>
      </w:tblGrid>
      <w:tr w:rsidR="00511E35" w:rsidRPr="00511E35" w14:paraId="7DABAB1F" w14:textId="77777777" w:rsidTr="002842FC">
        <w:trPr>
          <w:tblHeader/>
        </w:trPr>
        <w:tc>
          <w:tcPr>
            <w:tcW w:w="8636" w:type="dxa"/>
            <w:gridSpan w:val="5"/>
            <w:vAlign w:val="center"/>
          </w:tcPr>
          <w:p w14:paraId="7B5B6E84" w14:textId="77777777" w:rsidR="00511E35" w:rsidRPr="00511E35" w:rsidRDefault="00511E35" w:rsidP="00511E35">
            <w:pPr>
              <w:spacing w:after="120"/>
              <w:jc w:val="center"/>
              <w:rPr>
                <w:rFonts w:ascii="Calibri" w:eastAsia="Times New Roman" w:hAnsi="Calibri" w:cs="Calibri"/>
                <w:color w:val="2F5496"/>
                <w:sz w:val="24"/>
                <w:szCs w:val="24"/>
              </w:rPr>
            </w:pPr>
            <w:bookmarkStart w:id="23" w:name="_Hlk100744655"/>
            <w:r w:rsidRPr="00511E35">
              <w:rPr>
                <w:rFonts w:ascii="Calibri" w:eastAsia="Times New Roman" w:hAnsi="Calibri" w:cs="Calibri"/>
                <w:color w:val="2F5496"/>
                <w:sz w:val="24"/>
                <w:szCs w:val="24"/>
              </w:rPr>
              <w:t>obsada zwierząt po zrealizowaniu przedsięwzięcia</w:t>
            </w:r>
          </w:p>
        </w:tc>
      </w:tr>
      <w:tr w:rsidR="00511E35" w:rsidRPr="00511E35" w14:paraId="57518D32" w14:textId="77777777" w:rsidTr="002842FC">
        <w:trPr>
          <w:tblHeader/>
        </w:trPr>
        <w:tc>
          <w:tcPr>
            <w:tcW w:w="2405" w:type="dxa"/>
            <w:vAlign w:val="center"/>
          </w:tcPr>
          <w:p w14:paraId="3DD0B721" w14:textId="77777777" w:rsidR="00511E35" w:rsidRPr="00511E35" w:rsidRDefault="00511E35" w:rsidP="00511E35">
            <w:pPr>
              <w:spacing w:after="120"/>
              <w:jc w:val="center"/>
              <w:rPr>
                <w:rFonts w:ascii="Calibri" w:eastAsia="Times New Roman" w:hAnsi="Calibri" w:cs="Calibri"/>
                <w:color w:val="2F5496"/>
                <w:sz w:val="24"/>
                <w:szCs w:val="24"/>
              </w:rPr>
            </w:pPr>
            <w:r w:rsidRPr="00511E35">
              <w:rPr>
                <w:rFonts w:ascii="Calibri" w:eastAsia="Times New Roman" w:hAnsi="Calibri" w:cs="Calibri"/>
                <w:color w:val="2F5496"/>
                <w:sz w:val="24"/>
                <w:szCs w:val="24"/>
              </w:rPr>
              <w:t>rodzaj zwierząt</w:t>
            </w:r>
          </w:p>
        </w:tc>
        <w:tc>
          <w:tcPr>
            <w:tcW w:w="1134" w:type="dxa"/>
            <w:vAlign w:val="center"/>
          </w:tcPr>
          <w:p w14:paraId="0B0E3200" w14:textId="77777777" w:rsidR="00511E35" w:rsidRPr="00511E35" w:rsidRDefault="00511E35" w:rsidP="00511E35">
            <w:pPr>
              <w:spacing w:after="120"/>
              <w:jc w:val="center"/>
              <w:rPr>
                <w:rFonts w:ascii="Calibri" w:eastAsia="Times New Roman" w:hAnsi="Calibri" w:cs="Calibri"/>
                <w:color w:val="2F5496"/>
                <w:sz w:val="24"/>
                <w:szCs w:val="24"/>
              </w:rPr>
            </w:pPr>
            <w:r w:rsidRPr="00511E35">
              <w:rPr>
                <w:rFonts w:ascii="Calibri" w:eastAsia="Times New Roman" w:hAnsi="Calibri" w:cs="Calibri"/>
                <w:color w:val="2F5496"/>
                <w:sz w:val="24"/>
                <w:szCs w:val="24"/>
              </w:rPr>
              <w:t>liczba</w:t>
            </w:r>
          </w:p>
        </w:tc>
        <w:tc>
          <w:tcPr>
            <w:tcW w:w="1418" w:type="dxa"/>
            <w:vAlign w:val="center"/>
          </w:tcPr>
          <w:p w14:paraId="3AA0E8A4" w14:textId="77777777" w:rsidR="00511E35" w:rsidRPr="00511E35" w:rsidRDefault="00511E35" w:rsidP="00511E35">
            <w:pPr>
              <w:spacing w:after="120"/>
              <w:jc w:val="center"/>
              <w:rPr>
                <w:rFonts w:ascii="Calibri" w:eastAsia="Times New Roman" w:hAnsi="Calibri" w:cs="Calibri"/>
                <w:color w:val="2F5496"/>
                <w:sz w:val="24"/>
                <w:szCs w:val="24"/>
              </w:rPr>
            </w:pPr>
            <w:r w:rsidRPr="00511E35">
              <w:rPr>
                <w:rFonts w:ascii="Calibri" w:eastAsia="Times New Roman" w:hAnsi="Calibri" w:cs="Calibri"/>
                <w:color w:val="2F5496"/>
                <w:sz w:val="24"/>
                <w:szCs w:val="24"/>
              </w:rPr>
              <w:t>DJP</w:t>
            </w:r>
          </w:p>
        </w:tc>
        <w:tc>
          <w:tcPr>
            <w:tcW w:w="1984" w:type="dxa"/>
            <w:vAlign w:val="center"/>
          </w:tcPr>
          <w:p w14:paraId="4A09AFB9" w14:textId="77777777" w:rsidR="00511E35" w:rsidRPr="00511E35" w:rsidRDefault="00511E35" w:rsidP="00511E35">
            <w:pPr>
              <w:spacing w:after="120"/>
              <w:jc w:val="center"/>
              <w:rPr>
                <w:rFonts w:ascii="Calibri" w:eastAsia="Times New Roman" w:hAnsi="Calibri" w:cs="Calibri"/>
                <w:color w:val="2F5496"/>
                <w:sz w:val="24"/>
                <w:szCs w:val="24"/>
              </w:rPr>
            </w:pPr>
            <w:r w:rsidRPr="00511E35">
              <w:rPr>
                <w:rFonts w:ascii="Calibri" w:eastAsia="Times New Roman" w:hAnsi="Calibri" w:cs="Calibri"/>
                <w:color w:val="2F5496"/>
                <w:sz w:val="24"/>
                <w:szCs w:val="24"/>
              </w:rPr>
              <w:t>system chowu</w:t>
            </w:r>
          </w:p>
        </w:tc>
        <w:tc>
          <w:tcPr>
            <w:tcW w:w="1695" w:type="dxa"/>
            <w:vAlign w:val="center"/>
          </w:tcPr>
          <w:p w14:paraId="70A7255E" w14:textId="77777777" w:rsidR="00511E35" w:rsidRPr="00511E35" w:rsidRDefault="00511E35" w:rsidP="00511E35">
            <w:pPr>
              <w:spacing w:after="120"/>
              <w:jc w:val="center"/>
              <w:rPr>
                <w:rFonts w:ascii="Calibri" w:eastAsia="Times New Roman" w:hAnsi="Calibri" w:cs="Calibri"/>
                <w:color w:val="2F5496"/>
                <w:sz w:val="24"/>
                <w:szCs w:val="24"/>
              </w:rPr>
            </w:pPr>
            <w:r w:rsidRPr="00511E35">
              <w:rPr>
                <w:rFonts w:ascii="Calibri" w:eastAsia="Times New Roman" w:hAnsi="Calibri" w:cs="Calibri"/>
                <w:color w:val="2F5496"/>
                <w:sz w:val="24"/>
                <w:szCs w:val="24"/>
              </w:rPr>
              <w:t>maksymalna powierzchnia hodowlana</w:t>
            </w:r>
          </w:p>
        </w:tc>
      </w:tr>
      <w:bookmarkEnd w:id="23"/>
      <w:tr w:rsidR="00511E35" w:rsidRPr="00511E35" w14:paraId="73380A10" w14:textId="77777777" w:rsidTr="002842FC">
        <w:tc>
          <w:tcPr>
            <w:tcW w:w="6941" w:type="dxa"/>
            <w:gridSpan w:val="4"/>
            <w:vAlign w:val="center"/>
          </w:tcPr>
          <w:p w14:paraId="6EA28F5A"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obora nr 1</w:t>
            </w:r>
          </w:p>
        </w:tc>
        <w:tc>
          <w:tcPr>
            <w:tcW w:w="1695" w:type="dxa"/>
            <w:vAlign w:val="center"/>
          </w:tcPr>
          <w:p w14:paraId="6D6267E1"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915,3 m</w:t>
            </w:r>
            <w:r w:rsidRPr="00511E35">
              <w:rPr>
                <w:rFonts w:ascii="Calibri" w:eastAsia="Times New Roman" w:hAnsi="Calibri" w:cs="Calibri"/>
                <w:sz w:val="24"/>
                <w:szCs w:val="24"/>
                <w:vertAlign w:val="superscript"/>
              </w:rPr>
              <w:t>2</w:t>
            </w:r>
          </w:p>
        </w:tc>
      </w:tr>
      <w:tr w:rsidR="00511E35" w:rsidRPr="00511E35" w14:paraId="6F77A112" w14:textId="77777777" w:rsidTr="002842FC">
        <w:tc>
          <w:tcPr>
            <w:tcW w:w="2405" w:type="dxa"/>
            <w:vAlign w:val="center"/>
          </w:tcPr>
          <w:p w14:paraId="47E6F43C"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krowy dojne</w:t>
            </w:r>
          </w:p>
        </w:tc>
        <w:tc>
          <w:tcPr>
            <w:tcW w:w="1134" w:type="dxa"/>
            <w:vAlign w:val="center"/>
          </w:tcPr>
          <w:p w14:paraId="02347559"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240</w:t>
            </w:r>
          </w:p>
        </w:tc>
        <w:tc>
          <w:tcPr>
            <w:tcW w:w="1418" w:type="dxa"/>
            <w:vAlign w:val="center"/>
          </w:tcPr>
          <w:p w14:paraId="318678C0"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240</w:t>
            </w:r>
          </w:p>
        </w:tc>
        <w:tc>
          <w:tcPr>
            <w:tcW w:w="1984" w:type="dxa"/>
            <w:vMerge w:val="restart"/>
            <w:vAlign w:val="center"/>
          </w:tcPr>
          <w:p w14:paraId="0ED3380B"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płytka ściółka i bezściołowo</w:t>
            </w:r>
          </w:p>
        </w:tc>
        <w:tc>
          <w:tcPr>
            <w:tcW w:w="1695" w:type="dxa"/>
            <w:vAlign w:val="center"/>
          </w:tcPr>
          <w:p w14:paraId="5819C3C1"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w:t>
            </w:r>
          </w:p>
        </w:tc>
      </w:tr>
      <w:tr w:rsidR="00511E35" w:rsidRPr="00511E35" w14:paraId="30E49BCF" w14:textId="77777777" w:rsidTr="002842FC">
        <w:tc>
          <w:tcPr>
            <w:tcW w:w="2405" w:type="dxa"/>
            <w:vAlign w:val="center"/>
          </w:tcPr>
          <w:p w14:paraId="5B6B2733"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krowy zasuszone</w:t>
            </w:r>
          </w:p>
        </w:tc>
        <w:tc>
          <w:tcPr>
            <w:tcW w:w="1134" w:type="dxa"/>
            <w:vAlign w:val="center"/>
          </w:tcPr>
          <w:p w14:paraId="38CBAC84"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37</w:t>
            </w:r>
          </w:p>
        </w:tc>
        <w:tc>
          <w:tcPr>
            <w:tcW w:w="1418" w:type="dxa"/>
            <w:vAlign w:val="center"/>
          </w:tcPr>
          <w:p w14:paraId="78A60763"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37</w:t>
            </w:r>
          </w:p>
        </w:tc>
        <w:tc>
          <w:tcPr>
            <w:tcW w:w="1984" w:type="dxa"/>
            <w:vMerge/>
            <w:vAlign w:val="center"/>
          </w:tcPr>
          <w:p w14:paraId="14764D17" w14:textId="77777777" w:rsidR="00511E35" w:rsidRPr="00511E35" w:rsidRDefault="00511E35" w:rsidP="00511E35">
            <w:pPr>
              <w:spacing w:after="120"/>
              <w:jc w:val="center"/>
              <w:rPr>
                <w:rFonts w:ascii="Calibri" w:eastAsia="Times New Roman" w:hAnsi="Calibri" w:cs="Calibri"/>
                <w:sz w:val="24"/>
                <w:szCs w:val="24"/>
              </w:rPr>
            </w:pPr>
          </w:p>
        </w:tc>
        <w:tc>
          <w:tcPr>
            <w:tcW w:w="1695" w:type="dxa"/>
            <w:vAlign w:val="center"/>
          </w:tcPr>
          <w:p w14:paraId="19782308"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w:t>
            </w:r>
          </w:p>
        </w:tc>
      </w:tr>
      <w:tr w:rsidR="00511E35" w:rsidRPr="00511E35" w14:paraId="701C4A41" w14:textId="77777777" w:rsidTr="002842FC">
        <w:tc>
          <w:tcPr>
            <w:tcW w:w="6941" w:type="dxa"/>
            <w:gridSpan w:val="4"/>
            <w:vAlign w:val="center"/>
          </w:tcPr>
          <w:p w14:paraId="4D3A2CFD"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obora K</w:t>
            </w:r>
          </w:p>
        </w:tc>
        <w:tc>
          <w:tcPr>
            <w:tcW w:w="1695" w:type="dxa"/>
            <w:vAlign w:val="center"/>
          </w:tcPr>
          <w:p w14:paraId="4BDCC91D"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446,14 m</w:t>
            </w:r>
            <w:r w:rsidRPr="00511E35">
              <w:rPr>
                <w:rFonts w:ascii="Calibri" w:eastAsia="Times New Roman" w:hAnsi="Calibri" w:cs="Calibri"/>
                <w:sz w:val="24"/>
                <w:szCs w:val="24"/>
                <w:vertAlign w:val="superscript"/>
              </w:rPr>
              <w:t>2</w:t>
            </w:r>
          </w:p>
        </w:tc>
      </w:tr>
      <w:tr w:rsidR="00511E35" w:rsidRPr="00511E35" w14:paraId="62B0F9EF" w14:textId="77777777" w:rsidTr="002842FC">
        <w:tc>
          <w:tcPr>
            <w:tcW w:w="2405" w:type="dxa"/>
            <w:vAlign w:val="center"/>
          </w:tcPr>
          <w:p w14:paraId="08598EF6"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jałówki cielne</w:t>
            </w:r>
          </w:p>
        </w:tc>
        <w:tc>
          <w:tcPr>
            <w:tcW w:w="1134" w:type="dxa"/>
            <w:vAlign w:val="center"/>
          </w:tcPr>
          <w:p w14:paraId="6ECE23D8"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110</w:t>
            </w:r>
          </w:p>
        </w:tc>
        <w:tc>
          <w:tcPr>
            <w:tcW w:w="1418" w:type="dxa"/>
            <w:vAlign w:val="center"/>
          </w:tcPr>
          <w:p w14:paraId="75420350"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110</w:t>
            </w:r>
          </w:p>
        </w:tc>
        <w:tc>
          <w:tcPr>
            <w:tcW w:w="1984" w:type="dxa"/>
            <w:vMerge w:val="restart"/>
            <w:vAlign w:val="center"/>
          </w:tcPr>
          <w:p w14:paraId="0085F8FF"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płytka ściółka i bezściołowo</w:t>
            </w:r>
          </w:p>
        </w:tc>
        <w:tc>
          <w:tcPr>
            <w:tcW w:w="1695" w:type="dxa"/>
            <w:vAlign w:val="center"/>
          </w:tcPr>
          <w:p w14:paraId="2EADF587"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w:t>
            </w:r>
          </w:p>
        </w:tc>
      </w:tr>
      <w:tr w:rsidR="00511E35" w:rsidRPr="00511E35" w14:paraId="3EB55B87" w14:textId="77777777" w:rsidTr="002842FC">
        <w:tc>
          <w:tcPr>
            <w:tcW w:w="2405" w:type="dxa"/>
            <w:vAlign w:val="center"/>
          </w:tcPr>
          <w:p w14:paraId="3A712C84"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jałówki powyżej roku</w:t>
            </w:r>
          </w:p>
        </w:tc>
        <w:tc>
          <w:tcPr>
            <w:tcW w:w="1134" w:type="dxa"/>
            <w:vAlign w:val="center"/>
          </w:tcPr>
          <w:p w14:paraId="22C5884A"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38</w:t>
            </w:r>
          </w:p>
        </w:tc>
        <w:tc>
          <w:tcPr>
            <w:tcW w:w="1418" w:type="dxa"/>
            <w:vAlign w:val="center"/>
          </w:tcPr>
          <w:p w14:paraId="0F0A4B8A"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30,4</w:t>
            </w:r>
          </w:p>
        </w:tc>
        <w:tc>
          <w:tcPr>
            <w:tcW w:w="1984" w:type="dxa"/>
            <w:vMerge/>
            <w:vAlign w:val="center"/>
          </w:tcPr>
          <w:p w14:paraId="190099A5" w14:textId="77777777" w:rsidR="00511E35" w:rsidRPr="00511E35" w:rsidRDefault="00511E35" w:rsidP="00511E35">
            <w:pPr>
              <w:spacing w:after="120"/>
              <w:jc w:val="center"/>
              <w:rPr>
                <w:rFonts w:ascii="Calibri" w:eastAsia="Times New Roman" w:hAnsi="Calibri" w:cs="Calibri"/>
                <w:sz w:val="24"/>
                <w:szCs w:val="24"/>
              </w:rPr>
            </w:pPr>
          </w:p>
        </w:tc>
        <w:tc>
          <w:tcPr>
            <w:tcW w:w="1695" w:type="dxa"/>
            <w:vAlign w:val="center"/>
          </w:tcPr>
          <w:p w14:paraId="4712FE5F"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w:t>
            </w:r>
          </w:p>
        </w:tc>
      </w:tr>
      <w:tr w:rsidR="00511E35" w:rsidRPr="00511E35" w14:paraId="0F6FEB57" w14:textId="77777777" w:rsidTr="002842FC">
        <w:tc>
          <w:tcPr>
            <w:tcW w:w="2405" w:type="dxa"/>
            <w:vAlign w:val="center"/>
          </w:tcPr>
          <w:p w14:paraId="4E851BCA"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lastRenderedPageBreak/>
              <w:t>jałówki od pół roku do roku</w:t>
            </w:r>
          </w:p>
        </w:tc>
        <w:tc>
          <w:tcPr>
            <w:tcW w:w="1134" w:type="dxa"/>
            <w:vAlign w:val="center"/>
          </w:tcPr>
          <w:p w14:paraId="6387F4BD"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35</w:t>
            </w:r>
          </w:p>
        </w:tc>
        <w:tc>
          <w:tcPr>
            <w:tcW w:w="1418" w:type="dxa"/>
            <w:vAlign w:val="center"/>
          </w:tcPr>
          <w:p w14:paraId="71C4E720"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10,5</w:t>
            </w:r>
          </w:p>
        </w:tc>
        <w:tc>
          <w:tcPr>
            <w:tcW w:w="1984" w:type="dxa"/>
            <w:vMerge/>
            <w:vAlign w:val="center"/>
          </w:tcPr>
          <w:p w14:paraId="29E3A91E" w14:textId="77777777" w:rsidR="00511E35" w:rsidRPr="00511E35" w:rsidRDefault="00511E35" w:rsidP="00511E35">
            <w:pPr>
              <w:spacing w:after="120"/>
              <w:jc w:val="center"/>
              <w:rPr>
                <w:rFonts w:ascii="Calibri" w:eastAsia="Times New Roman" w:hAnsi="Calibri" w:cs="Calibri"/>
                <w:sz w:val="24"/>
                <w:szCs w:val="24"/>
              </w:rPr>
            </w:pPr>
          </w:p>
        </w:tc>
        <w:tc>
          <w:tcPr>
            <w:tcW w:w="1695" w:type="dxa"/>
            <w:vAlign w:val="center"/>
          </w:tcPr>
          <w:p w14:paraId="1DDBAC5B"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w:t>
            </w:r>
          </w:p>
        </w:tc>
      </w:tr>
      <w:tr w:rsidR="00511E35" w:rsidRPr="00511E35" w14:paraId="366E1364" w14:textId="77777777" w:rsidTr="002842FC">
        <w:tc>
          <w:tcPr>
            <w:tcW w:w="6941" w:type="dxa"/>
            <w:gridSpan w:val="4"/>
            <w:vAlign w:val="center"/>
          </w:tcPr>
          <w:p w14:paraId="53A418A2"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obora H</w:t>
            </w:r>
          </w:p>
        </w:tc>
        <w:tc>
          <w:tcPr>
            <w:tcW w:w="1695" w:type="dxa"/>
            <w:vAlign w:val="center"/>
          </w:tcPr>
          <w:p w14:paraId="5951E940"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126,9 m</w:t>
            </w:r>
            <w:r w:rsidRPr="00511E35">
              <w:rPr>
                <w:rFonts w:ascii="Calibri" w:eastAsia="Times New Roman" w:hAnsi="Calibri" w:cs="Calibri"/>
                <w:sz w:val="24"/>
                <w:szCs w:val="24"/>
                <w:vertAlign w:val="superscript"/>
              </w:rPr>
              <w:t>2</w:t>
            </w:r>
          </w:p>
        </w:tc>
      </w:tr>
      <w:tr w:rsidR="00511E35" w:rsidRPr="00511E35" w14:paraId="6D8DDAEE" w14:textId="77777777" w:rsidTr="002842FC">
        <w:tc>
          <w:tcPr>
            <w:tcW w:w="2405" w:type="dxa"/>
            <w:vAlign w:val="center"/>
          </w:tcPr>
          <w:p w14:paraId="37EAC6AF"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jałówki od pół roku do roku</w:t>
            </w:r>
          </w:p>
        </w:tc>
        <w:tc>
          <w:tcPr>
            <w:tcW w:w="1134" w:type="dxa"/>
            <w:vAlign w:val="center"/>
          </w:tcPr>
          <w:p w14:paraId="44D4FBDE"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43</w:t>
            </w:r>
          </w:p>
        </w:tc>
        <w:tc>
          <w:tcPr>
            <w:tcW w:w="1418" w:type="dxa"/>
            <w:vAlign w:val="center"/>
          </w:tcPr>
          <w:p w14:paraId="39CF5AC0"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12,9</w:t>
            </w:r>
          </w:p>
        </w:tc>
        <w:tc>
          <w:tcPr>
            <w:tcW w:w="1984" w:type="dxa"/>
            <w:vMerge w:val="restart"/>
            <w:vAlign w:val="center"/>
          </w:tcPr>
          <w:p w14:paraId="62D94F31"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bezściółkowo</w:t>
            </w:r>
          </w:p>
        </w:tc>
        <w:tc>
          <w:tcPr>
            <w:tcW w:w="1695" w:type="dxa"/>
            <w:vAlign w:val="center"/>
          </w:tcPr>
          <w:p w14:paraId="45BFE3AA"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w:t>
            </w:r>
          </w:p>
        </w:tc>
      </w:tr>
      <w:tr w:rsidR="00511E35" w:rsidRPr="00511E35" w14:paraId="13BD1310" w14:textId="77777777" w:rsidTr="002842FC">
        <w:tc>
          <w:tcPr>
            <w:tcW w:w="2405" w:type="dxa"/>
            <w:vAlign w:val="center"/>
          </w:tcPr>
          <w:p w14:paraId="7614C50F"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cielęta</w:t>
            </w:r>
          </w:p>
        </w:tc>
        <w:tc>
          <w:tcPr>
            <w:tcW w:w="1134" w:type="dxa"/>
            <w:vAlign w:val="center"/>
          </w:tcPr>
          <w:p w14:paraId="15D8C02C"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19</w:t>
            </w:r>
          </w:p>
        </w:tc>
        <w:tc>
          <w:tcPr>
            <w:tcW w:w="1418" w:type="dxa"/>
            <w:vAlign w:val="center"/>
          </w:tcPr>
          <w:p w14:paraId="375104DE"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2,85</w:t>
            </w:r>
          </w:p>
        </w:tc>
        <w:tc>
          <w:tcPr>
            <w:tcW w:w="1984" w:type="dxa"/>
            <w:vMerge/>
            <w:vAlign w:val="center"/>
          </w:tcPr>
          <w:p w14:paraId="3A348AEC" w14:textId="77777777" w:rsidR="00511E35" w:rsidRPr="00511E35" w:rsidRDefault="00511E35" w:rsidP="00511E35">
            <w:pPr>
              <w:spacing w:after="120"/>
              <w:jc w:val="center"/>
              <w:rPr>
                <w:rFonts w:ascii="Calibri" w:eastAsia="Times New Roman" w:hAnsi="Calibri" w:cs="Calibri"/>
                <w:sz w:val="24"/>
                <w:szCs w:val="24"/>
              </w:rPr>
            </w:pPr>
          </w:p>
        </w:tc>
        <w:tc>
          <w:tcPr>
            <w:tcW w:w="1695" w:type="dxa"/>
            <w:vAlign w:val="center"/>
          </w:tcPr>
          <w:p w14:paraId="0CC24426"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w:t>
            </w:r>
          </w:p>
        </w:tc>
      </w:tr>
      <w:tr w:rsidR="00511E35" w:rsidRPr="00511E35" w14:paraId="1938F92E" w14:textId="77777777" w:rsidTr="002842FC">
        <w:tc>
          <w:tcPr>
            <w:tcW w:w="6941" w:type="dxa"/>
            <w:gridSpan w:val="4"/>
            <w:vAlign w:val="center"/>
          </w:tcPr>
          <w:p w14:paraId="57911B90"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obora G</w:t>
            </w:r>
          </w:p>
        </w:tc>
        <w:tc>
          <w:tcPr>
            <w:tcW w:w="1695" w:type="dxa"/>
            <w:vAlign w:val="center"/>
          </w:tcPr>
          <w:p w14:paraId="74DB397A"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60 m</w:t>
            </w:r>
            <w:r w:rsidRPr="00511E35">
              <w:rPr>
                <w:rFonts w:ascii="Calibri" w:eastAsia="Times New Roman" w:hAnsi="Calibri" w:cs="Calibri"/>
                <w:sz w:val="24"/>
                <w:szCs w:val="24"/>
                <w:vertAlign w:val="superscript"/>
              </w:rPr>
              <w:t>2</w:t>
            </w:r>
          </w:p>
        </w:tc>
      </w:tr>
      <w:tr w:rsidR="00511E35" w:rsidRPr="00511E35" w14:paraId="42F7CE2C" w14:textId="77777777" w:rsidTr="002842FC">
        <w:tc>
          <w:tcPr>
            <w:tcW w:w="2405" w:type="dxa"/>
            <w:vAlign w:val="center"/>
          </w:tcPr>
          <w:p w14:paraId="39BC16EE"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cielęta</w:t>
            </w:r>
          </w:p>
        </w:tc>
        <w:tc>
          <w:tcPr>
            <w:tcW w:w="1134" w:type="dxa"/>
            <w:vAlign w:val="center"/>
          </w:tcPr>
          <w:p w14:paraId="7FC86B4B"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40</w:t>
            </w:r>
          </w:p>
        </w:tc>
        <w:tc>
          <w:tcPr>
            <w:tcW w:w="1418" w:type="dxa"/>
            <w:vAlign w:val="center"/>
          </w:tcPr>
          <w:p w14:paraId="46C91D59"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6</w:t>
            </w:r>
          </w:p>
        </w:tc>
        <w:tc>
          <w:tcPr>
            <w:tcW w:w="1984" w:type="dxa"/>
            <w:vAlign w:val="center"/>
          </w:tcPr>
          <w:p w14:paraId="2C77B7F9"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bezściółkowo</w:t>
            </w:r>
          </w:p>
        </w:tc>
        <w:tc>
          <w:tcPr>
            <w:tcW w:w="1695" w:type="dxa"/>
            <w:vAlign w:val="center"/>
          </w:tcPr>
          <w:p w14:paraId="07D9A0BB" w14:textId="77777777" w:rsidR="00511E35" w:rsidRPr="00511E35" w:rsidRDefault="00511E35" w:rsidP="00511E35">
            <w:pPr>
              <w:spacing w:after="120"/>
              <w:jc w:val="center"/>
              <w:rPr>
                <w:rFonts w:ascii="Calibri" w:eastAsia="Times New Roman" w:hAnsi="Calibri" w:cs="Calibri"/>
                <w:sz w:val="24"/>
                <w:szCs w:val="24"/>
              </w:rPr>
            </w:pPr>
            <w:r w:rsidRPr="00511E35">
              <w:rPr>
                <w:rFonts w:ascii="Calibri" w:eastAsia="Times New Roman" w:hAnsi="Calibri" w:cs="Calibri"/>
                <w:sz w:val="24"/>
                <w:szCs w:val="24"/>
              </w:rPr>
              <w:t>-</w:t>
            </w:r>
          </w:p>
        </w:tc>
      </w:tr>
    </w:tbl>
    <w:p w14:paraId="37AD3637" w14:textId="77777777" w:rsidR="00511E35" w:rsidRPr="00511E35" w:rsidRDefault="00511E35" w:rsidP="00B4306A">
      <w:pPr>
        <w:spacing w:after="120" w:line="240" w:lineRule="auto"/>
        <w:ind w:firstLine="709"/>
        <w:rPr>
          <w:rFonts w:ascii="Calibri" w:eastAsia="Times New Roman" w:hAnsi="Calibri" w:cs="Calibri"/>
          <w:sz w:val="28"/>
          <w:szCs w:val="28"/>
          <w:shd w:val="clear" w:color="auto" w:fill="FFFFFF"/>
          <w:lang w:eastAsia="pl-PL"/>
        </w:rPr>
      </w:pPr>
      <w:r w:rsidRPr="00511E35">
        <w:rPr>
          <w:rFonts w:ascii="Calibri" w:eastAsia="Times New Roman" w:hAnsi="Calibri" w:cs="Calibri"/>
          <w:sz w:val="28"/>
          <w:szCs w:val="28"/>
          <w:shd w:val="clear" w:color="auto" w:fill="FFFFFF"/>
          <w:lang w:eastAsia="pl-PL"/>
        </w:rPr>
        <w:t>Po zrealizowaniu przedsięwzięcia obsada zwierząt w gospodarstwie rolnym wzrośnie o 297,7 DJP i będzie wynosić łącznie nie więcej niż 453,1 DJP.</w:t>
      </w:r>
    </w:p>
    <w:p w14:paraId="0B05B9B8"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Powierzchnie hodowlane przeznaczone dla zwierząt będą pozwalały na utrzymanie zwierząt zgodnie z wymogami określonymi w rozporządzeniu Ministra Rolnictwa i Rozwoju Wsi z dnia 15 lutego 2010 r. w sprawie wymagań i sposobu postępowania przy utrzymywaniu gatunków zwierząt gospodarskich, dla których normy ochrony zostały określone w przepisach Unii Europejskiej (Dz. U. Nr 56, poz. 344, Nr 171, poz. 1157, z 2011 r. Nr 282, poz. 1652) - w zakresie dotyczącym utrzymania cieląt oraz w rozporządzeniu Ministra Rolnictwa i Rozwoju Wsi z dnia 28 czerwca 2010 r. w sprawie minimalnych warunków utrzymywania gatunków zwierząt gospodarskich inne niż te, dla których normy ochrony zostały określone w przepisach Unii Europejskiej (Dz. U. z 2019 r. poz. 1966) - dla bydła z wyjątkiem cieląt.</w:t>
      </w:r>
    </w:p>
    <w:p w14:paraId="75B2843C"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W związku z hodowlą bydła mlecznego powstawać będzie gnojowica, gnojówka oraz obornik. W gospodarstwie rolnym wykorzystywana jest płyta obornikowa o powierzchni około 380 m</w:t>
      </w:r>
      <w:r w:rsidRPr="00511E35">
        <w:rPr>
          <w:rFonts w:ascii="Calibri" w:eastAsia="Times New Roman" w:hAnsi="Calibri" w:cs="Calibri"/>
          <w:sz w:val="28"/>
          <w:szCs w:val="28"/>
          <w:vertAlign w:val="superscript"/>
          <w:lang w:eastAsia="pl-PL"/>
        </w:rPr>
        <w:t>2</w:t>
      </w:r>
      <w:r w:rsidRPr="00511E35">
        <w:rPr>
          <w:rFonts w:ascii="Calibri" w:eastAsia="Times New Roman" w:hAnsi="Calibri" w:cs="Calibri"/>
          <w:sz w:val="28"/>
          <w:szCs w:val="28"/>
          <w:lang w:eastAsia="pl-PL"/>
        </w:rPr>
        <w:t xml:space="preserve"> wraz ze zbiornikiem na gnojówkę o pojemności około 90 m</w:t>
      </w:r>
      <w:r w:rsidRPr="00511E35">
        <w:rPr>
          <w:rFonts w:ascii="Calibri" w:eastAsia="Times New Roman" w:hAnsi="Calibri" w:cs="Calibri"/>
          <w:sz w:val="28"/>
          <w:szCs w:val="28"/>
          <w:vertAlign w:val="superscript"/>
          <w:lang w:eastAsia="pl-PL"/>
        </w:rPr>
        <w:t>3</w:t>
      </w:r>
      <w:r w:rsidRPr="00511E35">
        <w:rPr>
          <w:rFonts w:ascii="Calibri" w:eastAsia="Times New Roman" w:hAnsi="Calibri" w:cs="Calibri"/>
          <w:sz w:val="28"/>
          <w:szCs w:val="28"/>
          <w:lang w:eastAsia="pl-PL"/>
        </w:rPr>
        <w:t>. Gnojówka magazynowana będzie również w kanałach gnojowicowych znajdujących się pod oborą K o łącznej pojemności około 400 m</w:t>
      </w:r>
      <w:r w:rsidRPr="00511E35">
        <w:rPr>
          <w:rFonts w:ascii="Calibri" w:eastAsia="Times New Roman" w:hAnsi="Calibri" w:cs="Calibri"/>
          <w:sz w:val="28"/>
          <w:szCs w:val="28"/>
          <w:vertAlign w:val="superscript"/>
          <w:lang w:eastAsia="pl-PL"/>
        </w:rPr>
        <w:t>3</w:t>
      </w:r>
      <w:r w:rsidRPr="00511E35">
        <w:rPr>
          <w:rFonts w:ascii="Calibri" w:eastAsia="Times New Roman" w:hAnsi="Calibri" w:cs="Calibri"/>
          <w:sz w:val="28"/>
          <w:szCs w:val="28"/>
          <w:lang w:eastAsia="pl-PL"/>
        </w:rPr>
        <w:t xml:space="preserve">, w kanałach gnojowicowych znajdujących się pod planowaną oborą nr 1 oraz w projektowanym zbiorniku na gnojowicę i gnojówkę. Gnojowica magazynowana będzie w kanałach gnojowicowych znajdujących się pod oborami K i nr 1 oraz w projektowanym zbiorniku na gnojówkę i gnojowicę. </w:t>
      </w:r>
    </w:p>
    <w:p w14:paraId="5C87DB12" w14:textId="77777777" w:rsidR="00511E35" w:rsidRPr="00511E35" w:rsidRDefault="00511E35" w:rsidP="00511E35">
      <w:pPr>
        <w:spacing w:after="0" w:line="240" w:lineRule="auto"/>
        <w:rPr>
          <w:rFonts w:ascii="Calibri" w:eastAsia="Times New Roman" w:hAnsi="Calibri" w:cs="Calibri"/>
          <w:sz w:val="28"/>
          <w:szCs w:val="28"/>
          <w:lang w:eastAsia="pl-PL"/>
        </w:rPr>
      </w:pPr>
      <w:r w:rsidRPr="00511E35">
        <w:rPr>
          <w:rFonts w:ascii="Calibri" w:eastAsia="Times New Roman" w:hAnsi="Calibri" w:cs="Calibri"/>
          <w:sz w:val="28"/>
          <w:szCs w:val="28"/>
          <w:lang w:eastAsia="pl-PL"/>
        </w:rPr>
        <w:br w:type="page"/>
      </w:r>
    </w:p>
    <w:p w14:paraId="62EC2352"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lastRenderedPageBreak/>
        <w:t>Powstałe nawozy naturalne zostaną wykorzystane na gruntach rolnych będących we władaniu wnioskodawcy, a nadwyżki zbywane będą innym rolnikom na podstawie stosownych umów. Planowany sposób postępowania z nawozami naturalnymi jest zgodny</w:t>
      </w:r>
      <w:r w:rsidRPr="00511E35">
        <w:rPr>
          <w:rFonts w:ascii="Times New Roman" w:eastAsia="Calibri" w:hAnsi="Times New Roman" w:cs="Times New Roman"/>
          <w:sz w:val="28"/>
        </w:rPr>
        <w:t xml:space="preserve"> </w:t>
      </w:r>
      <w:r w:rsidRPr="00511E35">
        <w:rPr>
          <w:rFonts w:ascii="Calibri" w:eastAsia="Times New Roman" w:hAnsi="Calibri" w:cs="Calibri"/>
          <w:sz w:val="28"/>
          <w:szCs w:val="28"/>
          <w:lang w:eastAsia="pl-PL"/>
        </w:rPr>
        <w:t>z przepisami określonymi w „Programie działań mających na celu zmniejszenie zanieczyszczenia wód azotanami pochodzącymi ze źródeł rolniczych oraz zapobieganie dalszemu zanieczyszczeniu” przyjętym rozporządzeniem Rady Ministrów z dnia 12 lutego 2020 r. (Dz. U. poz. 243).</w:t>
      </w:r>
    </w:p>
    <w:p w14:paraId="1813DC34"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Przedsięwzięcie będzie zaopatrywane w wodę z gminnej sieci wodociągowej. Łączne zapotrzebowanie na wodę na terenie gospodarstwa rolnego (do pojenia zwierząt, na cele socjalnobytowe oraz do mycia instalacji udojowej i zbiornika na mleko)</w:t>
      </w:r>
      <w:r w:rsidRPr="00511E35">
        <w:rPr>
          <w:rFonts w:ascii="Aptos" w:eastAsia="Times New Roman" w:hAnsi="Aptos" w:cs="Aptos"/>
          <w:sz w:val="28"/>
          <w:szCs w:val="28"/>
          <w:lang w:eastAsia="pl-PL"/>
        </w:rPr>
        <w:t xml:space="preserve"> </w:t>
      </w:r>
      <w:r w:rsidRPr="00511E35">
        <w:rPr>
          <w:rFonts w:ascii="Calibri" w:eastAsia="Times New Roman" w:hAnsi="Calibri" w:cs="Calibri"/>
          <w:sz w:val="28"/>
          <w:szCs w:val="28"/>
          <w:lang w:eastAsia="pl-PL"/>
        </w:rPr>
        <w:t>kształtowało się będzie na poziomie około 17 870,4 m</w:t>
      </w:r>
      <w:r w:rsidRPr="00511E35">
        <w:rPr>
          <w:rFonts w:ascii="Calibri" w:eastAsia="Times New Roman" w:hAnsi="Calibri" w:cs="Calibri"/>
          <w:sz w:val="28"/>
          <w:szCs w:val="28"/>
          <w:vertAlign w:val="superscript"/>
          <w:lang w:eastAsia="pl-PL"/>
        </w:rPr>
        <w:t>3</w:t>
      </w:r>
      <w:r w:rsidRPr="00511E35">
        <w:rPr>
          <w:rFonts w:ascii="Calibri" w:eastAsia="Times New Roman" w:hAnsi="Calibri" w:cs="Calibri"/>
          <w:sz w:val="28"/>
          <w:szCs w:val="28"/>
          <w:lang w:eastAsia="pl-PL"/>
        </w:rPr>
        <w:t>/rok.</w:t>
      </w:r>
    </w:p>
    <w:p w14:paraId="4CF38172"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Ścieki bytowe będą gromadzone w szczelnym zbiorniku bezodpływowym o pojemności około 5 m</w:t>
      </w:r>
      <w:r w:rsidRPr="00511E35">
        <w:rPr>
          <w:rFonts w:ascii="Calibri" w:eastAsia="Times New Roman" w:hAnsi="Calibri" w:cs="Calibri"/>
          <w:sz w:val="28"/>
          <w:szCs w:val="28"/>
          <w:vertAlign w:val="superscript"/>
          <w:lang w:eastAsia="pl-PL"/>
        </w:rPr>
        <w:t>3</w:t>
      </w:r>
      <w:r w:rsidRPr="00511E35">
        <w:rPr>
          <w:rFonts w:ascii="Calibri" w:eastAsia="Times New Roman" w:hAnsi="Calibri" w:cs="Calibri"/>
          <w:sz w:val="28"/>
          <w:szCs w:val="28"/>
          <w:lang w:eastAsia="pl-PL"/>
        </w:rPr>
        <w:t xml:space="preserve">, a następnie wywożone do oczyszczalni ścieków. </w:t>
      </w:r>
    </w:p>
    <w:p w14:paraId="34B9C1FD"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Budynki inwentarskie będą czyszczone bez użycia wody i generowania ścieków. Ścieki technologiczne powstające w związku z utrzymaniem czystości urządzeń związanych z udojem i magazynowaniem mleka odprowadzane będą do szczelnego, zakrytego zbiornika na odcieki technologiczne o pojemności około 15 m</w:t>
      </w:r>
      <w:r w:rsidRPr="00511E35">
        <w:rPr>
          <w:rFonts w:ascii="Calibri" w:eastAsia="Times New Roman" w:hAnsi="Calibri" w:cs="Calibri"/>
          <w:sz w:val="28"/>
          <w:szCs w:val="28"/>
          <w:vertAlign w:val="superscript"/>
          <w:lang w:eastAsia="pl-PL"/>
        </w:rPr>
        <w:t>3</w:t>
      </w:r>
      <w:r w:rsidRPr="00511E35">
        <w:rPr>
          <w:rFonts w:ascii="Calibri" w:eastAsia="Times New Roman" w:hAnsi="Calibri" w:cs="Calibri"/>
          <w:sz w:val="28"/>
          <w:szCs w:val="28"/>
          <w:lang w:eastAsia="pl-PL"/>
        </w:rPr>
        <w:t xml:space="preserve">, a następnie wywożone do oczyszczalni ścieków. </w:t>
      </w:r>
    </w:p>
    <w:p w14:paraId="5553DD00"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Wody opadowe i roztopowe z terenu gospodarstwa rolnego będą tak jak dotychczas odprowadzane w sposób niezorganizowany do ziemi, w obrębie działek objętych wnioskiem.</w:t>
      </w:r>
    </w:p>
    <w:p w14:paraId="0D523DE4"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 xml:space="preserve">W wyniku funkcjonowania przedsięwzięcia będą wytwarzane odpady niebezpieczne, jak i inne niż niebezpieczne. Wszystkie powstające w gospodarstwie rolnym odpady będą magazynowane selektywnie, w przystosowanych pojemnikach i kontenerach, na utwardzonej powierzchni. Odpady będą zagospodarowywane zgodnie z przepisami prawa, to jest będą przekazywane w pierwszej kolejności do odzysku podmiotom posiadającym wymagane zezwolenia w zakresie gospodarowania odpadami. W przypadku, kiedy nie będzie takiej możliwości, wytworzone odpady będą przekazywane do unieszkodliwiania. Na terenie gospodarstwa rolnego będą powstawać odpady weterynaryjne. Wnioskodawca nie będzie magazynował tego typu odpadów. Padłe zwierzęta będą magazynowane w konfiskatorze, w którym będą przetrzymywane nie dłużej niż 48 godzin, to jest do czasu odbioru przez podmiot zajmujący się utylizacją padłych zwierząt. </w:t>
      </w:r>
    </w:p>
    <w:p w14:paraId="271D1518"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lastRenderedPageBreak/>
        <w:t>Masy ziemne powstające podczas realizacji przedsięwzięcia zostaną wykorzystane na terenie gospodarstwa rolnego.</w:t>
      </w:r>
    </w:p>
    <w:p w14:paraId="21BEF537"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Źródłem zorganizowanej emisji substancji do powietrza będą systemy wentylacyjne planowanej obory nr 1 i istniejących budynków inwentarskich, którymi będą wyprowadzane substancje pochodzące z utrzymywania bydła mlecznego, w tym substancje odorotwórcze powstające w wyniku rozkładu produktów przemiany materii tych zwierząt. W oborze nr 1 zostanie zastosowany grawitacyjny system wentylacji z wykorzystaniem świetlika kalenicowego umieszczonego na wysokości nie niższej niż 13,8 m n.p.t. Projektowana obora i istniejące budynki inwentarskie nie będą ogrzewane z wykorzystaniem źródeł powodujących emisję substancji do powietrza. Źródłem emisji niezorganizowanej do powietrza będzie emisja substancji pochodząca z procesu spalania paliw w silnikach pojazdów poruszających się po terenie przedsięwzięcia. Ponadto będzie występować emisja zanieczyszczeń pochodząca z przechowywania obornika na istniejącej płycie obornikowej. Gnojowica pochodząca z projektowanej obory nr 1 i istniejących budynków inwentarskich będzie magazynowana w kanałach gnojowicowych umieszczonych pod oborami oraz w projektowanym szczelnym zbiorniku bezodpływowym, w związku z czym emisja substancji do powietrza z przechowywania gnojowicy została uwzględniona w obliczeniach przedstawionych w raporcie o oddziaływaniu przedsięwzięcia na środowisko jako emisja z budynku inwentarskiego. Gnojówka powstająca w budynkach inwentarskich jest i będzie magazynowana w szczelnym zbiorniku oraz w kanałach gnojowicowych. Proces odbioru gnojowicy i gnojówki do pojazdów asenizacyjnych będzie odbywał się z wykorzystaniem hermetycznego złącza, zatem nie przewiduje się, aby ich odbiór stanowił źródło emisji substancji do powietrza. Obornik z pomieszczeń przeznaczonych do utrzymywania zwierząt na płytkiej ściółce będzie usuwany na zewnątrz i wywożony na istniejącą płytę obornikową. Obornik podczas transportu będzie przykrywany na przykład plandeką. W gospodarstwie rolnym stosowane jest żywienie wielofazowe. Pasza dostarczana jest i będzie do silosów specjalnymi pojazdami – paszowozami. Napełnianie silosów paszowych nie będzie źródłem emisji pyłu do powietrza, z uwagi na to, że rury odpowietrzające z silosów będą skierowane wylotem w dół, a podczas załadunku pasz do silosów nakładane są na nie filtry workowe. Ponadto kiszonki magazynowane na terenie gospodarstwa rolnego nie będą źródłem emisji substancji do powietrza.</w:t>
      </w:r>
    </w:p>
    <w:p w14:paraId="35D1FB00" w14:textId="77777777" w:rsidR="00511E35" w:rsidRPr="00511E35" w:rsidRDefault="00511E35" w:rsidP="00511E35">
      <w:pPr>
        <w:spacing w:after="0" w:line="240" w:lineRule="auto"/>
        <w:rPr>
          <w:rFonts w:ascii="Calibri" w:eastAsia="Times New Roman" w:hAnsi="Calibri" w:cs="Calibri"/>
          <w:sz w:val="28"/>
          <w:szCs w:val="28"/>
          <w:lang w:eastAsia="pl-PL"/>
        </w:rPr>
      </w:pPr>
      <w:r w:rsidRPr="00511E35">
        <w:rPr>
          <w:rFonts w:ascii="Calibri" w:eastAsia="Times New Roman" w:hAnsi="Calibri" w:cs="Calibri"/>
          <w:sz w:val="28"/>
          <w:szCs w:val="28"/>
          <w:lang w:eastAsia="pl-PL"/>
        </w:rPr>
        <w:br w:type="page"/>
      </w:r>
    </w:p>
    <w:p w14:paraId="5396F56F" w14:textId="77777777" w:rsidR="00511E35" w:rsidRPr="00511E35" w:rsidRDefault="00511E35" w:rsidP="00511E35">
      <w:pPr>
        <w:spacing w:after="120" w:line="240" w:lineRule="auto"/>
        <w:ind w:firstLine="709"/>
        <w:rPr>
          <w:rFonts w:ascii="Calibri" w:eastAsia="Times New Roman" w:hAnsi="Calibri" w:cs="Calibri"/>
          <w:sz w:val="28"/>
          <w:szCs w:val="28"/>
          <w:lang w:eastAsia="pl-PL"/>
        </w:rPr>
      </w:pPr>
      <w:r w:rsidRPr="00511E35">
        <w:rPr>
          <w:rFonts w:ascii="Calibri" w:eastAsia="Times New Roman" w:hAnsi="Calibri" w:cs="Calibri"/>
          <w:sz w:val="28"/>
          <w:szCs w:val="28"/>
          <w:lang w:eastAsia="pl-PL"/>
        </w:rPr>
        <w:lastRenderedPageBreak/>
        <w:t>Z przedstawionych obliczeń rozprzestrzeniania substancji w powietrzu wynika, że emisje substancji do powietrza z wyżej wymienionych źródeł nie będą powodować przekroczenia wartości odniesienia substancji w powietrzu oraz dopuszczalnych częstości przekroczeń określonych w rozporządzeniu Ministra Środowiska z dnia 26 stycznia 2010 r. w sprawie wartości odniesienia dla niektórych substancji w powietrzu (Dz. U. Nr 16, poz. 87) poza terenem, do którego wnioskodawca posiada tytuł prawny, a także że będą dotrzymane standardy jakości powietrza określone w rozporządzeniu Ministra Środowiska z dnia 24 sierpnia 2012 r. w sprawie poziomów niektórych substancji w powietrzu (Dz. U. z 2021 r. poz. 845). W związku z tym spełnione będą wymagania w zakresie ochrony powietrza określone w przepisach.</w:t>
      </w:r>
    </w:p>
    <w:p w14:paraId="61527345"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 xml:space="preserve">Głównymi źródłami hałasu emitowanego w wyniku funkcjonowania gospodarstwa rolnego będą roboty udojowe, zlewnia mleka oraz ruch pojazdów ciężkich obsługujących gospodarstwo rolne. Planuje się wyposażenie projektowanej obory nr 1 w cztery roboty udojowe o poziomie mocy akustycznej nie wyższym niż 76,9 dB każdy. Planowana do budowy zlewnia mleka będzie się znajdowała w przybudówce do głównej bryły obory nr 1. Budynek zlewni mleka wykonany zostanie w technologii zapewniającej izolacyjność akustyczną przegród zewnętrznych ścian i dachu wynoszącą co najmniej 25 dB, a poziom hałasu wewnątrz budynku nie przekroczy 81 dB. Zlewnia mleka oraz roboty udojowe będą stanowić źródło hałasu w porach dnia i nocy. Istniejące budynki inwentarskie oraz projektowana obora nr 1 będą wentylowane w sposób grawitacyjny. Na terenie gospodarstwa rolnego zlokalizowany jest agregat prądotwórczy o poziomie mocy akustycznej nie wyższym niż 97 dB, wykorzystywany w sytuacjach awaryjnych, w przypadku długotrwałego zaniku energii elektrycznej. Agregat prądotwórczy zostanie umieszczony w obudowie o izolacyjności akustycznej przegród zewnętrznych nie mniejszej niż 10 dB. Po terenie przedsięwzięcia w ciągu ośmiu najmniej korzystnych godzin pory dnia będzie poruszać się nie więcej niż pięć pojazdów ciężkich. Ruch pojazdów ciężkich po terenie przedsięwzięcia związany będzie głównie z operacjami odbioru nawozów naturalnych, ścieków, mleka, padłych zwierząt oraz transportu paszy. W porze nocy nie przewiduje się ruchu pojazdów po terenie przedsięwzięcia. W analizie akustycznej uwzględniono także hałas związany z ruchem pojazdów po terenie całego gospodarstwa rolnego. </w:t>
      </w:r>
    </w:p>
    <w:p w14:paraId="331D1700" w14:textId="77777777" w:rsidR="00511E35" w:rsidRPr="00511E35" w:rsidRDefault="00511E35" w:rsidP="00511E35">
      <w:pPr>
        <w:spacing w:after="0" w:line="240" w:lineRule="auto"/>
        <w:rPr>
          <w:rFonts w:ascii="Calibri" w:eastAsia="Times New Roman" w:hAnsi="Calibri" w:cs="Calibri"/>
          <w:sz w:val="28"/>
          <w:szCs w:val="28"/>
          <w:lang w:eastAsia="pl-PL"/>
        </w:rPr>
      </w:pPr>
      <w:r w:rsidRPr="00511E35">
        <w:rPr>
          <w:rFonts w:ascii="Calibri" w:eastAsia="Times New Roman" w:hAnsi="Calibri" w:cs="Calibri"/>
          <w:sz w:val="28"/>
          <w:szCs w:val="28"/>
          <w:lang w:eastAsia="pl-PL"/>
        </w:rPr>
        <w:br w:type="page"/>
      </w:r>
    </w:p>
    <w:p w14:paraId="7E083B48"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r w:rsidRPr="00511E35">
        <w:rPr>
          <w:rFonts w:ascii="Calibri" w:eastAsia="Times New Roman" w:hAnsi="Calibri" w:cs="Calibri"/>
          <w:sz w:val="28"/>
          <w:szCs w:val="28"/>
          <w:lang w:eastAsia="pl-PL"/>
        </w:rPr>
        <w:lastRenderedPageBreak/>
        <w:t>Przy spełnieniu powyższych założeń eksploatacja przedsięwzięcia nie spowoduje przekroczenia dopuszczalnego poziomu hałasu określonego w Ministra Środowiska z dnia 14 czerwca 2007 r. w sprawie dopuszczalnych poziomów hałasu w środowisku (Dz. U. z 2014 r. poz. 112) na granicy terenów podlegających ochronie akustycznej.</w:t>
      </w:r>
    </w:p>
    <w:p w14:paraId="1CD722A8"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W fazie realizacji przedsięwzięcia mogą wystąpić chwilowe niekorzystne oddziaływanie przedsięwzięcia w zakresie emisji hałasu do środowiska i emisji zanieczyszczeń do powietrza. Będą to jednak oddziaływania krótkotrwałe i odwracalne. Prace budowlane na tym etapie zostaną ograniczone do pory dnia.</w:t>
      </w:r>
    </w:p>
    <w:p w14:paraId="04595749"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Przedmiotowe przedsięwzięcie zlokalizowane zostanie poza obszarami chronionymi na podstawie ustawy z dnia 16 kwietnia 2004 r. o ochronie przyrody (Dz.U. 2024 r. poz. 1478 i 1940), w odległości około 700 m od najbliżej położonych obszarów Natura 2000, którymi są: obszar specjalnej ochrony ptaków Ostoja Rogalińska PLB300017 oraz specjalny obszar ochrony siedlisk Rogalińska Dolina Warty PLH300012. Mając na uwadze lokalizację przedsięwzięcia na gruncie rolnym, charakter przedsięwzięcia zakładający rozbudowę funkcjonującego gospodarstwa rolnego, brak konieczności wycinki drzew i krzewów, nałożone w decyzji warunki realizacji przedsięwzięcia oraz przy zastosowaniu przepisów ochrony gatunkowej, nie przewiduje się znacząco negatywnego oddziaływania przedsięwzięcia na etapie realizacji, eksploatacji i likwidacji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grzybów i zwierząt oraz ich siedlisk, dla których ochrony zostały wyznaczone obszary Natura 2000, na ich integralność lub powiązanie z innymi obszarami.</w:t>
      </w:r>
    </w:p>
    <w:p w14:paraId="72762D3C" w14:textId="77777777" w:rsidR="00511E35" w:rsidRPr="00511E35" w:rsidRDefault="00511E35" w:rsidP="00511E35">
      <w:pPr>
        <w:spacing w:after="120" w:line="240" w:lineRule="auto"/>
        <w:ind w:firstLine="708"/>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Planowane przedsięwzięcie nie spowoduje naruszenia wymagań ochrony środowiska, jeśli zostaną spełnione warunki określone w raporcie o oddziaływaniu przedsięwzięcia na środowisko i w niniejszej decyzji o środowiskowych uwarunkowaniach.</w:t>
      </w:r>
    </w:p>
    <w:p w14:paraId="3AB24CF6" w14:textId="24A5CC72" w:rsidR="00511E35" w:rsidRPr="00511E35" w:rsidRDefault="00511E35" w:rsidP="00511E35">
      <w:pPr>
        <w:spacing w:after="0" w:line="240" w:lineRule="auto"/>
        <w:ind w:left="2832"/>
        <w:jc w:val="center"/>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z up. BURMISTRZA</w:t>
      </w:r>
    </w:p>
    <w:p w14:paraId="653F3E13" w14:textId="77777777" w:rsidR="00511E35" w:rsidRPr="00511E35" w:rsidRDefault="00511E35" w:rsidP="00511E35">
      <w:pPr>
        <w:spacing w:after="0" w:line="240" w:lineRule="auto"/>
        <w:ind w:left="2832"/>
        <w:jc w:val="center"/>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Katarzyna Bednarowicz</w:t>
      </w:r>
    </w:p>
    <w:p w14:paraId="463D4E65" w14:textId="77777777" w:rsidR="00511E35" w:rsidRPr="00511E35" w:rsidRDefault="00511E35" w:rsidP="00511E35">
      <w:pPr>
        <w:spacing w:after="0" w:line="240" w:lineRule="auto"/>
        <w:ind w:left="2832"/>
        <w:jc w:val="center"/>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naczelnik Pionu Gospodarowania</w:t>
      </w:r>
    </w:p>
    <w:p w14:paraId="38F55D52" w14:textId="77777777" w:rsidR="00511E35" w:rsidRPr="00511E35" w:rsidRDefault="00511E35" w:rsidP="00511E35">
      <w:pPr>
        <w:spacing w:after="0" w:line="240" w:lineRule="auto"/>
        <w:ind w:left="2832"/>
        <w:jc w:val="center"/>
        <w:rPr>
          <w:rFonts w:ascii="Calibri" w:eastAsia="Times New Roman" w:hAnsi="Calibri" w:cs="Calibri"/>
          <w:sz w:val="28"/>
          <w:szCs w:val="28"/>
          <w:lang w:eastAsia="pl-PL"/>
        </w:rPr>
      </w:pPr>
      <w:r w:rsidRPr="00511E35">
        <w:rPr>
          <w:rFonts w:ascii="Calibri" w:eastAsia="Times New Roman" w:hAnsi="Calibri" w:cs="Calibri"/>
          <w:sz w:val="28"/>
          <w:szCs w:val="28"/>
          <w:lang w:eastAsia="pl-PL"/>
        </w:rPr>
        <w:t>Przestrzenią i Środowiskiem</w:t>
      </w:r>
    </w:p>
    <w:p w14:paraId="1999EF2E" w14:textId="77777777" w:rsidR="00B81AFE" w:rsidRPr="00B81AFE" w:rsidRDefault="00B81AFE" w:rsidP="00511E35">
      <w:pPr>
        <w:spacing w:after="0" w:line="240" w:lineRule="auto"/>
        <w:ind w:right="5668"/>
        <w:rPr>
          <w:rFonts w:ascii="Calibri" w:eastAsia="Times New Roman" w:hAnsi="Calibri" w:cs="Calibri"/>
          <w:sz w:val="28"/>
          <w:szCs w:val="28"/>
          <w:lang w:eastAsia="pl-PL"/>
        </w:rPr>
      </w:pPr>
    </w:p>
    <w:sectPr w:rsidR="00B81AFE" w:rsidRPr="00B81AFE" w:rsidSect="004F3296">
      <w:headerReference w:type="even" r:id="rId14"/>
      <w:headerReference w:type="default" r:id="rId15"/>
      <w:footerReference w:type="even" r:id="rId16"/>
      <w:footerReference w:type="default" r:id="rId17"/>
      <w:headerReference w:type="first" r:id="rId18"/>
      <w:footerReference w:type="first" r:id="rId19"/>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77B47" w14:textId="77777777" w:rsidR="00A36482" w:rsidRDefault="00A36482" w:rsidP="00053E5A">
      <w:pPr>
        <w:spacing w:after="0" w:line="240" w:lineRule="auto"/>
      </w:pPr>
      <w:r>
        <w:separator/>
      </w:r>
    </w:p>
  </w:endnote>
  <w:endnote w:type="continuationSeparator" w:id="0">
    <w:p w14:paraId="06A0E3BB" w14:textId="77777777" w:rsidR="00A36482" w:rsidRDefault="00A3648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56C63" w14:textId="77777777" w:rsidR="00B4306A" w:rsidRDefault="00B430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70B0B50B"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B4306A">
      <w:rPr>
        <w:sz w:val="28"/>
        <w:szCs w:val="28"/>
      </w:rPr>
      <w:t>44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731C9" w14:textId="77777777" w:rsidR="00A36482" w:rsidRDefault="00A36482" w:rsidP="00053E5A">
      <w:pPr>
        <w:spacing w:after="0" w:line="240" w:lineRule="auto"/>
      </w:pPr>
      <w:r>
        <w:separator/>
      </w:r>
    </w:p>
  </w:footnote>
  <w:footnote w:type="continuationSeparator" w:id="0">
    <w:p w14:paraId="4D7597B1" w14:textId="77777777" w:rsidR="00A36482" w:rsidRDefault="00A36482" w:rsidP="00053E5A">
      <w:pPr>
        <w:spacing w:after="0" w:line="240" w:lineRule="auto"/>
      </w:pPr>
      <w:r>
        <w:continuationSeparator/>
      </w:r>
    </w:p>
  </w:footnote>
  <w:footnote w:id="1">
    <w:p w14:paraId="5A40B246" w14:textId="77777777" w:rsidR="00AE7261" w:rsidRPr="008E60AA" w:rsidRDefault="00AE7261" w:rsidP="00AE7261">
      <w:pPr>
        <w:pStyle w:val="Tekstprzypisudolnego"/>
        <w:rPr>
          <w:sz w:val="28"/>
          <w:szCs w:val="28"/>
        </w:rPr>
      </w:pPr>
      <w:r w:rsidRPr="008E60AA">
        <w:rPr>
          <w:rStyle w:val="Odwoanieprzypisudolnego"/>
          <w:sz w:val="28"/>
          <w:szCs w:val="28"/>
        </w:rPr>
        <w:footnoteRef/>
      </w:r>
      <w:r w:rsidRPr="008E60AA">
        <w:rPr>
          <w:sz w:val="28"/>
          <w:szCs w:val="28"/>
        </w:rPr>
        <w:t xml:space="preserve"> Zastosowane oznaczenia i nazwy obiektów odpowiadają oznaczeniom i</w:t>
      </w:r>
      <w:r>
        <w:rPr>
          <w:sz w:val="28"/>
          <w:szCs w:val="28"/>
        </w:rPr>
        <w:t> </w:t>
      </w:r>
      <w:r w:rsidRPr="008E60AA">
        <w:rPr>
          <w:sz w:val="28"/>
          <w:szCs w:val="28"/>
        </w:rPr>
        <w:t>nazwom użytym w raporcie o oddziaływaniu przedsięwzięcia na środowisko</w:t>
      </w:r>
      <w:r>
        <w:rPr>
          <w:sz w:val="28"/>
          <w:szCs w:val="28"/>
        </w:rPr>
        <w:t>.</w:t>
      </w:r>
    </w:p>
  </w:footnote>
  <w:footnote w:id="2">
    <w:p w14:paraId="7F041173" w14:textId="77777777" w:rsidR="00AE7261" w:rsidRPr="0096486E" w:rsidRDefault="00AE7261" w:rsidP="00AE7261">
      <w:pPr>
        <w:pStyle w:val="Tekstprzypisudolnego"/>
        <w:rPr>
          <w:sz w:val="28"/>
          <w:szCs w:val="28"/>
        </w:rPr>
      </w:pPr>
      <w:r w:rsidRPr="0096486E">
        <w:rPr>
          <w:rStyle w:val="Odwoanieprzypisudolnego"/>
          <w:sz w:val="28"/>
          <w:szCs w:val="28"/>
        </w:rPr>
        <w:footnoteRef/>
      </w:r>
      <w:r w:rsidRPr="0096486E">
        <w:rPr>
          <w:sz w:val="28"/>
          <w:szCs w:val="28"/>
        </w:rPr>
        <w:t xml:space="preserve"> Duże Jednostki Przeliczeniowe</w:t>
      </w:r>
      <w:r>
        <w:rPr>
          <w:sz w:val="28"/>
          <w:szCs w:val="28"/>
        </w:rPr>
        <w:t>.</w:t>
      </w:r>
    </w:p>
  </w:footnote>
  <w:footnote w:id="3">
    <w:p w14:paraId="5A1E69CD" w14:textId="77777777" w:rsidR="00AE7261" w:rsidRPr="007C3B7C" w:rsidRDefault="00AE7261" w:rsidP="00AE7261">
      <w:pPr>
        <w:pStyle w:val="Tekstprzypisudolnego"/>
        <w:rPr>
          <w:sz w:val="28"/>
          <w:szCs w:val="28"/>
        </w:rPr>
      </w:pPr>
      <w:r w:rsidRPr="007C3B7C">
        <w:rPr>
          <w:rStyle w:val="Odwoanieprzypisudolnego"/>
          <w:sz w:val="28"/>
          <w:szCs w:val="28"/>
        </w:rPr>
        <w:footnoteRef/>
      </w:r>
      <w:r w:rsidRPr="007C3B7C">
        <w:rPr>
          <w:sz w:val="28"/>
          <w:szCs w:val="28"/>
        </w:rPr>
        <w:t xml:space="preserve"> Miejsca planowanych n</w:t>
      </w:r>
      <w:r>
        <w:rPr>
          <w:sz w:val="28"/>
          <w:szCs w:val="28"/>
        </w:rPr>
        <w:t>a</w:t>
      </w:r>
      <w:r w:rsidRPr="007C3B7C">
        <w:rPr>
          <w:sz w:val="28"/>
          <w:szCs w:val="28"/>
        </w:rPr>
        <w:t xml:space="preserve">sadzeń zieleni izolacyjnej zostały wskazane na rysunku nr 1 w załączniku </w:t>
      </w:r>
      <w:r>
        <w:rPr>
          <w:sz w:val="28"/>
          <w:szCs w:val="28"/>
        </w:rPr>
        <w:t xml:space="preserve">nr 1 </w:t>
      </w:r>
      <w:r w:rsidRPr="007C3B7C">
        <w:rPr>
          <w:sz w:val="28"/>
          <w:szCs w:val="28"/>
        </w:rPr>
        <w:t>do decyzji</w:t>
      </w:r>
      <w:r>
        <w:rPr>
          <w:sz w:val="28"/>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2C0FB" w14:textId="77777777" w:rsidR="00B4306A" w:rsidRDefault="00B430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183732CF"/>
    <w:multiLevelType w:val="hybridMultilevel"/>
    <w:tmpl w:val="C2EA2A8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DE3510"/>
    <w:multiLevelType w:val="hybridMultilevel"/>
    <w:tmpl w:val="CA3CFD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634744"/>
    <w:multiLevelType w:val="hybridMultilevel"/>
    <w:tmpl w:val="6A98EA3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2F6F6B1B"/>
    <w:multiLevelType w:val="hybridMultilevel"/>
    <w:tmpl w:val="AB382078"/>
    <w:lvl w:ilvl="0" w:tplc="04150011">
      <w:start w:val="1"/>
      <w:numFmt w:val="decimal"/>
      <w:lvlText w:val="%1)"/>
      <w:lvlJc w:val="left"/>
      <w:pPr>
        <w:ind w:left="780" w:hanging="360"/>
      </w:pPr>
      <w:rPr>
        <w:rFont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3"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F128DE"/>
    <w:multiLevelType w:val="hybridMultilevel"/>
    <w:tmpl w:val="0B60A0D6"/>
    <w:lvl w:ilvl="0" w:tplc="A27CDF86">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19"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15:restartNumberingAfterBreak="0">
    <w:nsid w:val="452C7E01"/>
    <w:multiLevelType w:val="hybridMultilevel"/>
    <w:tmpl w:val="612C3E84"/>
    <w:lvl w:ilvl="0" w:tplc="9D86B87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345A35"/>
    <w:multiLevelType w:val="hybridMultilevel"/>
    <w:tmpl w:val="7FC0736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4A4F93"/>
    <w:multiLevelType w:val="hybridMultilevel"/>
    <w:tmpl w:val="5E38195E"/>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63AA4BED"/>
    <w:multiLevelType w:val="hybridMultilevel"/>
    <w:tmpl w:val="12ACCE2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0"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F9E4BD5"/>
    <w:multiLevelType w:val="hybridMultilevel"/>
    <w:tmpl w:val="F94EF1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7C5997"/>
    <w:multiLevelType w:val="multilevel"/>
    <w:tmpl w:val="244E4D3C"/>
    <w:lvl w:ilvl="0">
      <w:start w:val="2"/>
      <w:numFmt w:val="decimal"/>
      <w:lvlText w:val="%1"/>
      <w:lvlJc w:val="left"/>
      <w:pPr>
        <w:ind w:left="375" w:hanging="375"/>
      </w:pPr>
    </w:lvl>
    <w:lvl w:ilvl="1">
      <w:start w:val="1"/>
      <w:numFmt w:val="lowerLetter"/>
      <w:lvlText w:val="%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38"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DA4505"/>
    <w:multiLevelType w:val="hybridMultilevel"/>
    <w:tmpl w:val="1FB0FF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28"/>
  </w:num>
  <w:num w:numId="2" w16cid:durableId="623274661">
    <w:abstractNumId w:val="36"/>
  </w:num>
  <w:num w:numId="3" w16cid:durableId="428895939">
    <w:abstractNumId w:val="4"/>
  </w:num>
  <w:num w:numId="4" w16cid:durableId="165706803">
    <w:abstractNumId w:val="21"/>
  </w:num>
  <w:num w:numId="5" w16cid:durableId="53897451">
    <w:abstractNumId w:val="15"/>
  </w:num>
  <w:num w:numId="6" w16cid:durableId="1220093233">
    <w:abstractNumId w:val="26"/>
  </w:num>
  <w:num w:numId="7" w16cid:durableId="2078474319">
    <w:abstractNumId w:val="35"/>
  </w:num>
  <w:num w:numId="8" w16cid:durableId="1431076316">
    <w:abstractNumId w:val="5"/>
  </w:num>
  <w:num w:numId="9" w16cid:durableId="1427849199">
    <w:abstractNumId w:val="31"/>
  </w:num>
  <w:num w:numId="10" w16cid:durableId="2071146230">
    <w:abstractNumId w:val="25"/>
  </w:num>
  <w:num w:numId="11" w16cid:durableId="1712487846">
    <w:abstractNumId w:val="0"/>
  </w:num>
  <w:num w:numId="12" w16cid:durableId="438910943">
    <w:abstractNumId w:val="2"/>
  </w:num>
  <w:num w:numId="13" w16cid:durableId="812336094">
    <w:abstractNumId w:val="30"/>
  </w:num>
  <w:num w:numId="14" w16cid:durableId="103572680">
    <w:abstractNumId w:val="6"/>
  </w:num>
  <w:num w:numId="15" w16cid:durableId="1074743415">
    <w:abstractNumId w:val="19"/>
  </w:num>
  <w:num w:numId="16" w16cid:durableId="1108114942">
    <w:abstractNumId w:val="32"/>
  </w:num>
  <w:num w:numId="17" w16cid:durableId="378016390">
    <w:abstractNumId w:val="38"/>
  </w:num>
  <w:num w:numId="18" w16cid:durableId="873345847">
    <w:abstractNumId w:val="40"/>
  </w:num>
  <w:num w:numId="19" w16cid:durableId="670571236">
    <w:abstractNumId w:val="27"/>
  </w:num>
  <w:num w:numId="20" w16cid:durableId="1844854512">
    <w:abstractNumId w:val="3"/>
  </w:num>
  <w:num w:numId="21" w16cid:durableId="1159921822">
    <w:abstractNumId w:val="33"/>
  </w:num>
  <w:num w:numId="22" w16cid:durableId="322055020">
    <w:abstractNumId w:val="8"/>
  </w:num>
  <w:num w:numId="23" w16cid:durableId="972753116">
    <w:abstractNumId w:val="39"/>
  </w:num>
  <w:num w:numId="24" w16cid:durableId="1809319315">
    <w:abstractNumId w:val="14"/>
  </w:num>
  <w:num w:numId="25" w16cid:durableId="1406223489">
    <w:abstractNumId w:val="17"/>
  </w:num>
  <w:num w:numId="26" w16cid:durableId="532890403">
    <w:abstractNumId w:val="1"/>
  </w:num>
  <w:num w:numId="27" w16cid:durableId="685331900">
    <w:abstractNumId w:val="24"/>
  </w:num>
  <w:num w:numId="28" w16cid:durableId="1882089337">
    <w:abstractNumId w:val="10"/>
  </w:num>
  <w:num w:numId="29" w16cid:durableId="1949506049">
    <w:abstractNumId w:val="7"/>
  </w:num>
  <w:num w:numId="30" w16cid:durableId="1813474735">
    <w:abstractNumId w:val="37"/>
  </w:num>
  <w:num w:numId="31" w16cid:durableId="1228882507">
    <w:abstractNumId w:val="13"/>
  </w:num>
  <w:num w:numId="32" w16cid:durableId="591746748">
    <w:abstractNumId w:val="18"/>
  </w:num>
  <w:num w:numId="33" w16cid:durableId="788472147">
    <w:abstractNumId w:val="11"/>
  </w:num>
  <w:num w:numId="34" w16cid:durableId="529076639">
    <w:abstractNumId w:val="23"/>
  </w:num>
  <w:num w:numId="35" w16cid:durableId="522473205">
    <w:abstractNumId w:val="22"/>
  </w:num>
  <w:num w:numId="36" w16cid:durableId="2080133662">
    <w:abstractNumId w:val="16"/>
  </w:num>
  <w:num w:numId="37" w16cid:durableId="1324972964">
    <w:abstractNumId w:val="9"/>
  </w:num>
  <w:num w:numId="38" w16cid:durableId="1744836295">
    <w:abstractNumId w:val="41"/>
  </w:num>
  <w:num w:numId="39" w16cid:durableId="2136480186">
    <w:abstractNumId w:val="20"/>
  </w:num>
  <w:num w:numId="40" w16cid:durableId="1012998685">
    <w:abstractNumId w:val="34"/>
  </w:num>
  <w:num w:numId="41" w16cid:durableId="1739355112">
    <w:abstractNumId w:val="29"/>
  </w:num>
  <w:num w:numId="42" w16cid:durableId="91424205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9463F"/>
    <w:rsid w:val="000B17ED"/>
    <w:rsid w:val="000E766D"/>
    <w:rsid w:val="00116E81"/>
    <w:rsid w:val="00150836"/>
    <w:rsid w:val="00157B44"/>
    <w:rsid w:val="00163AFB"/>
    <w:rsid w:val="001A7FE5"/>
    <w:rsid w:val="001B5735"/>
    <w:rsid w:val="001E4093"/>
    <w:rsid w:val="002238DE"/>
    <w:rsid w:val="00250690"/>
    <w:rsid w:val="00265CEF"/>
    <w:rsid w:val="00284D8F"/>
    <w:rsid w:val="002B7096"/>
    <w:rsid w:val="002D6590"/>
    <w:rsid w:val="002E3E3A"/>
    <w:rsid w:val="002E76FA"/>
    <w:rsid w:val="0030366F"/>
    <w:rsid w:val="00314D2D"/>
    <w:rsid w:val="003235C6"/>
    <w:rsid w:val="0032542D"/>
    <w:rsid w:val="00336472"/>
    <w:rsid w:val="00353E61"/>
    <w:rsid w:val="0036718C"/>
    <w:rsid w:val="003A09D4"/>
    <w:rsid w:val="003B22E8"/>
    <w:rsid w:val="003C0AFB"/>
    <w:rsid w:val="00415CBE"/>
    <w:rsid w:val="00417844"/>
    <w:rsid w:val="00425F0B"/>
    <w:rsid w:val="00435889"/>
    <w:rsid w:val="004519AC"/>
    <w:rsid w:val="00463950"/>
    <w:rsid w:val="0048459B"/>
    <w:rsid w:val="00487C97"/>
    <w:rsid w:val="004C1F30"/>
    <w:rsid w:val="004F3296"/>
    <w:rsid w:val="005038FC"/>
    <w:rsid w:val="00506B0A"/>
    <w:rsid w:val="00511E35"/>
    <w:rsid w:val="00525346"/>
    <w:rsid w:val="0054093D"/>
    <w:rsid w:val="00566AC2"/>
    <w:rsid w:val="005671D5"/>
    <w:rsid w:val="00572303"/>
    <w:rsid w:val="005811F1"/>
    <w:rsid w:val="005968A5"/>
    <w:rsid w:val="005A57C7"/>
    <w:rsid w:val="005E5887"/>
    <w:rsid w:val="005F048F"/>
    <w:rsid w:val="005F23DE"/>
    <w:rsid w:val="00612602"/>
    <w:rsid w:val="00620F58"/>
    <w:rsid w:val="0063592D"/>
    <w:rsid w:val="00655DD8"/>
    <w:rsid w:val="006A6F3E"/>
    <w:rsid w:val="006C68CB"/>
    <w:rsid w:val="006D530A"/>
    <w:rsid w:val="006E2754"/>
    <w:rsid w:val="00727E56"/>
    <w:rsid w:val="00730C22"/>
    <w:rsid w:val="007362FC"/>
    <w:rsid w:val="00757413"/>
    <w:rsid w:val="007859F4"/>
    <w:rsid w:val="007C6800"/>
    <w:rsid w:val="0081559F"/>
    <w:rsid w:val="00825D54"/>
    <w:rsid w:val="00826A14"/>
    <w:rsid w:val="00831A7F"/>
    <w:rsid w:val="00837187"/>
    <w:rsid w:val="008750FA"/>
    <w:rsid w:val="00876801"/>
    <w:rsid w:val="00883133"/>
    <w:rsid w:val="008A1C0E"/>
    <w:rsid w:val="008A26BE"/>
    <w:rsid w:val="008A276A"/>
    <w:rsid w:val="008C4507"/>
    <w:rsid w:val="008F4549"/>
    <w:rsid w:val="009105D1"/>
    <w:rsid w:val="00912874"/>
    <w:rsid w:val="00917C21"/>
    <w:rsid w:val="00920491"/>
    <w:rsid w:val="00931D0B"/>
    <w:rsid w:val="00945706"/>
    <w:rsid w:val="00945DDE"/>
    <w:rsid w:val="0095451D"/>
    <w:rsid w:val="00960867"/>
    <w:rsid w:val="009614DC"/>
    <w:rsid w:val="00981EE8"/>
    <w:rsid w:val="009D7331"/>
    <w:rsid w:val="009F2BF8"/>
    <w:rsid w:val="00A01E96"/>
    <w:rsid w:val="00A26B85"/>
    <w:rsid w:val="00A307EC"/>
    <w:rsid w:val="00A3195C"/>
    <w:rsid w:val="00A36482"/>
    <w:rsid w:val="00A515B8"/>
    <w:rsid w:val="00A568A2"/>
    <w:rsid w:val="00A62257"/>
    <w:rsid w:val="00A65737"/>
    <w:rsid w:val="00AD3E84"/>
    <w:rsid w:val="00AE1740"/>
    <w:rsid w:val="00AE7261"/>
    <w:rsid w:val="00B109BE"/>
    <w:rsid w:val="00B1568A"/>
    <w:rsid w:val="00B4306A"/>
    <w:rsid w:val="00B54FE0"/>
    <w:rsid w:val="00B70A12"/>
    <w:rsid w:val="00B81AFE"/>
    <w:rsid w:val="00B91287"/>
    <w:rsid w:val="00BA179E"/>
    <w:rsid w:val="00BD5A34"/>
    <w:rsid w:val="00C07730"/>
    <w:rsid w:val="00C13763"/>
    <w:rsid w:val="00C26DEC"/>
    <w:rsid w:val="00C416ED"/>
    <w:rsid w:val="00C552DF"/>
    <w:rsid w:val="00CE0CFB"/>
    <w:rsid w:val="00CE396A"/>
    <w:rsid w:val="00CE490C"/>
    <w:rsid w:val="00CF4683"/>
    <w:rsid w:val="00D0263E"/>
    <w:rsid w:val="00D04695"/>
    <w:rsid w:val="00D05C8C"/>
    <w:rsid w:val="00D10EFD"/>
    <w:rsid w:val="00D41FE4"/>
    <w:rsid w:val="00D54DF8"/>
    <w:rsid w:val="00D72A13"/>
    <w:rsid w:val="00DA25D3"/>
    <w:rsid w:val="00DA2EEC"/>
    <w:rsid w:val="00DB7013"/>
    <w:rsid w:val="00DB7313"/>
    <w:rsid w:val="00DC053D"/>
    <w:rsid w:val="00DE0EAB"/>
    <w:rsid w:val="00E170E7"/>
    <w:rsid w:val="00E2033D"/>
    <w:rsid w:val="00E20F9D"/>
    <w:rsid w:val="00E315B4"/>
    <w:rsid w:val="00E34C2B"/>
    <w:rsid w:val="00E35A76"/>
    <w:rsid w:val="00E85F2B"/>
    <w:rsid w:val="00EC387A"/>
    <w:rsid w:val="00EE6CBD"/>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E7261"/>
    <w:pPr>
      <w:keepNext/>
      <w:keepLines/>
      <w:spacing w:before="240" w:after="0"/>
      <w:outlineLvl w:val="0"/>
    </w:pPr>
    <w:rPr>
      <w:rFonts w:ascii="Aptos Display" w:eastAsia="Times New Roman" w:hAnsi="Aptos Display" w:cs="Times New Roman"/>
      <w:color w:val="0F4761"/>
      <w:sz w:val="40"/>
      <w:szCs w:val="40"/>
    </w:rPr>
  </w:style>
  <w:style w:type="paragraph" w:styleId="Nagwek2">
    <w:name w:val="heading 2"/>
    <w:basedOn w:val="Normalny"/>
    <w:next w:val="Normalny"/>
    <w:link w:val="Nagwek2Znak"/>
    <w:uiPriority w:val="9"/>
    <w:semiHidden/>
    <w:unhideWhenUsed/>
    <w:qFormat/>
    <w:rsid w:val="00AE7261"/>
    <w:pPr>
      <w:keepNext/>
      <w:keepLines/>
      <w:spacing w:before="40" w:after="0"/>
      <w:outlineLvl w:val="1"/>
    </w:pPr>
    <w:rPr>
      <w:rFonts w:ascii="Aptos Display" w:eastAsia="Times New Roman" w:hAnsi="Aptos Display" w:cs="Times New Roman"/>
      <w:color w:val="0F4761"/>
      <w:sz w:val="32"/>
      <w:szCs w:val="32"/>
    </w:rPr>
  </w:style>
  <w:style w:type="paragraph" w:styleId="Nagwek3">
    <w:name w:val="heading 3"/>
    <w:basedOn w:val="Normalny"/>
    <w:next w:val="Normalny"/>
    <w:link w:val="Nagwek3Znak"/>
    <w:uiPriority w:val="9"/>
    <w:semiHidden/>
    <w:unhideWhenUsed/>
    <w:qFormat/>
    <w:rsid w:val="00AE7261"/>
    <w:pPr>
      <w:keepNext/>
      <w:keepLines/>
      <w:spacing w:before="40" w:after="0"/>
      <w:outlineLvl w:val="2"/>
    </w:pPr>
    <w:rPr>
      <w:rFonts w:ascii="Aptos" w:eastAsia="Times New Roman" w:hAnsi="Aptos" w:cs="Times New Roman"/>
      <w:color w:val="0F4761"/>
      <w:szCs w:val="28"/>
    </w:rPr>
  </w:style>
  <w:style w:type="paragraph" w:styleId="Nagwek4">
    <w:name w:val="heading 4"/>
    <w:basedOn w:val="Normalny"/>
    <w:next w:val="Normalny"/>
    <w:link w:val="Nagwek4Znak"/>
    <w:uiPriority w:val="9"/>
    <w:semiHidden/>
    <w:unhideWhenUsed/>
    <w:qFormat/>
    <w:rsid w:val="00AE7261"/>
    <w:pPr>
      <w:keepNext/>
      <w:keepLines/>
      <w:spacing w:before="40" w:after="0"/>
      <w:outlineLvl w:val="3"/>
    </w:pPr>
    <w:rPr>
      <w:rFonts w:ascii="Aptos" w:eastAsia="Times New Roman" w:hAnsi="Aptos" w:cs="Times New Roman"/>
      <w:i/>
      <w:iCs/>
      <w:color w:val="0F4761"/>
    </w:rPr>
  </w:style>
  <w:style w:type="paragraph" w:styleId="Nagwek5">
    <w:name w:val="heading 5"/>
    <w:basedOn w:val="Normalny"/>
    <w:next w:val="Normalny"/>
    <w:link w:val="Nagwek5Znak"/>
    <w:uiPriority w:val="9"/>
    <w:semiHidden/>
    <w:unhideWhenUsed/>
    <w:qFormat/>
    <w:rsid w:val="00AE7261"/>
    <w:pPr>
      <w:keepNext/>
      <w:keepLines/>
      <w:spacing w:before="40" w:after="0"/>
      <w:outlineLvl w:val="4"/>
    </w:pPr>
    <w:rPr>
      <w:rFonts w:ascii="Aptos" w:eastAsia="Times New Roman" w:hAnsi="Aptos" w:cs="Times New Roman"/>
      <w:color w:val="0F4761"/>
    </w:rPr>
  </w:style>
  <w:style w:type="paragraph" w:styleId="Nagwek6">
    <w:name w:val="heading 6"/>
    <w:basedOn w:val="Normalny"/>
    <w:next w:val="Normalny"/>
    <w:link w:val="Nagwek6Znak"/>
    <w:uiPriority w:val="9"/>
    <w:semiHidden/>
    <w:unhideWhenUsed/>
    <w:qFormat/>
    <w:rsid w:val="00AE7261"/>
    <w:pPr>
      <w:keepNext/>
      <w:keepLines/>
      <w:spacing w:before="40" w:after="0"/>
      <w:outlineLvl w:val="5"/>
    </w:pPr>
    <w:rPr>
      <w:rFonts w:ascii="Aptos" w:eastAsia="Times New Roman" w:hAnsi="Aptos" w:cs="Times New Roman"/>
      <w:i/>
      <w:iCs/>
      <w:color w:val="595959"/>
    </w:rPr>
  </w:style>
  <w:style w:type="paragraph" w:styleId="Nagwek7">
    <w:name w:val="heading 7"/>
    <w:basedOn w:val="Normalny"/>
    <w:next w:val="Normalny"/>
    <w:link w:val="Nagwek7Znak"/>
    <w:uiPriority w:val="9"/>
    <w:semiHidden/>
    <w:unhideWhenUsed/>
    <w:qFormat/>
    <w:rsid w:val="00AE7261"/>
    <w:pPr>
      <w:keepNext/>
      <w:keepLines/>
      <w:spacing w:before="40" w:after="0"/>
      <w:outlineLvl w:val="6"/>
    </w:pPr>
    <w:rPr>
      <w:rFonts w:ascii="Aptos" w:eastAsia="Times New Roman" w:hAnsi="Aptos" w:cs="Times New Roman"/>
      <w:color w:val="595959"/>
    </w:rPr>
  </w:style>
  <w:style w:type="paragraph" w:styleId="Nagwek8">
    <w:name w:val="heading 8"/>
    <w:basedOn w:val="Normalny"/>
    <w:next w:val="Normalny"/>
    <w:link w:val="Nagwek8Znak"/>
    <w:uiPriority w:val="9"/>
    <w:semiHidden/>
    <w:unhideWhenUsed/>
    <w:qFormat/>
    <w:rsid w:val="00AE7261"/>
    <w:pPr>
      <w:keepNext/>
      <w:keepLines/>
      <w:spacing w:before="40" w:after="0"/>
      <w:outlineLvl w:val="7"/>
    </w:pPr>
    <w:rPr>
      <w:rFonts w:ascii="Aptos" w:eastAsia="Times New Roman" w:hAnsi="Aptos" w:cs="Times New Roman"/>
      <w:i/>
      <w:iCs/>
      <w:color w:val="272727"/>
    </w:rPr>
  </w:style>
  <w:style w:type="paragraph" w:styleId="Nagwek9">
    <w:name w:val="heading 9"/>
    <w:basedOn w:val="Normalny"/>
    <w:next w:val="Normalny"/>
    <w:link w:val="Nagwek9Znak"/>
    <w:uiPriority w:val="9"/>
    <w:semiHidden/>
    <w:unhideWhenUsed/>
    <w:qFormat/>
    <w:rsid w:val="00AE7261"/>
    <w:pPr>
      <w:keepNext/>
      <w:keepLines/>
      <w:spacing w:before="40" w:after="0"/>
      <w:outlineLvl w:val="8"/>
    </w:pPr>
    <w:rPr>
      <w:rFonts w:ascii="Aptos" w:eastAsia="Times New Roman" w:hAnsi="Aptos" w:cs="Times New Roman"/>
      <w:color w:val="2727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 w:type="paragraph" w:customStyle="1" w:styleId="Nagwek11">
    <w:name w:val="Nagłówek 11"/>
    <w:basedOn w:val="Normalny"/>
    <w:next w:val="Normalny"/>
    <w:uiPriority w:val="9"/>
    <w:qFormat/>
    <w:rsid w:val="00AE7261"/>
    <w:pPr>
      <w:keepNext/>
      <w:keepLines/>
      <w:spacing w:before="360" w:after="80" w:line="240" w:lineRule="auto"/>
      <w:jc w:val="both"/>
      <w:outlineLvl w:val="0"/>
    </w:pPr>
    <w:rPr>
      <w:rFonts w:ascii="Aptos Display" w:eastAsia="Times New Roman" w:hAnsi="Aptos Display" w:cs="Times New Roman"/>
      <w:color w:val="0F4761"/>
      <w:kern w:val="2"/>
      <w:sz w:val="40"/>
      <w:szCs w:val="40"/>
      <w14:ligatures w14:val="standardContextual"/>
    </w:rPr>
  </w:style>
  <w:style w:type="paragraph" w:customStyle="1" w:styleId="Nagwek21">
    <w:name w:val="Nagłówek 21"/>
    <w:basedOn w:val="Normalny"/>
    <w:next w:val="Normalny"/>
    <w:uiPriority w:val="9"/>
    <w:semiHidden/>
    <w:unhideWhenUsed/>
    <w:qFormat/>
    <w:rsid w:val="00AE7261"/>
    <w:pPr>
      <w:keepNext/>
      <w:keepLines/>
      <w:spacing w:before="160" w:after="80" w:line="240" w:lineRule="auto"/>
      <w:jc w:val="both"/>
      <w:outlineLvl w:val="1"/>
    </w:pPr>
    <w:rPr>
      <w:rFonts w:ascii="Aptos Display" w:eastAsia="Times New Roman" w:hAnsi="Aptos Display" w:cs="Times New Roman"/>
      <w:color w:val="0F4761"/>
      <w:kern w:val="2"/>
      <w:sz w:val="32"/>
      <w:szCs w:val="32"/>
      <w14:ligatures w14:val="standardContextual"/>
    </w:rPr>
  </w:style>
  <w:style w:type="paragraph" w:customStyle="1" w:styleId="Nagwek31">
    <w:name w:val="Nagłówek 31"/>
    <w:basedOn w:val="Normalny"/>
    <w:next w:val="Normalny"/>
    <w:uiPriority w:val="9"/>
    <w:semiHidden/>
    <w:unhideWhenUsed/>
    <w:qFormat/>
    <w:rsid w:val="00AE7261"/>
    <w:pPr>
      <w:keepNext/>
      <w:keepLines/>
      <w:spacing w:before="160" w:after="80" w:line="240" w:lineRule="auto"/>
      <w:jc w:val="both"/>
      <w:outlineLvl w:val="2"/>
    </w:pPr>
    <w:rPr>
      <w:rFonts w:eastAsia="Times New Roman" w:cs="Times New Roman"/>
      <w:color w:val="0F4761"/>
      <w:kern w:val="2"/>
      <w:sz w:val="28"/>
      <w:szCs w:val="28"/>
      <w14:ligatures w14:val="standardContextual"/>
    </w:rPr>
  </w:style>
  <w:style w:type="paragraph" w:customStyle="1" w:styleId="Nagwek41">
    <w:name w:val="Nagłówek 41"/>
    <w:basedOn w:val="Normalny"/>
    <w:next w:val="Normalny"/>
    <w:uiPriority w:val="9"/>
    <w:semiHidden/>
    <w:unhideWhenUsed/>
    <w:qFormat/>
    <w:rsid w:val="00AE7261"/>
    <w:pPr>
      <w:keepNext/>
      <w:keepLines/>
      <w:spacing w:before="80" w:after="40" w:line="240" w:lineRule="auto"/>
      <w:jc w:val="both"/>
      <w:outlineLvl w:val="3"/>
    </w:pPr>
    <w:rPr>
      <w:rFonts w:eastAsia="Times New Roman" w:cs="Times New Roman"/>
      <w:i/>
      <w:iCs/>
      <w:color w:val="0F4761"/>
      <w:kern w:val="2"/>
      <w:sz w:val="28"/>
      <w14:ligatures w14:val="standardContextual"/>
    </w:rPr>
  </w:style>
  <w:style w:type="paragraph" w:customStyle="1" w:styleId="Nagwek51">
    <w:name w:val="Nagłówek 51"/>
    <w:basedOn w:val="Normalny"/>
    <w:next w:val="Normalny"/>
    <w:uiPriority w:val="9"/>
    <w:semiHidden/>
    <w:unhideWhenUsed/>
    <w:qFormat/>
    <w:rsid w:val="00AE7261"/>
    <w:pPr>
      <w:keepNext/>
      <w:keepLines/>
      <w:spacing w:before="80" w:after="40" w:line="240" w:lineRule="auto"/>
      <w:jc w:val="both"/>
      <w:outlineLvl w:val="4"/>
    </w:pPr>
    <w:rPr>
      <w:rFonts w:eastAsia="Times New Roman" w:cs="Times New Roman"/>
      <w:color w:val="0F4761"/>
      <w:kern w:val="2"/>
      <w:sz w:val="28"/>
      <w14:ligatures w14:val="standardContextual"/>
    </w:rPr>
  </w:style>
  <w:style w:type="paragraph" w:customStyle="1" w:styleId="Nagwek61">
    <w:name w:val="Nagłówek 61"/>
    <w:basedOn w:val="Normalny"/>
    <w:next w:val="Normalny"/>
    <w:uiPriority w:val="9"/>
    <w:semiHidden/>
    <w:unhideWhenUsed/>
    <w:qFormat/>
    <w:rsid w:val="00AE7261"/>
    <w:pPr>
      <w:keepNext/>
      <w:keepLines/>
      <w:spacing w:before="40" w:after="0" w:line="240" w:lineRule="auto"/>
      <w:jc w:val="both"/>
      <w:outlineLvl w:val="5"/>
    </w:pPr>
    <w:rPr>
      <w:rFonts w:eastAsia="Times New Roman" w:cs="Times New Roman"/>
      <w:i/>
      <w:iCs/>
      <w:color w:val="595959"/>
      <w:kern w:val="2"/>
      <w:sz w:val="28"/>
      <w14:ligatures w14:val="standardContextual"/>
    </w:rPr>
  </w:style>
  <w:style w:type="paragraph" w:customStyle="1" w:styleId="Nagwek71">
    <w:name w:val="Nagłówek 71"/>
    <w:basedOn w:val="Normalny"/>
    <w:next w:val="Normalny"/>
    <w:uiPriority w:val="9"/>
    <w:semiHidden/>
    <w:unhideWhenUsed/>
    <w:qFormat/>
    <w:rsid w:val="00AE7261"/>
    <w:pPr>
      <w:keepNext/>
      <w:keepLines/>
      <w:spacing w:before="40" w:after="0" w:line="240" w:lineRule="auto"/>
      <w:jc w:val="both"/>
      <w:outlineLvl w:val="6"/>
    </w:pPr>
    <w:rPr>
      <w:rFonts w:eastAsia="Times New Roman" w:cs="Times New Roman"/>
      <w:color w:val="595959"/>
      <w:kern w:val="2"/>
      <w:sz w:val="28"/>
      <w14:ligatures w14:val="standardContextual"/>
    </w:rPr>
  </w:style>
  <w:style w:type="paragraph" w:customStyle="1" w:styleId="Nagwek81">
    <w:name w:val="Nagłówek 81"/>
    <w:basedOn w:val="Normalny"/>
    <w:next w:val="Normalny"/>
    <w:uiPriority w:val="9"/>
    <w:semiHidden/>
    <w:unhideWhenUsed/>
    <w:qFormat/>
    <w:rsid w:val="00AE7261"/>
    <w:pPr>
      <w:keepNext/>
      <w:keepLines/>
      <w:spacing w:after="0" w:line="240" w:lineRule="auto"/>
      <w:jc w:val="both"/>
      <w:outlineLvl w:val="7"/>
    </w:pPr>
    <w:rPr>
      <w:rFonts w:eastAsia="Times New Roman" w:cs="Times New Roman"/>
      <w:i/>
      <w:iCs/>
      <w:color w:val="272727"/>
      <w:kern w:val="2"/>
      <w:sz w:val="28"/>
      <w14:ligatures w14:val="standardContextual"/>
    </w:rPr>
  </w:style>
  <w:style w:type="paragraph" w:customStyle="1" w:styleId="Nagwek91">
    <w:name w:val="Nagłówek 91"/>
    <w:basedOn w:val="Normalny"/>
    <w:next w:val="Normalny"/>
    <w:uiPriority w:val="9"/>
    <w:semiHidden/>
    <w:unhideWhenUsed/>
    <w:qFormat/>
    <w:rsid w:val="00AE7261"/>
    <w:pPr>
      <w:keepNext/>
      <w:keepLines/>
      <w:spacing w:after="0" w:line="240" w:lineRule="auto"/>
      <w:jc w:val="both"/>
      <w:outlineLvl w:val="8"/>
    </w:pPr>
    <w:rPr>
      <w:rFonts w:eastAsia="Times New Roman" w:cs="Times New Roman"/>
      <w:color w:val="272727"/>
      <w:kern w:val="2"/>
      <w:sz w:val="28"/>
      <w14:ligatures w14:val="standardContextual"/>
    </w:rPr>
  </w:style>
  <w:style w:type="numbering" w:customStyle="1" w:styleId="Bezlisty2">
    <w:name w:val="Bez listy2"/>
    <w:next w:val="Bezlisty"/>
    <w:uiPriority w:val="99"/>
    <w:semiHidden/>
    <w:unhideWhenUsed/>
    <w:rsid w:val="00AE7261"/>
  </w:style>
  <w:style w:type="character" w:customStyle="1" w:styleId="Nagwek1Znak">
    <w:name w:val="Nagłówek 1 Znak"/>
    <w:basedOn w:val="Domylnaczcionkaakapitu"/>
    <w:link w:val="Nagwek1"/>
    <w:uiPriority w:val="9"/>
    <w:rsid w:val="00AE7261"/>
    <w:rPr>
      <w:rFonts w:ascii="Aptos Display" w:eastAsia="Times New Roman" w:hAnsi="Aptos Display" w:cs="Times New Roman"/>
      <w:color w:val="0F4761"/>
      <w:sz w:val="40"/>
      <w:szCs w:val="40"/>
    </w:rPr>
  </w:style>
  <w:style w:type="character" w:customStyle="1" w:styleId="Nagwek2Znak">
    <w:name w:val="Nagłówek 2 Znak"/>
    <w:basedOn w:val="Domylnaczcionkaakapitu"/>
    <w:link w:val="Nagwek2"/>
    <w:uiPriority w:val="9"/>
    <w:semiHidden/>
    <w:rsid w:val="00AE7261"/>
    <w:rPr>
      <w:rFonts w:ascii="Aptos Display" w:eastAsia="Times New Roman" w:hAnsi="Aptos Display" w:cs="Times New Roman"/>
      <w:color w:val="0F4761"/>
      <w:sz w:val="32"/>
      <w:szCs w:val="32"/>
    </w:rPr>
  </w:style>
  <w:style w:type="character" w:customStyle="1" w:styleId="Nagwek3Znak">
    <w:name w:val="Nagłówek 3 Znak"/>
    <w:basedOn w:val="Domylnaczcionkaakapitu"/>
    <w:link w:val="Nagwek3"/>
    <w:uiPriority w:val="9"/>
    <w:semiHidden/>
    <w:rsid w:val="00AE7261"/>
    <w:rPr>
      <w:rFonts w:ascii="Aptos" w:eastAsia="Times New Roman" w:hAnsi="Aptos" w:cs="Times New Roman"/>
      <w:color w:val="0F4761"/>
      <w:szCs w:val="28"/>
    </w:rPr>
  </w:style>
  <w:style w:type="character" w:customStyle="1" w:styleId="Nagwek4Znak">
    <w:name w:val="Nagłówek 4 Znak"/>
    <w:basedOn w:val="Domylnaczcionkaakapitu"/>
    <w:link w:val="Nagwek4"/>
    <w:uiPriority w:val="9"/>
    <w:semiHidden/>
    <w:rsid w:val="00AE7261"/>
    <w:rPr>
      <w:rFonts w:ascii="Aptos" w:eastAsia="Times New Roman" w:hAnsi="Aptos" w:cs="Times New Roman"/>
      <w:i/>
      <w:iCs/>
      <w:color w:val="0F4761"/>
    </w:rPr>
  </w:style>
  <w:style w:type="character" w:customStyle="1" w:styleId="Nagwek5Znak">
    <w:name w:val="Nagłówek 5 Znak"/>
    <w:basedOn w:val="Domylnaczcionkaakapitu"/>
    <w:link w:val="Nagwek5"/>
    <w:uiPriority w:val="9"/>
    <w:semiHidden/>
    <w:rsid w:val="00AE7261"/>
    <w:rPr>
      <w:rFonts w:ascii="Aptos" w:eastAsia="Times New Roman" w:hAnsi="Aptos" w:cs="Times New Roman"/>
      <w:color w:val="0F4761"/>
    </w:rPr>
  </w:style>
  <w:style w:type="character" w:customStyle="1" w:styleId="Nagwek6Znak">
    <w:name w:val="Nagłówek 6 Znak"/>
    <w:basedOn w:val="Domylnaczcionkaakapitu"/>
    <w:link w:val="Nagwek6"/>
    <w:uiPriority w:val="9"/>
    <w:semiHidden/>
    <w:rsid w:val="00AE7261"/>
    <w:rPr>
      <w:rFonts w:ascii="Aptos" w:eastAsia="Times New Roman" w:hAnsi="Aptos" w:cs="Times New Roman"/>
      <w:i/>
      <w:iCs/>
      <w:color w:val="595959"/>
    </w:rPr>
  </w:style>
  <w:style w:type="character" w:customStyle="1" w:styleId="Nagwek7Znak">
    <w:name w:val="Nagłówek 7 Znak"/>
    <w:basedOn w:val="Domylnaczcionkaakapitu"/>
    <w:link w:val="Nagwek7"/>
    <w:uiPriority w:val="9"/>
    <w:semiHidden/>
    <w:rsid w:val="00AE7261"/>
    <w:rPr>
      <w:rFonts w:ascii="Aptos" w:eastAsia="Times New Roman" w:hAnsi="Aptos" w:cs="Times New Roman"/>
      <w:color w:val="595959"/>
    </w:rPr>
  </w:style>
  <w:style w:type="character" w:customStyle="1" w:styleId="Nagwek8Znak">
    <w:name w:val="Nagłówek 8 Znak"/>
    <w:basedOn w:val="Domylnaczcionkaakapitu"/>
    <w:link w:val="Nagwek8"/>
    <w:uiPriority w:val="9"/>
    <w:semiHidden/>
    <w:rsid w:val="00AE7261"/>
    <w:rPr>
      <w:rFonts w:ascii="Aptos" w:eastAsia="Times New Roman" w:hAnsi="Aptos" w:cs="Times New Roman"/>
      <w:i/>
      <w:iCs/>
      <w:color w:val="272727"/>
    </w:rPr>
  </w:style>
  <w:style w:type="character" w:customStyle="1" w:styleId="Nagwek9Znak">
    <w:name w:val="Nagłówek 9 Znak"/>
    <w:basedOn w:val="Domylnaczcionkaakapitu"/>
    <w:link w:val="Nagwek9"/>
    <w:uiPriority w:val="9"/>
    <w:semiHidden/>
    <w:rsid w:val="00AE7261"/>
    <w:rPr>
      <w:rFonts w:ascii="Aptos" w:eastAsia="Times New Roman" w:hAnsi="Aptos" w:cs="Times New Roman"/>
      <w:color w:val="272727"/>
    </w:rPr>
  </w:style>
  <w:style w:type="paragraph" w:customStyle="1" w:styleId="Tytu1">
    <w:name w:val="Tytuł1"/>
    <w:basedOn w:val="Normalny"/>
    <w:next w:val="Normalny"/>
    <w:uiPriority w:val="10"/>
    <w:qFormat/>
    <w:rsid w:val="00AE7261"/>
    <w:pPr>
      <w:spacing w:after="80" w:line="240" w:lineRule="auto"/>
      <w:contextualSpacing/>
      <w:jc w:val="both"/>
    </w:pPr>
    <w:rPr>
      <w:rFonts w:ascii="Aptos Display" w:eastAsia="Times New Roman" w:hAnsi="Aptos Display" w:cs="Times New Roman"/>
      <w:spacing w:val="-10"/>
      <w:kern w:val="28"/>
      <w:sz w:val="56"/>
      <w:szCs w:val="56"/>
      <w14:ligatures w14:val="standardContextual"/>
    </w:rPr>
  </w:style>
  <w:style w:type="character" w:customStyle="1" w:styleId="TytuZnak">
    <w:name w:val="Tytuł Znak"/>
    <w:basedOn w:val="Domylnaczcionkaakapitu"/>
    <w:link w:val="Tytu"/>
    <w:uiPriority w:val="10"/>
    <w:rsid w:val="00AE7261"/>
    <w:rPr>
      <w:rFonts w:ascii="Aptos Display" w:eastAsia="Times New Roman" w:hAnsi="Aptos Display" w:cs="Times New Roman"/>
      <w:spacing w:val="-10"/>
      <w:kern w:val="28"/>
      <w:sz w:val="56"/>
      <w:szCs w:val="56"/>
    </w:rPr>
  </w:style>
  <w:style w:type="paragraph" w:customStyle="1" w:styleId="Podtytu1">
    <w:name w:val="Podtytuł1"/>
    <w:basedOn w:val="Normalny"/>
    <w:next w:val="Normalny"/>
    <w:uiPriority w:val="11"/>
    <w:qFormat/>
    <w:rsid w:val="00AE7261"/>
    <w:pPr>
      <w:numPr>
        <w:ilvl w:val="1"/>
      </w:numPr>
      <w:spacing w:after="160" w:line="240" w:lineRule="auto"/>
      <w:jc w:val="both"/>
    </w:pPr>
    <w:rPr>
      <w:rFonts w:eastAsia="Times New Roman" w:cs="Times New Roman"/>
      <w:color w:val="595959"/>
      <w:spacing w:val="15"/>
      <w:kern w:val="2"/>
      <w:sz w:val="28"/>
      <w:szCs w:val="28"/>
      <w14:ligatures w14:val="standardContextual"/>
    </w:rPr>
  </w:style>
  <w:style w:type="character" w:customStyle="1" w:styleId="PodtytuZnak">
    <w:name w:val="Podtytuł Znak"/>
    <w:basedOn w:val="Domylnaczcionkaakapitu"/>
    <w:link w:val="Podtytu"/>
    <w:uiPriority w:val="11"/>
    <w:rsid w:val="00AE7261"/>
    <w:rPr>
      <w:rFonts w:ascii="Aptos" w:eastAsia="Times New Roman" w:hAnsi="Aptos" w:cs="Times New Roman"/>
      <w:color w:val="595959"/>
      <w:spacing w:val="15"/>
      <w:szCs w:val="28"/>
    </w:rPr>
  </w:style>
  <w:style w:type="paragraph" w:customStyle="1" w:styleId="Cytat1">
    <w:name w:val="Cytat1"/>
    <w:basedOn w:val="Normalny"/>
    <w:next w:val="Normalny"/>
    <w:uiPriority w:val="29"/>
    <w:qFormat/>
    <w:rsid w:val="00AE7261"/>
    <w:pPr>
      <w:spacing w:before="160" w:after="160" w:line="240" w:lineRule="auto"/>
      <w:jc w:val="center"/>
    </w:pPr>
    <w:rPr>
      <w:rFonts w:ascii="Calibri" w:eastAsia="Calibri" w:hAnsi="Calibri" w:cs="Times New Roman"/>
      <w:i/>
      <w:iCs/>
      <w:color w:val="404040"/>
      <w:kern w:val="2"/>
      <w:sz w:val="28"/>
      <w14:ligatures w14:val="standardContextual"/>
    </w:rPr>
  </w:style>
  <w:style w:type="character" w:customStyle="1" w:styleId="CytatZnak">
    <w:name w:val="Cytat Znak"/>
    <w:basedOn w:val="Domylnaczcionkaakapitu"/>
    <w:link w:val="Cytat"/>
    <w:uiPriority w:val="29"/>
    <w:rsid w:val="00AE7261"/>
    <w:rPr>
      <w:i/>
      <w:iCs/>
      <w:color w:val="404040"/>
    </w:rPr>
  </w:style>
  <w:style w:type="character" w:customStyle="1" w:styleId="Wyrnienieintensywne1">
    <w:name w:val="Wyróżnienie intensywne1"/>
    <w:basedOn w:val="Domylnaczcionkaakapitu"/>
    <w:uiPriority w:val="21"/>
    <w:qFormat/>
    <w:rsid w:val="00AE7261"/>
    <w:rPr>
      <w:i/>
      <w:iCs/>
      <w:color w:val="0F4761"/>
    </w:rPr>
  </w:style>
  <w:style w:type="paragraph" w:customStyle="1" w:styleId="Cytatintensywny1">
    <w:name w:val="Cytat intensywny1"/>
    <w:basedOn w:val="Normalny"/>
    <w:next w:val="Normalny"/>
    <w:uiPriority w:val="30"/>
    <w:qFormat/>
    <w:rsid w:val="00AE7261"/>
    <w:pPr>
      <w:pBdr>
        <w:top w:val="single" w:sz="4" w:space="10" w:color="0F4761"/>
        <w:bottom w:val="single" w:sz="4" w:space="10" w:color="0F4761"/>
      </w:pBdr>
      <w:spacing w:before="360" w:after="360" w:line="240" w:lineRule="auto"/>
      <w:ind w:left="864" w:right="864"/>
      <w:jc w:val="center"/>
    </w:pPr>
    <w:rPr>
      <w:rFonts w:ascii="Calibri" w:eastAsia="Calibri" w:hAnsi="Calibri" w:cs="Times New Roman"/>
      <w:i/>
      <w:iCs/>
      <w:color w:val="0F4761"/>
      <w:kern w:val="2"/>
      <w:sz w:val="28"/>
      <w14:ligatures w14:val="standardContextual"/>
    </w:rPr>
  </w:style>
  <w:style w:type="character" w:customStyle="1" w:styleId="CytatintensywnyZnak">
    <w:name w:val="Cytat intensywny Znak"/>
    <w:basedOn w:val="Domylnaczcionkaakapitu"/>
    <w:link w:val="Cytatintensywny"/>
    <w:uiPriority w:val="30"/>
    <w:rsid w:val="00AE7261"/>
    <w:rPr>
      <w:i/>
      <w:iCs/>
      <w:color w:val="0F4761"/>
    </w:rPr>
  </w:style>
  <w:style w:type="character" w:customStyle="1" w:styleId="Odwoanieintensywne1">
    <w:name w:val="Odwołanie intensywne1"/>
    <w:basedOn w:val="Domylnaczcionkaakapitu"/>
    <w:uiPriority w:val="32"/>
    <w:qFormat/>
    <w:rsid w:val="00AE7261"/>
    <w:rPr>
      <w:b/>
      <w:bCs/>
      <w:smallCaps/>
      <w:color w:val="0F4761"/>
      <w:spacing w:val="5"/>
    </w:rPr>
  </w:style>
  <w:style w:type="table" w:customStyle="1" w:styleId="Tabela-Siatka1">
    <w:name w:val="Tabela - Siatka1"/>
    <w:basedOn w:val="Standardowy"/>
    <w:next w:val="Tabela-Siatka"/>
    <w:uiPriority w:val="59"/>
    <w:rsid w:val="00AE7261"/>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AE7261"/>
    <w:pPr>
      <w:spacing w:after="0" w:line="240" w:lineRule="auto"/>
      <w:jc w:val="both"/>
    </w:pPr>
    <w:rPr>
      <w:rFonts w:ascii="Calibri" w:eastAsia="Calibri" w:hAnsi="Calibri" w:cs="Times New Roman"/>
      <w:kern w:val="2"/>
      <w:sz w:val="28"/>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1">
    <w:name w:val="Nagłówek 1 Znak1"/>
    <w:basedOn w:val="Domylnaczcionkaakapitu"/>
    <w:uiPriority w:val="9"/>
    <w:rsid w:val="00AE7261"/>
    <w:rPr>
      <w:rFonts w:asciiTheme="majorHAnsi" w:eastAsiaTheme="majorEastAsia" w:hAnsiTheme="majorHAnsi" w:cstheme="majorBidi"/>
      <w:color w:val="365F91" w:themeColor="accent1" w:themeShade="BF"/>
      <w:sz w:val="32"/>
      <w:szCs w:val="32"/>
    </w:rPr>
  </w:style>
  <w:style w:type="character" w:customStyle="1" w:styleId="Nagwek2Znak1">
    <w:name w:val="Nagłówek 2 Znak1"/>
    <w:basedOn w:val="Domylnaczcionkaakapitu"/>
    <w:uiPriority w:val="9"/>
    <w:semiHidden/>
    <w:rsid w:val="00AE7261"/>
    <w:rPr>
      <w:rFonts w:asciiTheme="majorHAnsi" w:eastAsiaTheme="majorEastAsia" w:hAnsiTheme="majorHAnsi" w:cstheme="majorBidi"/>
      <w:color w:val="365F91" w:themeColor="accent1" w:themeShade="BF"/>
      <w:sz w:val="26"/>
      <w:szCs w:val="26"/>
    </w:rPr>
  </w:style>
  <w:style w:type="character" w:customStyle="1" w:styleId="Nagwek3Znak1">
    <w:name w:val="Nagłówek 3 Znak1"/>
    <w:basedOn w:val="Domylnaczcionkaakapitu"/>
    <w:uiPriority w:val="9"/>
    <w:semiHidden/>
    <w:rsid w:val="00AE7261"/>
    <w:rPr>
      <w:rFonts w:asciiTheme="majorHAnsi" w:eastAsiaTheme="majorEastAsia" w:hAnsiTheme="majorHAnsi" w:cstheme="majorBidi"/>
      <w:color w:val="243F60" w:themeColor="accent1" w:themeShade="7F"/>
      <w:sz w:val="24"/>
      <w:szCs w:val="24"/>
    </w:rPr>
  </w:style>
  <w:style w:type="character" w:customStyle="1" w:styleId="Nagwek4Znak1">
    <w:name w:val="Nagłówek 4 Znak1"/>
    <w:basedOn w:val="Domylnaczcionkaakapitu"/>
    <w:uiPriority w:val="9"/>
    <w:semiHidden/>
    <w:rsid w:val="00AE7261"/>
    <w:rPr>
      <w:rFonts w:asciiTheme="majorHAnsi" w:eastAsiaTheme="majorEastAsia" w:hAnsiTheme="majorHAnsi" w:cstheme="majorBidi"/>
      <w:i/>
      <w:iCs/>
      <w:color w:val="365F91" w:themeColor="accent1" w:themeShade="BF"/>
    </w:rPr>
  </w:style>
  <w:style w:type="character" w:customStyle="1" w:styleId="Nagwek5Znak1">
    <w:name w:val="Nagłówek 5 Znak1"/>
    <w:basedOn w:val="Domylnaczcionkaakapitu"/>
    <w:uiPriority w:val="9"/>
    <w:semiHidden/>
    <w:rsid w:val="00AE7261"/>
    <w:rPr>
      <w:rFonts w:asciiTheme="majorHAnsi" w:eastAsiaTheme="majorEastAsia" w:hAnsiTheme="majorHAnsi" w:cstheme="majorBidi"/>
      <w:color w:val="365F91" w:themeColor="accent1" w:themeShade="BF"/>
    </w:rPr>
  </w:style>
  <w:style w:type="character" w:customStyle="1" w:styleId="Nagwek6Znak1">
    <w:name w:val="Nagłówek 6 Znak1"/>
    <w:basedOn w:val="Domylnaczcionkaakapitu"/>
    <w:uiPriority w:val="9"/>
    <w:semiHidden/>
    <w:rsid w:val="00AE7261"/>
    <w:rPr>
      <w:rFonts w:asciiTheme="majorHAnsi" w:eastAsiaTheme="majorEastAsia" w:hAnsiTheme="majorHAnsi" w:cstheme="majorBidi"/>
      <w:color w:val="243F60" w:themeColor="accent1" w:themeShade="7F"/>
    </w:rPr>
  </w:style>
  <w:style w:type="character" w:customStyle="1" w:styleId="Nagwek7Znak1">
    <w:name w:val="Nagłówek 7 Znak1"/>
    <w:basedOn w:val="Domylnaczcionkaakapitu"/>
    <w:uiPriority w:val="9"/>
    <w:semiHidden/>
    <w:rsid w:val="00AE7261"/>
    <w:rPr>
      <w:rFonts w:asciiTheme="majorHAnsi" w:eastAsiaTheme="majorEastAsia" w:hAnsiTheme="majorHAnsi" w:cstheme="majorBidi"/>
      <w:i/>
      <w:iCs/>
      <w:color w:val="243F60" w:themeColor="accent1" w:themeShade="7F"/>
    </w:rPr>
  </w:style>
  <w:style w:type="character" w:customStyle="1" w:styleId="Nagwek8Znak1">
    <w:name w:val="Nagłówek 8 Znak1"/>
    <w:basedOn w:val="Domylnaczcionkaakapitu"/>
    <w:uiPriority w:val="9"/>
    <w:semiHidden/>
    <w:rsid w:val="00AE7261"/>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E7261"/>
    <w:rPr>
      <w:rFonts w:asciiTheme="majorHAnsi" w:eastAsiaTheme="majorEastAsia" w:hAnsiTheme="majorHAnsi" w:cstheme="majorBidi"/>
      <w:i/>
      <w:iCs/>
      <w:color w:val="272727" w:themeColor="text1" w:themeTint="D8"/>
      <w:sz w:val="21"/>
      <w:szCs w:val="21"/>
    </w:rPr>
  </w:style>
  <w:style w:type="paragraph" w:styleId="Tytu">
    <w:name w:val="Title"/>
    <w:basedOn w:val="Normalny"/>
    <w:next w:val="Normalny"/>
    <w:link w:val="TytuZnak"/>
    <w:uiPriority w:val="10"/>
    <w:qFormat/>
    <w:rsid w:val="00AE7261"/>
    <w:pPr>
      <w:spacing w:after="0" w:line="240" w:lineRule="auto"/>
      <w:contextualSpacing/>
    </w:pPr>
    <w:rPr>
      <w:rFonts w:ascii="Aptos Display" w:eastAsia="Times New Roman" w:hAnsi="Aptos Display" w:cs="Times New Roman"/>
      <w:spacing w:val="-10"/>
      <w:kern w:val="28"/>
      <w:sz w:val="56"/>
      <w:szCs w:val="56"/>
    </w:rPr>
  </w:style>
  <w:style w:type="character" w:customStyle="1" w:styleId="TytuZnak1">
    <w:name w:val="Tytuł Znak1"/>
    <w:basedOn w:val="Domylnaczcionkaakapitu"/>
    <w:uiPriority w:val="10"/>
    <w:rsid w:val="00AE726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E7261"/>
    <w:pPr>
      <w:numPr>
        <w:ilvl w:val="1"/>
      </w:numPr>
      <w:spacing w:after="160"/>
    </w:pPr>
    <w:rPr>
      <w:rFonts w:ascii="Aptos" w:eastAsia="Times New Roman" w:hAnsi="Aptos" w:cs="Times New Roman"/>
      <w:color w:val="595959"/>
      <w:spacing w:val="15"/>
      <w:szCs w:val="28"/>
    </w:rPr>
  </w:style>
  <w:style w:type="character" w:customStyle="1" w:styleId="PodtytuZnak1">
    <w:name w:val="Podtytuł Znak1"/>
    <w:basedOn w:val="Domylnaczcionkaakapitu"/>
    <w:uiPriority w:val="11"/>
    <w:rsid w:val="00AE7261"/>
    <w:rPr>
      <w:rFonts w:eastAsiaTheme="minorEastAsia"/>
      <w:color w:val="5A5A5A" w:themeColor="text1" w:themeTint="A5"/>
      <w:spacing w:val="15"/>
    </w:rPr>
  </w:style>
  <w:style w:type="paragraph" w:styleId="Cytat">
    <w:name w:val="Quote"/>
    <w:basedOn w:val="Normalny"/>
    <w:next w:val="Normalny"/>
    <w:link w:val="CytatZnak"/>
    <w:uiPriority w:val="29"/>
    <w:qFormat/>
    <w:rsid w:val="00AE7261"/>
    <w:pPr>
      <w:spacing w:before="200" w:after="160"/>
      <w:ind w:left="864" w:right="864"/>
      <w:jc w:val="center"/>
    </w:pPr>
    <w:rPr>
      <w:i/>
      <w:iCs/>
      <w:color w:val="404040"/>
    </w:rPr>
  </w:style>
  <w:style w:type="character" w:customStyle="1" w:styleId="CytatZnak1">
    <w:name w:val="Cytat Znak1"/>
    <w:basedOn w:val="Domylnaczcionkaakapitu"/>
    <w:uiPriority w:val="29"/>
    <w:rsid w:val="00AE7261"/>
    <w:rPr>
      <w:i/>
      <w:iCs/>
      <w:color w:val="404040" w:themeColor="text1" w:themeTint="BF"/>
    </w:rPr>
  </w:style>
  <w:style w:type="character" w:styleId="Wyrnienieintensywne">
    <w:name w:val="Intense Emphasis"/>
    <w:basedOn w:val="Domylnaczcionkaakapitu"/>
    <w:uiPriority w:val="21"/>
    <w:qFormat/>
    <w:rsid w:val="00AE7261"/>
    <w:rPr>
      <w:i/>
      <w:iCs/>
      <w:color w:val="4F81BD" w:themeColor="accent1"/>
    </w:rPr>
  </w:style>
  <w:style w:type="paragraph" w:styleId="Cytatintensywny">
    <w:name w:val="Intense Quote"/>
    <w:basedOn w:val="Normalny"/>
    <w:next w:val="Normalny"/>
    <w:link w:val="CytatintensywnyZnak"/>
    <w:uiPriority w:val="30"/>
    <w:qFormat/>
    <w:rsid w:val="00AE7261"/>
    <w:pPr>
      <w:pBdr>
        <w:top w:val="single" w:sz="4" w:space="10" w:color="4F81BD" w:themeColor="accent1"/>
        <w:bottom w:val="single" w:sz="4" w:space="10" w:color="4F81BD" w:themeColor="accent1"/>
      </w:pBdr>
      <w:spacing w:before="360" w:after="360"/>
      <w:ind w:left="864" w:right="864"/>
      <w:jc w:val="center"/>
    </w:pPr>
    <w:rPr>
      <w:i/>
      <w:iCs/>
      <w:color w:val="0F4761"/>
    </w:rPr>
  </w:style>
  <w:style w:type="character" w:customStyle="1" w:styleId="CytatintensywnyZnak1">
    <w:name w:val="Cytat intensywny Znak1"/>
    <w:basedOn w:val="Domylnaczcionkaakapitu"/>
    <w:uiPriority w:val="30"/>
    <w:rsid w:val="00AE7261"/>
    <w:rPr>
      <w:i/>
      <w:iCs/>
      <w:color w:val="4F81BD" w:themeColor="accent1"/>
    </w:rPr>
  </w:style>
  <w:style w:type="character" w:styleId="Odwoanieintensywne">
    <w:name w:val="Intense Reference"/>
    <w:basedOn w:val="Domylnaczcionkaakapitu"/>
    <w:uiPriority w:val="32"/>
    <w:qFormat/>
    <w:rsid w:val="00AE7261"/>
    <w:rPr>
      <w:b/>
      <w:bCs/>
      <w:smallCaps/>
      <w:color w:val="4F81BD" w:themeColor="accent1"/>
      <w:spacing w:val="5"/>
    </w:rPr>
  </w:style>
  <w:style w:type="table" w:customStyle="1" w:styleId="Tabela-Siatka2">
    <w:name w:val="Tabela - Siatka2"/>
    <w:basedOn w:val="Standardowy"/>
    <w:next w:val="Tabela-Siatka"/>
    <w:uiPriority w:val="39"/>
    <w:rsid w:val="00511E35"/>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62" TargetMode="Externa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p.srem.pl/public/?id=23326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srem.pl/public/?id=23326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ip.srem.pl/public/?id=23326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ip.srem.pl/public/?id=23326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13449</Words>
  <Characters>80694</Characters>
  <Application>Microsoft Office Word</Application>
  <DocSecurity>0</DocSecurity>
  <Lines>672</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66</cp:revision>
  <cp:lastPrinted>2025-05-23T09:24:00Z</cp:lastPrinted>
  <dcterms:created xsi:type="dcterms:W3CDTF">2021-04-23T10:50:00Z</dcterms:created>
  <dcterms:modified xsi:type="dcterms:W3CDTF">2025-06-25T12:29:00Z</dcterms:modified>
</cp:coreProperties>
</file>