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03F7B" w14:textId="77777777" w:rsidR="00DE05E5" w:rsidRDefault="00DE05E5" w:rsidP="00BD2D28">
      <w:pPr>
        <w:spacing w:after="0" w:line="240" w:lineRule="auto"/>
        <w:ind w:right="5812"/>
        <w:jc w:val="center"/>
        <w:rPr>
          <w:rFonts w:eastAsia="Calibri" w:cstheme="minorHAnsi"/>
          <w:sz w:val="28"/>
          <w:szCs w:val="28"/>
        </w:rPr>
      </w:pPr>
    </w:p>
    <w:p w14:paraId="2981DBF3" w14:textId="7A400AE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6FF90A6A"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A9726B">
        <w:rPr>
          <w:rFonts w:eastAsia="Calibri" w:cstheme="minorHAnsi"/>
          <w:sz w:val="28"/>
          <w:szCs w:val="28"/>
        </w:rPr>
        <w:t>14</w:t>
      </w:r>
      <w:r w:rsidR="0010198A">
        <w:rPr>
          <w:rFonts w:eastAsia="Calibri" w:cstheme="minorHAnsi"/>
          <w:sz w:val="28"/>
          <w:szCs w:val="28"/>
        </w:rPr>
        <w:t xml:space="preserve"> lipca 2025 r.</w:t>
      </w:r>
    </w:p>
    <w:p w14:paraId="59433AED" w14:textId="5DBD5134"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10198A">
        <w:rPr>
          <w:rFonts w:eastAsia="Calibri" w:cstheme="minorHAnsi"/>
          <w:sz w:val="28"/>
          <w:szCs w:val="28"/>
        </w:rPr>
        <w:t>8.2025</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6153587E" w14:textId="77777777" w:rsidR="0026640C" w:rsidRPr="006463C1" w:rsidRDefault="0026640C" w:rsidP="0026640C">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 nałożeniu obowiązku przeprowadzenia oceny oddziaływania przedsięwzięcia na środowisko</w:t>
      </w:r>
    </w:p>
    <w:p w14:paraId="5D01CA58" w14:textId="03A0FD8F" w:rsidR="00A8643E" w:rsidRDefault="00DE05E5" w:rsidP="00A8643E">
      <w:pPr>
        <w:spacing w:after="120" w:line="240" w:lineRule="auto"/>
        <w:ind w:firstLine="708"/>
        <w:rPr>
          <w:rFonts w:ascii="Calibri" w:hAnsi="Calibri" w:cs="Calibri"/>
          <w:b/>
          <w:bCs/>
          <w:sz w:val="28"/>
          <w:szCs w:val="28"/>
        </w:rPr>
      </w:pPr>
      <w:r>
        <w:rPr>
          <w:rFonts w:cstheme="minorHAnsi"/>
          <w:sz w:val="28"/>
          <w:szCs w:val="28"/>
        </w:rPr>
        <w:t>Z</w:t>
      </w:r>
      <w:r w:rsidRPr="0026640C">
        <w:rPr>
          <w:rFonts w:cstheme="minorHAnsi"/>
          <w:sz w:val="28"/>
          <w:szCs w:val="28"/>
        </w:rPr>
        <w:t>awiadamiam</w:t>
      </w:r>
      <w:r>
        <w:rPr>
          <w:rFonts w:cstheme="minorHAnsi"/>
          <w:sz w:val="28"/>
          <w:szCs w:val="28"/>
          <w:vertAlign w:val="superscript"/>
        </w:rPr>
        <w:t>1</w:t>
      </w:r>
      <w:r w:rsidRPr="0026640C">
        <w:rPr>
          <w:rFonts w:cstheme="minorHAnsi"/>
          <w:sz w:val="28"/>
          <w:szCs w:val="28"/>
        </w:rPr>
        <w:t xml:space="preserve"> strony postępowania o nałożeniu przez Burmistrza Śremu, na mocy postanowienia z</w:t>
      </w:r>
      <w:r w:rsidR="00753E8F">
        <w:rPr>
          <w:rFonts w:cstheme="minorHAnsi"/>
          <w:sz w:val="28"/>
          <w:szCs w:val="28"/>
        </w:rPr>
        <w:t> </w:t>
      </w:r>
      <w:r w:rsidR="0010198A">
        <w:rPr>
          <w:rFonts w:cstheme="minorHAnsi"/>
          <w:sz w:val="28"/>
          <w:szCs w:val="28"/>
        </w:rPr>
        <w:t>10.07.</w:t>
      </w:r>
      <w:r w:rsidR="00A8643E">
        <w:rPr>
          <w:rFonts w:cstheme="minorHAnsi"/>
          <w:sz w:val="28"/>
          <w:szCs w:val="28"/>
        </w:rPr>
        <w:t>2025</w:t>
      </w:r>
      <w:r w:rsidRPr="0026640C">
        <w:rPr>
          <w:rFonts w:cstheme="minorHAnsi"/>
          <w:sz w:val="28"/>
          <w:szCs w:val="28"/>
        </w:rPr>
        <w:t xml:space="preserve"> r., obowiązku przeprowadzenia oceny oddziaływania na środowisko </w:t>
      </w:r>
      <w:r w:rsidR="00A8643E">
        <w:rPr>
          <w:rFonts w:cstheme="minorHAnsi"/>
          <w:sz w:val="28"/>
          <w:szCs w:val="28"/>
        </w:rPr>
        <w:t xml:space="preserve">i sporządzenia raportu </w:t>
      </w:r>
      <w:r w:rsidRPr="0026640C">
        <w:rPr>
          <w:rFonts w:cstheme="minorHAnsi"/>
          <w:sz w:val="28"/>
          <w:szCs w:val="28"/>
        </w:rPr>
        <w:t xml:space="preserve">dla planowanego </w:t>
      </w:r>
      <w:r>
        <w:rPr>
          <w:rFonts w:cstheme="minorHAnsi"/>
          <w:sz w:val="28"/>
          <w:szCs w:val="28"/>
        </w:rPr>
        <w:t xml:space="preserve">przez </w:t>
      </w:r>
      <w:r w:rsidR="0010198A" w:rsidRPr="0010198A">
        <w:rPr>
          <w:rFonts w:cstheme="minorHAnsi"/>
          <w:sz w:val="28"/>
          <w:szCs w:val="28"/>
        </w:rPr>
        <w:t>Pani</w:t>
      </w:r>
      <w:r w:rsidR="0010198A">
        <w:rPr>
          <w:rFonts w:cstheme="minorHAnsi"/>
          <w:sz w:val="28"/>
          <w:szCs w:val="28"/>
        </w:rPr>
        <w:t>ą</w:t>
      </w:r>
      <w:r w:rsidR="0010198A" w:rsidRPr="0010198A">
        <w:rPr>
          <w:rFonts w:cstheme="minorHAnsi"/>
          <w:sz w:val="28"/>
          <w:szCs w:val="28"/>
        </w:rPr>
        <w:t xml:space="preserve"> Grażyn</w:t>
      </w:r>
      <w:r w:rsidR="0010198A">
        <w:rPr>
          <w:rFonts w:cstheme="minorHAnsi"/>
          <w:sz w:val="28"/>
          <w:szCs w:val="28"/>
        </w:rPr>
        <w:t>ę</w:t>
      </w:r>
      <w:r w:rsidR="0010198A" w:rsidRPr="0010198A">
        <w:rPr>
          <w:rFonts w:cstheme="minorHAnsi"/>
          <w:sz w:val="28"/>
          <w:szCs w:val="28"/>
        </w:rPr>
        <w:t xml:space="preserve"> Kaczmarek prowadząc</w:t>
      </w:r>
      <w:r w:rsidR="0010198A">
        <w:rPr>
          <w:rFonts w:cstheme="minorHAnsi"/>
          <w:sz w:val="28"/>
          <w:szCs w:val="28"/>
        </w:rPr>
        <w:t>ą</w:t>
      </w:r>
      <w:r w:rsidR="0010198A" w:rsidRPr="0010198A">
        <w:rPr>
          <w:rFonts w:cstheme="minorHAnsi"/>
          <w:sz w:val="28"/>
          <w:szCs w:val="28"/>
        </w:rPr>
        <w:t xml:space="preserve"> działalność gospodarczą pod nazwą „Transal” Grażyna Kaczmarek, Dąbrowa, ul. Śremska 20, 63-100 Śrem</w:t>
      </w:r>
      <w:r w:rsidR="00A8643E">
        <w:rPr>
          <w:rFonts w:cstheme="minorHAnsi"/>
          <w:sz w:val="28"/>
          <w:szCs w:val="28"/>
        </w:rPr>
        <w:t>,</w:t>
      </w:r>
      <w:r w:rsidRPr="00DE05E5">
        <w:rPr>
          <w:rFonts w:cstheme="minorHAnsi"/>
          <w:sz w:val="28"/>
          <w:szCs w:val="28"/>
        </w:rPr>
        <w:t xml:space="preserve"> </w:t>
      </w:r>
      <w:r w:rsidRPr="0026640C">
        <w:rPr>
          <w:rFonts w:cstheme="minorHAnsi"/>
          <w:sz w:val="28"/>
          <w:szCs w:val="28"/>
        </w:rPr>
        <w:t xml:space="preserve">przedsięwzięcia </w:t>
      </w:r>
      <w:r w:rsidRPr="001E776B">
        <w:rPr>
          <w:rFonts w:ascii="Calibri" w:hAnsi="Calibri" w:cs="Calibri"/>
          <w:sz w:val="28"/>
          <w:szCs w:val="28"/>
        </w:rPr>
        <w:t xml:space="preserve">polegającego na </w:t>
      </w:r>
      <w:r w:rsidR="0010198A" w:rsidRPr="0010198A">
        <w:rPr>
          <w:rFonts w:ascii="Calibri" w:hAnsi="Calibri" w:cs="Calibri"/>
          <w:b/>
          <w:bCs/>
          <w:sz w:val="28"/>
          <w:szCs w:val="28"/>
        </w:rPr>
        <w:t>wydobywaniu kopaliny ze złoża kruszywa naturalnego „Mechlin” metodą odkrywkową na działce o numerze ewidencyjnym 324/13, obręb Mechlin</w:t>
      </w:r>
      <w:r w:rsidR="00A8643E">
        <w:rPr>
          <w:rFonts w:ascii="Calibri" w:hAnsi="Calibri" w:cs="Calibri"/>
          <w:b/>
          <w:bCs/>
          <w:sz w:val="28"/>
          <w:szCs w:val="28"/>
        </w:rPr>
        <w:t>.</w:t>
      </w:r>
    </w:p>
    <w:p w14:paraId="76B0CE74" w14:textId="1D3788B0" w:rsidR="0026640C" w:rsidRDefault="00DE05E5" w:rsidP="00A8643E">
      <w:pPr>
        <w:spacing w:after="120" w:line="240" w:lineRule="auto"/>
        <w:ind w:firstLine="708"/>
        <w:rPr>
          <w:rFonts w:cstheme="minorHAnsi"/>
          <w:sz w:val="28"/>
          <w:szCs w:val="28"/>
        </w:rPr>
      </w:pPr>
      <w:r w:rsidRPr="0026640C">
        <w:rPr>
          <w:rFonts w:cstheme="minorHAnsi"/>
          <w:sz w:val="28"/>
          <w:szCs w:val="28"/>
        </w:rPr>
        <w:t>Na postanowienie służy stronom zażalenie. Z treścią postanowienia można zapoznać się w Urzędzie Miejskim w Śremie (ul. Plac 20</w:t>
      </w:r>
      <w:r>
        <w:rPr>
          <w:rFonts w:cstheme="minorHAnsi"/>
          <w:sz w:val="28"/>
          <w:szCs w:val="28"/>
        </w:rPr>
        <w:t> </w:t>
      </w:r>
      <w:r w:rsidRPr="0026640C">
        <w:rPr>
          <w:rFonts w:cstheme="minorHAnsi"/>
          <w:sz w:val="28"/>
          <w:szCs w:val="28"/>
        </w:rPr>
        <w:t>Października 1, pok. 33), w godzinach od 7:00 do 15:00 lub w Biuletynie Informacji Publicznej (</w:t>
      </w:r>
      <w:hyperlink r:id="rId8" w:history="1">
        <w:r w:rsidR="0010198A" w:rsidRPr="0010198A">
          <w:rPr>
            <w:rStyle w:val="Hipercze"/>
            <w:sz w:val="28"/>
            <w:szCs w:val="28"/>
          </w:rPr>
          <w:t>https://bip.srem.pl/public/?id=235691</w:t>
        </w:r>
      </w:hyperlink>
      <w:r w:rsidRPr="0026640C">
        <w:rPr>
          <w:rFonts w:cstheme="minorHAnsi"/>
          <w:sz w:val="28"/>
          <w:szCs w:val="28"/>
        </w:rPr>
        <w:t xml:space="preserve">). </w:t>
      </w:r>
    </w:p>
    <w:p w14:paraId="455D5B0C" w14:textId="77777777" w:rsidR="00DA1544" w:rsidRDefault="00DA1544" w:rsidP="0010198A">
      <w:pPr>
        <w:spacing w:after="120" w:line="240" w:lineRule="auto"/>
        <w:ind w:left="4247"/>
        <w:jc w:val="center"/>
        <w:rPr>
          <w:rFonts w:ascii="Calibri" w:eastAsia="Calibri" w:hAnsi="Calibri" w:cs="Calibri"/>
          <w:kern w:val="2"/>
          <w:sz w:val="28"/>
          <w:szCs w:val="28"/>
          <w14:ligatures w14:val="standardContextual"/>
        </w:rPr>
      </w:pPr>
    </w:p>
    <w:p w14:paraId="1669BE9C" w14:textId="07BEFF86" w:rsidR="0010198A" w:rsidRPr="00474183" w:rsidRDefault="0010198A" w:rsidP="0010198A">
      <w:pPr>
        <w:spacing w:after="120" w:line="240" w:lineRule="auto"/>
        <w:ind w:left="4247"/>
        <w:jc w:val="center"/>
        <w:rPr>
          <w:rFonts w:ascii="Calibri" w:eastAsia="Calibri" w:hAnsi="Calibri" w:cs="Calibri"/>
          <w:kern w:val="2"/>
          <w:sz w:val="28"/>
          <w:szCs w:val="28"/>
          <w14:ligatures w14:val="standardContextual"/>
        </w:rPr>
      </w:pPr>
      <w:r w:rsidRPr="00474183">
        <w:rPr>
          <w:rFonts w:ascii="Calibri" w:eastAsia="Calibri" w:hAnsi="Calibri" w:cs="Calibri"/>
          <w:kern w:val="2"/>
          <w:sz w:val="28"/>
          <w:szCs w:val="28"/>
          <w14:ligatures w14:val="standardContextual"/>
        </w:rPr>
        <w:t>Grzegorz Wiśniewski</w:t>
      </w:r>
    </w:p>
    <w:p w14:paraId="71C229BB" w14:textId="77777777" w:rsidR="0010198A" w:rsidRPr="002A5D3A" w:rsidRDefault="0010198A" w:rsidP="0010198A">
      <w:pPr>
        <w:spacing w:after="0" w:line="240" w:lineRule="auto"/>
        <w:ind w:left="4394"/>
        <w:jc w:val="center"/>
        <w:rPr>
          <w:rFonts w:ascii="Calibri" w:eastAsia="Times New Roman" w:hAnsi="Calibri" w:cs="Calibri"/>
          <w:kern w:val="2"/>
          <w:sz w:val="28"/>
          <w:szCs w:val="28"/>
          <w:lang w:eastAsia="pl-PL"/>
          <w14:ligatures w14:val="standardContextual"/>
        </w:rPr>
      </w:pPr>
      <w:r w:rsidRPr="00474183">
        <w:rPr>
          <w:rFonts w:ascii="Calibri" w:eastAsia="Calibri" w:hAnsi="Calibri" w:cs="Calibri"/>
          <w:kern w:val="2"/>
          <w:sz w:val="28"/>
          <w:szCs w:val="28"/>
          <w14:ligatures w14:val="standardContextual"/>
        </w:rPr>
        <w:t>Burmistrz Śremu</w:t>
      </w:r>
    </w:p>
    <w:p w14:paraId="65C6A513" w14:textId="77777777" w:rsidR="00A8643E" w:rsidRDefault="00A8643E" w:rsidP="00BD2D28">
      <w:pPr>
        <w:spacing w:after="120" w:line="240" w:lineRule="auto"/>
        <w:jc w:val="both"/>
        <w:rPr>
          <w:rFonts w:eastAsia="Times New Roman" w:cstheme="minorHAnsi"/>
          <w:sz w:val="28"/>
          <w:szCs w:val="28"/>
          <w:lang w:eastAsia="pl-PL"/>
        </w:rPr>
      </w:pPr>
    </w:p>
    <w:p w14:paraId="4952B8FB" w14:textId="74B78B6E" w:rsidR="00BD2D28" w:rsidRPr="0026640C"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 xml:space="preserve">Wywieszono: </w:t>
      </w:r>
      <w:r w:rsidR="0010198A">
        <w:rPr>
          <w:rFonts w:eastAsia="Times New Roman" w:cstheme="minorHAnsi"/>
          <w:sz w:val="28"/>
          <w:szCs w:val="28"/>
          <w:lang w:eastAsia="pl-PL"/>
        </w:rPr>
        <w:t>14.07</w:t>
      </w:r>
      <w:r w:rsidR="00A8643E">
        <w:rPr>
          <w:rFonts w:eastAsia="Times New Roman" w:cstheme="minorHAnsi"/>
          <w:sz w:val="28"/>
          <w:szCs w:val="28"/>
          <w:lang w:eastAsia="pl-PL"/>
        </w:rPr>
        <w:t>.2025</w:t>
      </w:r>
      <w:r w:rsidR="00753E8F">
        <w:rPr>
          <w:rFonts w:eastAsia="Times New Roman" w:cstheme="minorHAnsi"/>
          <w:sz w:val="28"/>
          <w:szCs w:val="28"/>
          <w:lang w:eastAsia="pl-PL"/>
        </w:rPr>
        <w:t xml:space="preserve"> r.</w:t>
      </w:r>
      <w:r w:rsidR="00906B66" w:rsidRPr="0026640C">
        <w:rPr>
          <w:rFonts w:eastAsia="Times New Roman" w:cstheme="minorHAnsi"/>
          <w:sz w:val="28"/>
          <w:szCs w:val="28"/>
          <w:lang w:eastAsia="pl-PL"/>
        </w:rPr>
        <w:t xml:space="preserve"> r.</w:t>
      </w:r>
    </w:p>
    <w:p w14:paraId="058F491B" w14:textId="77777777" w:rsidR="00BD2D28"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Zdjęto:</w:t>
      </w:r>
    </w:p>
    <w:p w14:paraId="7F966B7E" w14:textId="77777777" w:rsidR="00753E8F" w:rsidRDefault="00753E8F" w:rsidP="00A8643E">
      <w:pPr>
        <w:spacing w:after="120" w:line="240" w:lineRule="auto"/>
        <w:rPr>
          <w:rFonts w:eastAsia="Times New Roman" w:cstheme="minorHAnsi"/>
          <w:sz w:val="28"/>
          <w:szCs w:val="28"/>
          <w:lang w:eastAsia="pl-PL"/>
        </w:rPr>
      </w:pPr>
    </w:p>
    <w:p w14:paraId="137C7499" w14:textId="7A6E0502" w:rsidR="00753E8F" w:rsidRPr="00045D2C" w:rsidRDefault="00753E8F" w:rsidP="00A8643E">
      <w:pPr>
        <w:spacing w:after="120" w:line="240" w:lineRule="auto"/>
        <w:rPr>
          <w:rFonts w:cstheme="minorHAnsi"/>
          <w:sz w:val="28"/>
          <w:szCs w:val="28"/>
        </w:rPr>
      </w:pPr>
      <w:r>
        <w:rPr>
          <w:rFonts w:cstheme="minorHAnsi"/>
          <w:bCs/>
          <w:sz w:val="28"/>
          <w:szCs w:val="28"/>
          <w:vertAlign w:val="superscript"/>
        </w:rPr>
        <w:t xml:space="preserve">1 </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(Dz. U. z </w:t>
      </w:r>
      <w:r w:rsidR="00A8643E">
        <w:rPr>
          <w:rFonts w:cstheme="minorHAnsi"/>
          <w:sz w:val="28"/>
          <w:szCs w:val="28"/>
        </w:rPr>
        <w:t>2024 r. poz. 1112, 1940 i 1881</w:t>
      </w:r>
      <w:r w:rsidRPr="00676AE8">
        <w:rPr>
          <w:rFonts w:cstheme="minorHAnsi"/>
          <w:sz w:val="28"/>
          <w:szCs w:val="28"/>
        </w:rPr>
        <w:t>)</w:t>
      </w:r>
      <w:r w:rsidR="00A8643E">
        <w:rPr>
          <w:rFonts w:cstheme="minorHAnsi"/>
          <w:sz w:val="28"/>
          <w:szCs w:val="28"/>
        </w:rPr>
        <w:t>.</w:t>
      </w:r>
    </w:p>
    <w:p w14:paraId="69E97359" w14:textId="77777777" w:rsidR="00753E8F" w:rsidRDefault="00753E8F" w:rsidP="00BD2D28">
      <w:pPr>
        <w:spacing w:after="120" w:line="240" w:lineRule="auto"/>
        <w:jc w:val="both"/>
        <w:rPr>
          <w:rFonts w:eastAsia="Times New Roman" w:cstheme="minorHAnsi"/>
          <w:sz w:val="28"/>
          <w:szCs w:val="28"/>
          <w:lang w:eastAsia="pl-PL"/>
        </w:rPr>
      </w:pPr>
    </w:p>
    <w:p w14:paraId="2E42DF25" w14:textId="77777777" w:rsidR="0010198A" w:rsidRDefault="0010198A" w:rsidP="00A8643E">
      <w:pPr>
        <w:tabs>
          <w:tab w:val="left" w:pos="1985"/>
        </w:tabs>
        <w:spacing w:after="0" w:line="240" w:lineRule="auto"/>
        <w:ind w:right="5810"/>
        <w:jc w:val="center"/>
        <w:rPr>
          <w:rFonts w:ascii="Calibri" w:eastAsia="Times New Roman" w:hAnsi="Calibri" w:cs="Calibri"/>
          <w:sz w:val="28"/>
          <w:szCs w:val="28"/>
          <w:lang w:eastAsia="pl-PL"/>
        </w:rPr>
      </w:pPr>
    </w:p>
    <w:p w14:paraId="5BCAD7C4" w14:textId="77777777" w:rsidR="00DA1544" w:rsidRPr="00DA1544" w:rsidRDefault="00DA1544" w:rsidP="00DA1544">
      <w:pPr>
        <w:tabs>
          <w:tab w:val="left" w:pos="1985"/>
        </w:tabs>
        <w:spacing w:after="0" w:line="240" w:lineRule="auto"/>
        <w:ind w:right="5668"/>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lastRenderedPageBreak/>
        <w:t>Burmistrz Śremu</w:t>
      </w:r>
    </w:p>
    <w:p w14:paraId="0FC47071" w14:textId="77777777" w:rsidR="00DA1544" w:rsidRPr="00DA1544" w:rsidRDefault="00DA1544" w:rsidP="00DA1544">
      <w:pPr>
        <w:tabs>
          <w:tab w:val="left" w:pos="1985"/>
        </w:tabs>
        <w:spacing w:after="0" w:line="240" w:lineRule="auto"/>
        <w:ind w:right="5668"/>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ul. Plac 20 Października 1</w:t>
      </w:r>
    </w:p>
    <w:p w14:paraId="7E1A6AA6" w14:textId="77777777" w:rsidR="00DA1544" w:rsidRPr="00DA1544" w:rsidRDefault="00DA1544" w:rsidP="00DA1544">
      <w:pPr>
        <w:tabs>
          <w:tab w:val="left" w:pos="1985"/>
        </w:tabs>
        <w:spacing w:after="0" w:line="240" w:lineRule="auto"/>
        <w:ind w:right="5668"/>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63-100 Śrem</w:t>
      </w:r>
    </w:p>
    <w:p w14:paraId="567A6D12" w14:textId="77777777" w:rsidR="00DA1544" w:rsidRPr="00DA1544" w:rsidRDefault="00DA1544" w:rsidP="00DA1544">
      <w:pPr>
        <w:tabs>
          <w:tab w:val="left" w:pos="1985"/>
        </w:tabs>
        <w:spacing w:after="0" w:line="240" w:lineRule="auto"/>
        <w:jc w:val="right"/>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Śrem, 10 lipca 2025 r.</w:t>
      </w:r>
    </w:p>
    <w:p w14:paraId="31B734AA" w14:textId="77777777" w:rsidR="00DA1544" w:rsidRPr="00DA1544" w:rsidRDefault="00DA1544" w:rsidP="00DA1544">
      <w:pPr>
        <w:spacing w:after="0" w:line="240" w:lineRule="auto"/>
        <w:jc w:val="both"/>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PPSOŚ.6220.8.2025.BM</w:t>
      </w:r>
    </w:p>
    <w:p w14:paraId="5C6C3187" w14:textId="77777777" w:rsidR="00DA1544" w:rsidRPr="00DA1544" w:rsidRDefault="00DA1544" w:rsidP="00DA1544">
      <w:pPr>
        <w:spacing w:after="120" w:line="240" w:lineRule="auto"/>
        <w:jc w:val="center"/>
        <w:rPr>
          <w:rFonts w:ascii="Calibri" w:eastAsia="Times New Roman" w:hAnsi="Calibri" w:cs="Calibri"/>
          <w:bCs/>
          <w:sz w:val="28"/>
          <w:szCs w:val="28"/>
          <w:lang w:eastAsia="pl-PL"/>
        </w:rPr>
      </w:pPr>
      <w:r w:rsidRPr="00DA1544">
        <w:rPr>
          <w:rFonts w:ascii="Calibri" w:eastAsia="Times New Roman" w:hAnsi="Calibri" w:cs="Calibri"/>
          <w:bCs/>
          <w:sz w:val="28"/>
          <w:szCs w:val="28"/>
          <w:lang w:eastAsia="pl-PL"/>
        </w:rPr>
        <w:t>Postanowienie</w:t>
      </w:r>
    </w:p>
    <w:p w14:paraId="3DB4E4BB"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 xml:space="preserve">Na podstawie art. 63 ust. 1 i 4, art. 66 i art. 68 ust. 2 pkt 2 lit. </w:t>
      </w:r>
      <w:bookmarkStart w:id="0" w:name="_Hlk175818901"/>
      <w:r w:rsidRPr="00DA1544">
        <w:rPr>
          <w:rFonts w:ascii="Calibri" w:eastAsia="Times New Roman" w:hAnsi="Calibri" w:cs="Calibri"/>
          <w:sz w:val="28"/>
          <w:szCs w:val="28"/>
          <w:lang w:eastAsia="pl-PL"/>
        </w:rPr>
        <w:t xml:space="preserve">b ustawy z dnia 3 października 2008 r. o udostępnianiu informacji o środowisku i jego ochronie, udziale społeczeństwa w ochronie środowiska oraz o ocenach oddziaływania na środowisko </w:t>
      </w:r>
      <w:bookmarkEnd w:id="0"/>
      <w:r w:rsidRPr="00DA1544">
        <w:rPr>
          <w:rFonts w:ascii="Calibri" w:eastAsia="Times New Roman" w:hAnsi="Calibri" w:cs="Calibri"/>
          <w:sz w:val="28"/>
          <w:szCs w:val="28"/>
          <w:lang w:eastAsia="pl-PL"/>
        </w:rPr>
        <w:t>(</w:t>
      </w:r>
      <w:bookmarkStart w:id="1" w:name="_Hlk199917964"/>
      <w:r w:rsidRPr="00DA1544">
        <w:rPr>
          <w:rFonts w:ascii="Calibri" w:eastAsia="Calibri" w:hAnsi="Calibri" w:cs="Calibri"/>
          <w:bCs/>
          <w:sz w:val="28"/>
          <w:szCs w:val="28"/>
        </w:rPr>
        <w:t>Dz. U. z 2024 r. poz. 1112, 1940 i 1881</w:t>
      </w:r>
      <w:bookmarkEnd w:id="1"/>
      <w:r w:rsidRPr="00DA1544">
        <w:rPr>
          <w:rFonts w:ascii="Calibri" w:eastAsia="Times New Roman" w:hAnsi="Calibri" w:cs="Calibri"/>
          <w:sz w:val="28"/>
          <w:szCs w:val="28"/>
          <w:lang w:eastAsia="pl-PL"/>
        </w:rPr>
        <w:t>), zwanej dalej u.o.o.ś. oraz art. 123 § 1 ustawy z dnia 14 czerwca 1960 r. – Kodeks postępowania administracyjnego (Dz. U. z 2024 r. poz. 572), zwanej dalej K.p.a.,</w:t>
      </w:r>
    </w:p>
    <w:p w14:paraId="5FB7A7DB" w14:textId="77777777" w:rsidR="00DA1544" w:rsidRPr="00DA1544" w:rsidRDefault="00DA1544" w:rsidP="00DA1544">
      <w:pPr>
        <w:spacing w:after="120" w:line="240" w:lineRule="auto"/>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po rozpatrzeniu</w:t>
      </w:r>
    </w:p>
    <w:p w14:paraId="23AF792B" w14:textId="77777777" w:rsidR="00DA1544" w:rsidRPr="00DA1544" w:rsidRDefault="00DA1544" w:rsidP="00DA1544">
      <w:pPr>
        <w:spacing w:after="12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 xml:space="preserve">wniosku </w:t>
      </w:r>
      <w:bookmarkStart w:id="2" w:name="_Hlk202939679"/>
      <w:r w:rsidRPr="00DA1544">
        <w:rPr>
          <w:rFonts w:ascii="Calibri" w:eastAsia="Times New Roman" w:hAnsi="Calibri" w:cs="Calibri"/>
          <w:kern w:val="2"/>
          <w:sz w:val="28"/>
          <w:szCs w:val="28"/>
          <w:lang w:eastAsia="pl-PL"/>
          <w14:ligatures w14:val="standardContextual"/>
        </w:rPr>
        <w:t>Pani Grażyny Kaczmarek prowadzącej działalność gospodarczą pod nazwą „Transal” Grażyna Kaczmarek, Dąbrowa, ul. Śremska 20, 63-100 Śrem</w:t>
      </w:r>
      <w:bookmarkEnd w:id="2"/>
      <w:r w:rsidRPr="00DA1544">
        <w:rPr>
          <w:rFonts w:ascii="Calibri" w:eastAsia="Calibri" w:hAnsi="Calibri" w:cs="Calibri"/>
          <w:sz w:val="28"/>
          <w:szCs w:val="28"/>
        </w:rPr>
        <w:t xml:space="preserve">, o wydanie decyzji o środowiskowych uwarunkowaniach dla planowanego przedsięwzięcia polegającego na </w:t>
      </w:r>
      <w:r w:rsidRPr="00DA1544">
        <w:rPr>
          <w:rFonts w:ascii="Calibri" w:eastAsia="Calibri" w:hAnsi="Calibri" w:cs="Calibri"/>
          <w:bCs/>
          <w:sz w:val="28"/>
          <w:szCs w:val="28"/>
        </w:rPr>
        <w:t>wydobywaniu kopaliny ze złoża kruszywa naturalnego „Mechlin” metodą odkrywkową na działce o numerze ewidencyjnym 324/13, obręb Mechlin</w:t>
      </w:r>
      <w:r w:rsidRPr="00DA1544">
        <w:rPr>
          <w:rFonts w:ascii="Calibri" w:eastAsia="Times New Roman" w:hAnsi="Calibri" w:cs="Calibri"/>
          <w:sz w:val="28"/>
          <w:szCs w:val="28"/>
          <w:lang w:eastAsia="pl-PL"/>
        </w:rPr>
        <w:t>,</w:t>
      </w:r>
    </w:p>
    <w:p w14:paraId="1DC81CB9" w14:textId="77777777" w:rsidR="00DA1544" w:rsidRPr="00DA1544" w:rsidRDefault="00DA1544" w:rsidP="00DA1544">
      <w:pPr>
        <w:spacing w:after="120" w:line="240" w:lineRule="auto"/>
        <w:jc w:val="center"/>
        <w:rPr>
          <w:rFonts w:ascii="Calibri" w:eastAsia="Times New Roman" w:hAnsi="Calibri" w:cs="Calibri"/>
          <w:bCs/>
          <w:sz w:val="28"/>
          <w:szCs w:val="28"/>
          <w:lang w:eastAsia="pl-PL"/>
        </w:rPr>
      </w:pPr>
      <w:r w:rsidRPr="00DA1544">
        <w:rPr>
          <w:rFonts w:ascii="Calibri" w:eastAsia="Times New Roman" w:hAnsi="Calibri" w:cs="Calibri"/>
          <w:bCs/>
          <w:sz w:val="28"/>
          <w:szCs w:val="28"/>
          <w:lang w:eastAsia="pl-PL"/>
        </w:rPr>
        <w:t>postanawiam</w:t>
      </w:r>
    </w:p>
    <w:p w14:paraId="21029E3B" w14:textId="77777777" w:rsidR="00DA1544" w:rsidRPr="00DA1544" w:rsidRDefault="00DA1544" w:rsidP="00DA1544">
      <w:pPr>
        <w:spacing w:after="120" w:line="240" w:lineRule="auto"/>
        <w:rPr>
          <w:rFonts w:ascii="Calibri" w:eastAsia="Times New Roman" w:hAnsi="Calibri" w:cs="Calibri"/>
          <w:sz w:val="28"/>
          <w:szCs w:val="28"/>
          <w:lang w:eastAsia="pl-PL"/>
        </w:rPr>
      </w:pPr>
      <w:r w:rsidRPr="00DA1544">
        <w:rPr>
          <w:rFonts w:ascii="Calibri" w:eastAsia="Times New Roman" w:hAnsi="Calibri" w:cs="Calibri"/>
          <w:b/>
          <w:sz w:val="28"/>
          <w:szCs w:val="28"/>
          <w:lang w:eastAsia="pl-PL"/>
        </w:rPr>
        <w:t>nałożyć na Panią Grażynę Kaczmarek prowadzącą działalność gospodarczą pod nazwą „Transal” Grażyna Kaczmarek, Dąbrowa, ul. Śremska 20, 63-100 Śrem, obowiązek przeprowadzenia oceny oddziaływania na środowisko</w:t>
      </w:r>
      <w:r w:rsidRPr="00DA1544">
        <w:rPr>
          <w:rFonts w:ascii="Calibri" w:eastAsia="Times New Roman" w:hAnsi="Calibri" w:cs="Calibri"/>
          <w:bCs/>
          <w:sz w:val="28"/>
          <w:szCs w:val="28"/>
          <w:lang w:eastAsia="pl-PL"/>
        </w:rPr>
        <w:t xml:space="preserve"> dla wyżej wymienionego planowanego przedsięwzięcia </w:t>
      </w:r>
      <w:r w:rsidRPr="00DA1544">
        <w:rPr>
          <w:rFonts w:ascii="Calibri" w:eastAsia="Times New Roman" w:hAnsi="Calibri" w:cs="Calibri"/>
          <w:b/>
          <w:sz w:val="28"/>
          <w:szCs w:val="28"/>
          <w:lang w:eastAsia="pl-PL"/>
        </w:rPr>
        <w:t>oraz ustalić zakres raportu</w:t>
      </w:r>
      <w:r w:rsidRPr="00DA1544">
        <w:rPr>
          <w:rFonts w:ascii="Calibri" w:eastAsia="Times New Roman" w:hAnsi="Calibri" w:cs="Calibri"/>
          <w:sz w:val="28"/>
          <w:szCs w:val="28"/>
          <w:lang w:eastAsia="pl-PL"/>
        </w:rPr>
        <w:t>, spełniającego wymogi art. 66 u.o.o.ś., w szczególności zawierającego analizę podanych niżej zagadnień:</w:t>
      </w:r>
    </w:p>
    <w:p w14:paraId="7C7CF9AC" w14:textId="77777777" w:rsidR="00DA1544" w:rsidRPr="00DA1544" w:rsidRDefault="00DA1544" w:rsidP="00DA1544">
      <w:pPr>
        <w:numPr>
          <w:ilvl w:val="0"/>
          <w:numId w:val="2"/>
        </w:numPr>
        <w:spacing w:after="120" w:line="240" w:lineRule="auto"/>
        <w:ind w:left="284"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Wskazanie wszystkich urządzeń i instalacji planowanych do montażu w ramach realizacji przedmiotowego przedsięwzięcia wraz z podaniem ich parametrów technicznych i technologicznych.</w:t>
      </w:r>
    </w:p>
    <w:p w14:paraId="61833D2F" w14:textId="77777777" w:rsidR="00DA1544" w:rsidRPr="00DA1544" w:rsidRDefault="00DA1544" w:rsidP="00DA1544">
      <w:pPr>
        <w:numPr>
          <w:ilvl w:val="0"/>
          <w:numId w:val="2"/>
        </w:numPr>
        <w:spacing w:after="120" w:line="240" w:lineRule="auto"/>
        <w:ind w:left="284"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Przedstawienie załącznika graficznego prezentującego zagospodarowanie terenu, w tym wskazanie tras, po których poruszać się będą pojazdy związane z transportem i wydobyciem kruszywa, określenie natężenia ruchu pojazdów ciężkich i lekkich na etapie eksploatacji przedsięwzięcia oraz przeanalizowanie oddziaływania pośredniego związanego z dojazdem pojazdów obsługujących przedsięwzięcie po drogach publicznych prowadzących do terenu przedsięwzięcia.</w:t>
      </w:r>
    </w:p>
    <w:p w14:paraId="02CF1E1A" w14:textId="77777777" w:rsidR="00DA1544" w:rsidRPr="00DA1544" w:rsidRDefault="00DA1544" w:rsidP="00DA1544">
      <w:pPr>
        <w:numPr>
          <w:ilvl w:val="0"/>
          <w:numId w:val="2"/>
        </w:numPr>
        <w:spacing w:after="120" w:line="240" w:lineRule="auto"/>
        <w:ind w:left="284"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lastRenderedPageBreak/>
        <w:t xml:space="preserve">Dokonanie oceny oddziaływania przedsięwzięcia na środowisko o charakterze skumulowanym z innymi realizowanymi, zrealizowanymi lub planowanymi przedsięwzięciami, w szczególności odkrywkowymi kopalniami kruszywa naturalnego. </w:t>
      </w:r>
    </w:p>
    <w:p w14:paraId="5EC27FBE" w14:textId="77777777" w:rsidR="00DA1544" w:rsidRPr="00DA1544" w:rsidRDefault="00DA1544" w:rsidP="00DA1544">
      <w:pPr>
        <w:numPr>
          <w:ilvl w:val="0"/>
          <w:numId w:val="2"/>
        </w:numPr>
        <w:spacing w:after="120" w:line="240" w:lineRule="auto"/>
        <w:ind w:left="284"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Z zakresu ochrony przed hałasem:</w:t>
      </w:r>
    </w:p>
    <w:p w14:paraId="66AB93FC"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dołączenie informacji właściwego organu o faktycznym zagospodarowaniu terenów wokół planowanego przedsięwzięcia, ze wskazaniem rodzajów terenów, o których mowa w art. 113 ust. 2 pkt 1 ustawy z dnia 27 kwietnia 2001 r. - Prawo ochrony środowiska (Dz. U. z 2025 r. poz. 647 i z 2024 r. poz. 1940) i rozporządzeniu Ministra Środowiska z dnia 14 czerwca 2007 r. w sprawie dopuszczalnych poziomów hałasu w środowisku (Dz. U. z 2014 r. poz. 112); w szczególności należy określić odległości najbliższych terenów, o których mowa w przywołanych aktach prawnych od granic przedsięwzięcia;</w:t>
      </w:r>
    </w:p>
    <w:p w14:paraId="5F5913F8"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przedstawienie szczegółowego opisu eksploatacji przedsięwzięcia w zakresie emisji hałasu do środowiska;</w:t>
      </w:r>
    </w:p>
    <w:p w14:paraId="776000BC"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zinwentaryzowanie wszystkich planowanych w związku z realizacją przedmiotowego przedsięwzięcia źródeł hałasu wraz z podaniem poziomu ich mocy akustycznej. Określenie maksymalnego czasu pracy wszystkich źródeł hałasu w ciągu ośmiu najmniej korzystnych godzin pory dnia;</w:t>
      </w:r>
    </w:p>
    <w:p w14:paraId="39091EDD"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określenie liczby pojazdów ciężkich i lekkich poruszających się po przedmiotowym terenie w ciągu ośmiu najmniej korzystnych godzin pory dnia. Przedstawienie toku wykonanych obliczeń dla hałasu pochodzącego ze źródeł ruchomych (osobno dla pojazdów ciężarowych i pojazdów osobowych);</w:t>
      </w:r>
    </w:p>
    <w:p w14:paraId="2DF1D3C9"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przeanalizowanie oddziaływania pośredniego związanego z dojazdem pojazdów obsługujących przedsięwzięcie po drogach publicznych prowadzących do terenu przedsięwzięcia;</w:t>
      </w:r>
    </w:p>
    <w:p w14:paraId="31569525"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dołączenie DTR lub danych producenta maszyn i urządzeń (zawierających w szczególności poziom mocy akustycznej tych maszyn i urządzeń) celem weryfikacji wartości przyjętych do obliczeń w programie modelującym rozprzestrzenianie się hałasu w środowisku;</w:t>
      </w:r>
    </w:p>
    <w:p w14:paraId="61A47F16"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przedstawienie analizy akustycznej symulującej najbardziej niekorzystną sytuację to znaczy umiejscowienie źródeł hałasu najbliżej terenów chronionych akustycznie;</w:t>
      </w:r>
    </w:p>
    <w:p w14:paraId="7EAC563D"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lastRenderedPageBreak/>
        <w:t>dołączenie wydruków komputerowych zawierających pełne dane wejściowe do programu modelującego rozprzestrzenianie się hałasu w środowisku. Przeprowadzona symulacja powinna zostać wykonana zgodnie z obowiązującymi przepisami prawa krajowego i unijnego przy zastosowaniu rekomendowanego programu do obliczeń rozprzestrzeniania hałasu w środowisku;</w:t>
      </w:r>
    </w:p>
    <w:p w14:paraId="34756DE7"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umiejscowienie punktów kontrolnych na granicy terenów chronionych akustycznie w miejscu najmniej korzystnym w odniesieniu do rozprzestrzeniania się hałasu w środowisku;</w:t>
      </w:r>
    </w:p>
    <w:p w14:paraId="1806079E"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w przypadku wystąpienia przekroczeń akustycznych standardów jakości środowiska określenie środków organizacyjnych, technicznych lub technologicznych ograniczających emisję hałasu poniżej poziomów dopuszczalnych (na przykład w przypadku barier, obudów ograniczających emisję hałasu, należy podać informacje na temat: długości i wysokości oraz konstrukcji wykonania, rodzaju materiału z jakiego zostanie wykonana, a także skuteczność obniżania hałasu). Należy przeprowadzić ocenę oddziaływania przed i po zastosowaniu ewentualnych działań w celu oceny ich skuteczności;</w:t>
      </w:r>
    </w:p>
    <w:p w14:paraId="3A5F03ED" w14:textId="77777777" w:rsidR="00DA1544" w:rsidRPr="00DA1544" w:rsidRDefault="00DA1544" w:rsidP="00DA1544">
      <w:pPr>
        <w:numPr>
          <w:ilvl w:val="0"/>
          <w:numId w:val="15"/>
        </w:numPr>
        <w:spacing w:after="120" w:line="240" w:lineRule="auto"/>
        <w:ind w:left="568"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przedstawienie założeń do ewentualnego monitoringu oddziaływania przedsięwzięcia, w tym lokalizację przekroju pomiarowego, warunki wykonania pomiarów, terminy oraz krotność wykonywania pomiarów.</w:t>
      </w:r>
    </w:p>
    <w:p w14:paraId="6A267888" w14:textId="77777777" w:rsidR="00DA1544" w:rsidRPr="00DA1544" w:rsidRDefault="00DA1544" w:rsidP="00DA1544">
      <w:pPr>
        <w:numPr>
          <w:ilvl w:val="0"/>
          <w:numId w:val="2"/>
        </w:numPr>
        <w:spacing w:after="120" w:line="240" w:lineRule="auto"/>
        <w:ind w:left="284"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Z zakresu geologii, hydrogeologii, ochrony wód powierzchniowych, środowiska gruntowo-wodnego oraz gospodarki wodno-ściekowej:</w:t>
      </w:r>
    </w:p>
    <w:p w14:paraId="60EAE6A6" w14:textId="77777777" w:rsidR="00DA1544" w:rsidRPr="00DA1544" w:rsidRDefault="00DA1544" w:rsidP="00DA1544">
      <w:pPr>
        <w:numPr>
          <w:ilvl w:val="0"/>
          <w:numId w:val="16"/>
        </w:numPr>
        <w:spacing w:after="120" w:line="240" w:lineRule="auto"/>
        <w:ind w:left="567" w:hanging="283"/>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opisanie budowy geologicznej rozpoznanego złoża kruszywa naturalnego, zwanego dalej złożem, wraz z podaniem informacji o parametrach złoża,</w:t>
      </w:r>
    </w:p>
    <w:p w14:paraId="2E9F6811" w14:textId="77777777" w:rsidR="00DA1544" w:rsidRPr="00DA1544" w:rsidRDefault="00DA1544" w:rsidP="00DA1544">
      <w:pPr>
        <w:numPr>
          <w:ilvl w:val="0"/>
          <w:numId w:val="16"/>
        </w:numPr>
        <w:spacing w:after="120" w:line="240" w:lineRule="auto"/>
        <w:ind w:left="567" w:hanging="283"/>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opisanie budowy geologicznej i hydrogeologicznej, w której znajduje się planowane do eksploatacji złoże, poziomy i piętra wodonośne, w tym użytkowe i główne użytkowe poziomy wodonośne, główne zbiorniki wód podziemnych oraz najbliżej położone ujęcia wód podziemnych wraz z informacją o ich strefach ochronnych;</w:t>
      </w:r>
    </w:p>
    <w:p w14:paraId="34680E05" w14:textId="77777777" w:rsidR="00DA1544" w:rsidRPr="00DA1544" w:rsidRDefault="00DA1544" w:rsidP="00DA1544">
      <w:pPr>
        <w:numPr>
          <w:ilvl w:val="0"/>
          <w:numId w:val="16"/>
        </w:numPr>
        <w:spacing w:after="120" w:line="240" w:lineRule="auto"/>
        <w:ind w:left="567" w:hanging="283"/>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opisanie sposobu prowadzenia eksploatacji złoża z uwzględnieniem informacji o kierunku eksploatacji i poziomach wydobycia;</w:t>
      </w:r>
    </w:p>
    <w:p w14:paraId="16EEB85A" w14:textId="77777777" w:rsidR="00DA1544" w:rsidRPr="00DA1544" w:rsidRDefault="00DA1544" w:rsidP="00DA1544">
      <w:pPr>
        <w:numPr>
          <w:ilvl w:val="0"/>
          <w:numId w:val="16"/>
        </w:numPr>
        <w:spacing w:after="120" w:line="240" w:lineRule="auto"/>
        <w:ind w:left="567" w:hanging="283"/>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opisanie oddziaływania planowanego przedsięwzięcia na położenie zwierciadła wód gruntowych oraz wody powierzchniowe na etapie eksploatacji kopaliny oraz po rekultywacji złoża;</w:t>
      </w:r>
    </w:p>
    <w:p w14:paraId="5F2302B3" w14:textId="77777777" w:rsidR="00DA1544" w:rsidRPr="00DA1544" w:rsidRDefault="00DA1544" w:rsidP="00DA1544">
      <w:pPr>
        <w:numPr>
          <w:ilvl w:val="0"/>
          <w:numId w:val="16"/>
        </w:numPr>
        <w:spacing w:after="120" w:line="240" w:lineRule="auto"/>
        <w:ind w:left="567" w:hanging="283"/>
        <w:rPr>
          <w:rFonts w:ascii="Calibri" w:eastAsia="Times New Roman" w:hAnsi="Calibri" w:cs="Calibri"/>
          <w:sz w:val="28"/>
          <w:szCs w:val="28"/>
          <w:lang w:eastAsia="pl-PL"/>
        </w:rPr>
      </w:pPr>
      <w:r w:rsidRPr="00DA1544">
        <w:rPr>
          <w:rFonts w:ascii="Calibri" w:eastAsia="Times New Roman" w:hAnsi="Calibri" w:cs="Calibri"/>
          <w:sz w:val="28"/>
          <w:szCs w:val="28"/>
          <w:lang w:eastAsia="pl-PL"/>
        </w:rPr>
        <w:lastRenderedPageBreak/>
        <w:t>zamieszczenie informacji o wszystkich urządzeniach, maszynach wykorzystywanych do wydobycia kopaliny ze złoża, miejscu ich postoju w czasie wolnym od pracy oraz sposób uzupełniania paliw i smarów, opisanie planowanego zagospodarowania przedmiotowego terenu obejmującego zabudowę, lokalizację dróg dojazdowych, placów manewrowych, parkingów i tym podobne;</w:t>
      </w:r>
    </w:p>
    <w:p w14:paraId="5D2B7B18" w14:textId="77777777" w:rsidR="00DA1544" w:rsidRPr="00DA1544" w:rsidRDefault="00DA1544" w:rsidP="00DA1544">
      <w:pPr>
        <w:numPr>
          <w:ilvl w:val="0"/>
          <w:numId w:val="16"/>
        </w:numPr>
        <w:spacing w:after="120" w:line="240" w:lineRule="auto"/>
        <w:ind w:left="567" w:hanging="283"/>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przedstawienie sposobu zabezpieczenia środowiska hydrogeologicznego przed przenikaniem zanieczyszczeń z eksploatowanych urządzeń i maszyn mając na uwadze skrócony czas migracji do warstw wodonośnych (brak nadkładu).</w:t>
      </w:r>
    </w:p>
    <w:p w14:paraId="681E4166" w14:textId="77777777" w:rsidR="00DA1544" w:rsidRPr="00DA1544" w:rsidRDefault="00DA1544" w:rsidP="00DA1544">
      <w:pPr>
        <w:numPr>
          <w:ilvl w:val="0"/>
          <w:numId w:val="2"/>
        </w:numPr>
        <w:spacing w:after="120" w:line="240" w:lineRule="auto"/>
        <w:ind w:left="284" w:hanging="284"/>
        <w:contextualSpacing/>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Analizę wystąpienia możliwych konfliktów społecznych.</w:t>
      </w:r>
    </w:p>
    <w:p w14:paraId="6BBFE5A8" w14:textId="77777777" w:rsidR="00DA1544" w:rsidRPr="00DA1544" w:rsidRDefault="00DA1544" w:rsidP="00DA1544">
      <w:pPr>
        <w:numPr>
          <w:ilvl w:val="0"/>
          <w:numId w:val="2"/>
        </w:numPr>
        <w:spacing w:after="120" w:line="240" w:lineRule="auto"/>
        <w:ind w:left="284" w:hanging="284"/>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Z zakresu ochrony klimatu – wyjaśnienie, w jaki sposób przedsięwzięcie może wpłynąć na zmiany klimatu i czy przewidziano rozwiązania łagodzące te zmiany, a także dokonanie oceny odporności przedsięwzięcia na przewidywane zmiany klimatu, to jest wyjaśnienie czy przedsięwzięcie będzie przystosowane do postępujących zmian klimatu uwzględniając elementy związane z klęskami żywiołowymi na przykład silne wiatry, susza, pożary, fale upałów i mrozów, powodzie, nawalne deszcze i burze, intensywne opady śniegu; opisać ewentualne działania minimalizujące.</w:t>
      </w:r>
    </w:p>
    <w:p w14:paraId="3BDA44AF" w14:textId="77777777" w:rsidR="00DA1544" w:rsidRPr="00DA1544" w:rsidRDefault="00DA1544" w:rsidP="00DA1544">
      <w:pPr>
        <w:spacing w:after="120" w:line="240" w:lineRule="auto"/>
        <w:jc w:val="center"/>
        <w:rPr>
          <w:rFonts w:ascii="Calibri" w:eastAsia="Times New Roman" w:hAnsi="Calibri" w:cs="Calibri"/>
          <w:bCs/>
          <w:sz w:val="28"/>
          <w:szCs w:val="28"/>
          <w:lang w:eastAsia="pl-PL"/>
        </w:rPr>
      </w:pPr>
      <w:r w:rsidRPr="00DA1544">
        <w:rPr>
          <w:rFonts w:ascii="Calibri" w:eastAsia="Times New Roman" w:hAnsi="Calibri" w:cs="Calibri"/>
          <w:bCs/>
          <w:sz w:val="28"/>
          <w:szCs w:val="28"/>
          <w:lang w:eastAsia="pl-PL"/>
        </w:rPr>
        <w:t>Uzasadnienie</w:t>
      </w:r>
    </w:p>
    <w:p w14:paraId="3F89C1B8" w14:textId="77777777" w:rsidR="00DA1544" w:rsidRPr="00DA1544" w:rsidRDefault="00DA1544" w:rsidP="00DA1544">
      <w:pPr>
        <w:spacing w:after="12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ab/>
      </w:r>
      <w:r w:rsidRPr="00DA1544">
        <w:rPr>
          <w:rFonts w:ascii="Calibri" w:eastAsia="Calibri" w:hAnsi="Calibri" w:cs="Calibri"/>
          <w:sz w:val="28"/>
          <w:szCs w:val="28"/>
        </w:rPr>
        <w:t xml:space="preserve">20.05.2025 r. do Burmistrza Śremu wpłynął wniosek </w:t>
      </w:r>
      <w:r w:rsidRPr="00DA1544">
        <w:rPr>
          <w:rFonts w:ascii="Calibri" w:eastAsia="Times New Roman" w:hAnsi="Calibri" w:cs="Calibri"/>
          <w:kern w:val="2"/>
          <w:sz w:val="28"/>
          <w:szCs w:val="28"/>
          <w:lang w:eastAsia="pl-PL"/>
          <w14:ligatures w14:val="standardContextual"/>
        </w:rPr>
        <w:t>Pani Grażyny Kaczmarek prowadzącej działalność gospodarczą pod nazwą „Transal” Grażyna Kaczmarek, Dąbrowa, ul. Śremska 20, 63-100 Śrem</w:t>
      </w:r>
      <w:r w:rsidRPr="00DA1544">
        <w:rPr>
          <w:rFonts w:ascii="Calibri" w:eastAsia="Calibri" w:hAnsi="Calibri" w:cs="Calibri"/>
          <w:sz w:val="28"/>
          <w:szCs w:val="28"/>
        </w:rPr>
        <w:t xml:space="preserve">, uzupełniony 29.05.2025 r., </w:t>
      </w:r>
      <w:r w:rsidRPr="00DA1544">
        <w:rPr>
          <w:rFonts w:ascii="Calibri" w:eastAsia="Calibri" w:hAnsi="Calibri" w:cs="Calibri"/>
          <w:bCs/>
          <w:sz w:val="28"/>
          <w:szCs w:val="28"/>
        </w:rPr>
        <w:t>o wydanie decyzji o środowiskowych uwarunkowaniach dla planowanego przedsięwzięcia polegającego na wydobywaniu kopaliny ze złoża kruszywa naturalnego „Mechlin” metodą odkrywkową na działce o numerze ewidencyjnym 324/13, obręb Mechlin</w:t>
      </w:r>
      <w:r w:rsidRPr="00DA1544">
        <w:rPr>
          <w:rFonts w:ascii="Calibri" w:eastAsia="Calibri" w:hAnsi="Calibri" w:cs="Calibri"/>
          <w:sz w:val="28"/>
          <w:szCs w:val="28"/>
        </w:rPr>
        <w:t>. Do wniosku załączona została karta informacyjna przedsięwzięcia, zwana dalej k.i.p. wraz z wymaganymi załącznikami</w:t>
      </w:r>
      <w:r w:rsidRPr="00DA1544">
        <w:rPr>
          <w:rFonts w:ascii="Calibri" w:eastAsia="Times New Roman" w:hAnsi="Calibri" w:cs="Calibri"/>
          <w:sz w:val="28"/>
          <w:szCs w:val="28"/>
          <w:lang w:eastAsia="pl-PL"/>
        </w:rPr>
        <w:t>.</w:t>
      </w:r>
    </w:p>
    <w:p w14:paraId="22D98903" w14:textId="77777777" w:rsidR="00DA1544" w:rsidRPr="00DA1544" w:rsidRDefault="00DA1544" w:rsidP="00DA1544">
      <w:pPr>
        <w:spacing w:after="120" w:line="240" w:lineRule="auto"/>
        <w:ind w:firstLine="708"/>
        <w:rPr>
          <w:rFonts w:ascii="Calibri" w:eastAsia="Calibri" w:hAnsi="Calibri" w:cs="Calibri"/>
          <w:sz w:val="28"/>
          <w:szCs w:val="28"/>
        </w:rPr>
      </w:pPr>
      <w:bookmarkStart w:id="3" w:name="_Hlk159576931"/>
      <w:r w:rsidRPr="00DA1544">
        <w:rPr>
          <w:rFonts w:ascii="Calibri" w:eastAsia="Calibri" w:hAnsi="Calibri" w:cs="Calibri"/>
          <w:sz w:val="28"/>
          <w:szCs w:val="28"/>
        </w:rPr>
        <w:t xml:space="preserve">Planowane przedsięwzięcie będzie polegać na wydobywaniu kopaliny ze złoża kruszywa naturalnego „Mechlin” metodą odkrywkową, bez użycia materiałów wybuchowych. Całkowita powierzchnia udokumentowanego złoża wynosi 1,9873 ha. </w:t>
      </w:r>
    </w:p>
    <w:p w14:paraId="0E69F16A" w14:textId="77777777" w:rsidR="00DA1544" w:rsidRPr="00DA1544" w:rsidRDefault="00DA1544" w:rsidP="00DA1544">
      <w:pPr>
        <w:spacing w:after="0" w:line="240" w:lineRule="auto"/>
        <w:jc w:val="both"/>
        <w:rPr>
          <w:rFonts w:ascii="Calibri" w:eastAsia="Calibri" w:hAnsi="Calibri" w:cs="Calibri"/>
          <w:sz w:val="28"/>
          <w:szCs w:val="28"/>
        </w:rPr>
      </w:pPr>
      <w:r w:rsidRPr="00DA1544">
        <w:rPr>
          <w:rFonts w:ascii="Calibri" w:eastAsia="Calibri" w:hAnsi="Calibri" w:cs="Calibri"/>
          <w:sz w:val="28"/>
          <w:szCs w:val="28"/>
        </w:rPr>
        <w:br w:type="page"/>
      </w:r>
    </w:p>
    <w:p w14:paraId="115F2143" w14:textId="77777777" w:rsidR="00DA1544" w:rsidRPr="00DA1544" w:rsidRDefault="00DA1544" w:rsidP="00DA1544">
      <w:pPr>
        <w:spacing w:after="120" w:line="240" w:lineRule="auto"/>
        <w:ind w:firstLine="708"/>
        <w:rPr>
          <w:rFonts w:ascii="Calibri" w:eastAsia="Calibri" w:hAnsi="Calibri" w:cs="Calibri"/>
          <w:sz w:val="28"/>
          <w:szCs w:val="28"/>
        </w:rPr>
      </w:pPr>
      <w:r w:rsidRPr="00DA1544">
        <w:rPr>
          <w:rFonts w:ascii="Calibri" w:eastAsia="Calibri" w:hAnsi="Calibri" w:cs="Calibri"/>
          <w:sz w:val="28"/>
          <w:szCs w:val="28"/>
        </w:rPr>
        <w:lastRenderedPageBreak/>
        <w:t xml:space="preserve">Teren przedsięwzięcia znajduje się poza obszarami szczególnego zagrożenia powodzią i objętymi formami ochrony przyrody, o których mowa w art. 6 ust. 1 pkt 1 - 5, 8 i 9 ustawy z dnia 16 kwietnia 2004 r. o ochronie przyrody (Dz. U. z 2024 r. poz. 1478, 1940 i z 2025 r. poz. 884) oraz nie będzie znajdować się w otulinach form ochrony przyrody, o których mowa w art. 6 ust. 1 pkt 1 - 3 tej ustawy. W odległości ponad 100 m od przedsięwzięcia znajdują się tereny gruntów leśnych. </w:t>
      </w:r>
      <w:r w:rsidRPr="00DA1544">
        <w:rPr>
          <w:rFonts w:ascii="Calibri" w:eastAsia="Times New Roman" w:hAnsi="Calibri" w:cs="Calibri"/>
          <w:sz w:val="28"/>
          <w:szCs w:val="28"/>
          <w:lang w:eastAsia="pl-PL"/>
        </w:rPr>
        <w:t>W bezpośrednim sąsiedztwie projektowanego obszaru górniczego znajdują tereny zabudowy mieszkaniowej i inne obszary górnicze ustanowione dla wydobywania kopalin metodą odkrywkową</w:t>
      </w:r>
      <w:r w:rsidRPr="00DA1544">
        <w:rPr>
          <w:rFonts w:ascii="Calibri" w:eastAsia="Calibri" w:hAnsi="Calibri" w:cs="Calibri"/>
          <w:sz w:val="28"/>
          <w:szCs w:val="28"/>
        </w:rPr>
        <w:t xml:space="preserve">. </w:t>
      </w:r>
    </w:p>
    <w:p w14:paraId="098BD232" w14:textId="77777777" w:rsidR="00DA1544" w:rsidRPr="00DA1544" w:rsidRDefault="00DA1544" w:rsidP="00DA1544">
      <w:pPr>
        <w:spacing w:after="120" w:line="240" w:lineRule="auto"/>
        <w:ind w:firstLine="708"/>
        <w:rPr>
          <w:rFonts w:ascii="Calibri" w:eastAsia="Calibri" w:hAnsi="Calibri" w:cs="Calibri"/>
          <w:sz w:val="28"/>
          <w:szCs w:val="28"/>
        </w:rPr>
      </w:pPr>
      <w:r w:rsidRPr="00DA1544">
        <w:rPr>
          <w:rFonts w:ascii="Calibri" w:eastAsia="Times New Roman" w:hAnsi="Calibri" w:cs="Calibri"/>
          <w:b/>
          <w:bCs/>
          <w:sz w:val="28"/>
          <w:szCs w:val="28"/>
          <w:lang w:eastAsia="pl-PL"/>
        </w:rPr>
        <w:t>Przedmiotowe przedsięwzięcie zakwalifikowano do</w:t>
      </w:r>
      <w:r w:rsidRPr="00DA1544">
        <w:rPr>
          <w:rFonts w:ascii="Calibri" w:eastAsia="Times New Roman" w:hAnsi="Calibri" w:cs="Calibri"/>
          <w:sz w:val="28"/>
          <w:szCs w:val="28"/>
          <w:lang w:eastAsia="pl-PL"/>
        </w:rPr>
        <w:t xml:space="preserve"> </w:t>
      </w:r>
      <w:r w:rsidRPr="00DA1544">
        <w:rPr>
          <w:rFonts w:ascii="Calibri" w:eastAsia="Times New Roman" w:hAnsi="Calibri" w:cs="Calibri"/>
          <w:b/>
          <w:bCs/>
          <w:sz w:val="28"/>
          <w:szCs w:val="28"/>
          <w:lang w:eastAsia="pl-PL"/>
        </w:rPr>
        <w:t>przedsięwzięć mogących potencjalnie znacząco oddziaływać na środowisko</w:t>
      </w:r>
      <w:r w:rsidRPr="00DA1544">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DA1544">
        <w:rPr>
          <w:rFonts w:ascii="Calibri" w:eastAsia="Times New Roman" w:hAnsi="Calibri" w:cs="Calibri"/>
          <w:b/>
          <w:bCs/>
          <w:sz w:val="28"/>
          <w:szCs w:val="28"/>
          <w:lang w:eastAsia="pl-PL"/>
        </w:rPr>
        <w:t>§ 3 ust. 1 pkt 40 lit. a tiret trzecie i siódme</w:t>
      </w:r>
      <w:r w:rsidRPr="00DA1544">
        <w:rPr>
          <w:rFonts w:ascii="Calibri" w:eastAsia="Times New Roman" w:hAnsi="Calibri" w:cs="Calibri"/>
          <w:sz w:val="28"/>
          <w:szCs w:val="28"/>
          <w:lang w:eastAsia="pl-PL"/>
        </w:rPr>
        <w:t>: „</w:t>
      </w:r>
      <w:r w:rsidRPr="00DA1544">
        <w:rPr>
          <w:rFonts w:ascii="Calibri" w:eastAsia="Calibri" w:hAnsi="Calibri" w:cs="Calibri"/>
          <w:sz w:val="28"/>
          <w:szCs w:val="28"/>
        </w:rPr>
        <w:t>wydobywanie kopalin ze złoża metodą odkrywkową inne niż wymienione w § 2 ust. 1 pkt 27 lit. a</w:t>
      </w:r>
      <w:r w:rsidRPr="00DA1544">
        <w:rPr>
          <w:rFonts w:ascii="Calibri" w:eastAsia="Calibri" w:hAnsi="Calibri" w:cs="Calibri"/>
          <w:sz w:val="28"/>
          <w:szCs w:val="28"/>
          <w:vertAlign w:val="superscript"/>
        </w:rPr>
        <w:footnoteReference w:id="1"/>
      </w:r>
      <w:r w:rsidRPr="00DA1544">
        <w:rPr>
          <w:rFonts w:ascii="Calibri" w:eastAsia="Calibri" w:hAnsi="Calibri" w:cs="Calibri"/>
          <w:sz w:val="28"/>
          <w:szCs w:val="28"/>
        </w:rPr>
        <w:t xml:space="preserve"> bez względu na powierzchnię obszaru górniczego: w odległości nie większej niż 250 m od terenów, o których mowa w art. 113 ust. 2 pkt 1 ustawy z dnia 27 kwietnia 2001 r. - Prawo ochrony środowiska; jeżeli w odległości nie większej niż 0,5 km od miejsca planowanego wydobywania kopalin metodą odkrywkową znajduje się inny obszar górniczy ustanowiony dla wydobywania kopalin metodą odkrywkową.”.</w:t>
      </w:r>
    </w:p>
    <w:p w14:paraId="540B8D3F"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 xml:space="preserve">Zgodnie z art. 64 ust. 1 </w:t>
      </w:r>
      <w:bookmarkStart w:id="4" w:name="_Hlk175813279"/>
      <w:r w:rsidRPr="00DA1544">
        <w:rPr>
          <w:rFonts w:ascii="Calibri" w:eastAsia="Times New Roman" w:hAnsi="Calibri" w:cs="Calibri"/>
          <w:sz w:val="28"/>
          <w:szCs w:val="28"/>
          <w:lang w:eastAsia="pl-PL"/>
        </w:rPr>
        <w:t xml:space="preserve">pkt 1 i 4 </w:t>
      </w:r>
      <w:bookmarkEnd w:id="4"/>
      <w:r w:rsidRPr="00DA1544">
        <w:rPr>
          <w:rFonts w:ascii="Calibri" w:eastAsia="Times New Roman" w:hAnsi="Calibri" w:cs="Calibri"/>
          <w:sz w:val="28"/>
          <w:szCs w:val="28"/>
          <w:lang w:eastAsia="pl-PL"/>
        </w:rPr>
        <w:t>u.o.o.ś. Burmistrz Śremu, pismem z 04.06.2025 r., wystąpił do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w:t>
      </w:r>
      <w:bookmarkEnd w:id="3"/>
      <w:r w:rsidRPr="00DA1544">
        <w:rPr>
          <w:rFonts w:ascii="Calibri" w:eastAsia="Times New Roman" w:hAnsi="Calibri" w:cs="Calibri"/>
          <w:sz w:val="28"/>
          <w:szCs w:val="28"/>
          <w:lang w:eastAsia="pl-PL"/>
        </w:rPr>
        <w:t xml:space="preserve">. </w:t>
      </w:r>
    </w:p>
    <w:p w14:paraId="5A3695DB" w14:textId="77777777" w:rsidR="00DA1544" w:rsidRPr="00DA1544" w:rsidRDefault="00DA1544" w:rsidP="00DA1544">
      <w:pPr>
        <w:spacing w:after="0" w:line="240" w:lineRule="auto"/>
        <w:jc w:val="both"/>
        <w:rPr>
          <w:rFonts w:ascii="Calibri" w:eastAsia="Times New Roman" w:hAnsi="Calibri" w:cs="Calibri"/>
          <w:b/>
          <w:bCs/>
          <w:sz w:val="28"/>
          <w:szCs w:val="28"/>
          <w:lang w:eastAsia="pl-PL"/>
        </w:rPr>
      </w:pPr>
      <w:r w:rsidRPr="00DA1544">
        <w:rPr>
          <w:rFonts w:ascii="Calibri" w:eastAsia="Times New Roman" w:hAnsi="Calibri" w:cs="Calibri"/>
          <w:b/>
          <w:bCs/>
          <w:sz w:val="28"/>
          <w:szCs w:val="28"/>
          <w:lang w:eastAsia="pl-PL"/>
        </w:rPr>
        <w:br w:type="page"/>
      </w:r>
    </w:p>
    <w:p w14:paraId="7B1FE8F1" w14:textId="77777777" w:rsidR="00DA1544" w:rsidRPr="00DA1544" w:rsidRDefault="00DA1544" w:rsidP="00DA1544">
      <w:pPr>
        <w:spacing w:after="0" w:line="240" w:lineRule="auto"/>
        <w:ind w:firstLine="708"/>
        <w:rPr>
          <w:rFonts w:ascii="Calibri" w:eastAsia="Times New Roman" w:hAnsi="Calibri" w:cs="Calibri"/>
          <w:sz w:val="28"/>
          <w:szCs w:val="28"/>
          <w:lang w:eastAsia="pl-PL"/>
        </w:rPr>
      </w:pPr>
      <w:r w:rsidRPr="00DA1544">
        <w:rPr>
          <w:rFonts w:ascii="Calibri" w:eastAsia="Times New Roman" w:hAnsi="Calibri" w:cs="Calibri"/>
          <w:b/>
          <w:bCs/>
          <w:sz w:val="28"/>
          <w:szCs w:val="28"/>
          <w:lang w:eastAsia="pl-PL"/>
        </w:rPr>
        <w:lastRenderedPageBreak/>
        <w:t>Dyrektor Zarządu Zlewni w Poznaniu</w:t>
      </w:r>
      <w:r w:rsidRPr="00DA1544">
        <w:rPr>
          <w:rFonts w:ascii="Calibri" w:eastAsia="Times New Roman" w:hAnsi="Calibri" w:cs="Calibri"/>
          <w:sz w:val="28"/>
          <w:szCs w:val="28"/>
          <w:lang w:eastAsia="pl-PL"/>
        </w:rPr>
        <w:t xml:space="preserve"> </w:t>
      </w:r>
      <w:r w:rsidRPr="00DA1544">
        <w:rPr>
          <w:rFonts w:ascii="Calibri" w:eastAsia="Times New Roman" w:hAnsi="Calibri" w:cs="Calibri"/>
          <w:b/>
          <w:bCs/>
          <w:sz w:val="28"/>
          <w:szCs w:val="28"/>
          <w:lang w:eastAsia="pl-PL"/>
        </w:rPr>
        <w:t xml:space="preserve">Państwowego Gospodarstwa Wodnego Wody Polskie </w:t>
      </w:r>
      <w:r w:rsidRPr="00DA1544">
        <w:rPr>
          <w:rFonts w:ascii="Calibri" w:eastAsia="Times New Roman" w:hAnsi="Calibri" w:cs="Calibri"/>
          <w:sz w:val="28"/>
          <w:szCs w:val="28"/>
          <w:lang w:eastAsia="pl-PL"/>
        </w:rPr>
        <w:t xml:space="preserve">w piśmie z 16.06.2025 r. znak PO.ZZŚ.4901.254.2025.AR.1 </w:t>
      </w:r>
      <w:r w:rsidRPr="00DA1544">
        <w:rPr>
          <w:rFonts w:ascii="Calibri" w:eastAsia="Times New Roman" w:hAnsi="Calibri" w:cs="Calibri"/>
          <w:b/>
          <w:bCs/>
          <w:sz w:val="28"/>
          <w:szCs w:val="28"/>
          <w:lang w:eastAsia="pl-PL"/>
        </w:rPr>
        <w:t>nie stwierdził potrzeby przeprowadzenia oceny oddziaływania</w:t>
      </w:r>
      <w:r w:rsidRPr="00DA1544">
        <w:rPr>
          <w:rFonts w:ascii="Calibri" w:eastAsia="Times New Roman" w:hAnsi="Calibri" w:cs="Calibri"/>
          <w:sz w:val="28"/>
          <w:szCs w:val="28"/>
          <w:lang w:eastAsia="pl-PL"/>
        </w:rPr>
        <w:t xml:space="preserve"> planowanego przedsięwzięcia na środowisko i wskazał na konieczność określenia w decyzji o środowiskowych uwarunkowaniach następujących warunków i wymagań:</w:t>
      </w:r>
    </w:p>
    <w:p w14:paraId="12386575" w14:textId="77777777" w:rsidR="00DA1544" w:rsidRPr="00DA1544" w:rsidRDefault="00DA1544" w:rsidP="00DA1544">
      <w:pPr>
        <w:spacing w:after="0" w:line="240" w:lineRule="auto"/>
        <w:ind w:left="426" w:hanging="426"/>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„1)</w:t>
      </w:r>
      <w:r w:rsidRPr="00DA1544">
        <w:rPr>
          <w:rFonts w:ascii="Calibri" w:eastAsia="Times New Roman" w:hAnsi="Calibri" w:cs="Calibri"/>
          <w:sz w:val="28"/>
          <w:szCs w:val="28"/>
          <w:lang w:eastAsia="pl-PL"/>
        </w:rPr>
        <w:tab/>
        <w:t>naprawę maszyn pracujących w zakładzie górniczym należy prowadzić poza zakładem górniczym;</w:t>
      </w:r>
    </w:p>
    <w:p w14:paraId="1898EF61" w14:textId="77777777" w:rsidR="00DA1544" w:rsidRPr="00DA1544" w:rsidRDefault="00DA1544" w:rsidP="00DA1544">
      <w:pPr>
        <w:spacing w:after="0" w:line="240" w:lineRule="auto"/>
        <w:ind w:left="426" w:hanging="426"/>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2)</w:t>
      </w:r>
      <w:r w:rsidRPr="00DA1544">
        <w:rPr>
          <w:rFonts w:ascii="Calibri" w:eastAsia="Times New Roman" w:hAnsi="Calibri" w:cs="Calibri"/>
          <w:sz w:val="28"/>
          <w:szCs w:val="28"/>
          <w:lang w:eastAsia="pl-PL"/>
        </w:rPr>
        <w:tab/>
        <w:t>tankowanie maszyn pracujących w zakładzie górniczym należy zorganizować poza terenem złoża na powierzchni dodatkowo uszczelnionej, tak aby zabezpieczyć grunt przed ewentualnym zanieczyszczeniem substancjami niebezpiecznymi (ropopochodnymi);</w:t>
      </w:r>
    </w:p>
    <w:p w14:paraId="3E2426B8" w14:textId="77777777" w:rsidR="00DA1544" w:rsidRPr="00DA1544" w:rsidRDefault="00DA1544" w:rsidP="00DA1544">
      <w:pPr>
        <w:spacing w:after="0" w:line="240" w:lineRule="auto"/>
        <w:ind w:left="426" w:hanging="426"/>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3)</w:t>
      </w:r>
      <w:r w:rsidRPr="00DA1544">
        <w:rPr>
          <w:rFonts w:ascii="Calibri" w:eastAsia="Times New Roman" w:hAnsi="Calibri" w:cs="Calibri"/>
          <w:sz w:val="28"/>
          <w:szCs w:val="28"/>
          <w:lang w:eastAsia="pl-PL"/>
        </w:rPr>
        <w:tab/>
        <w:t xml:space="preserve"> na terenie zakładu górniczego należy zapewnić dostępność sorbentów, właściwych w zakresie ilości i rodzaju do potencjalnego zagrożenia mogącego wystąpić w następstwie sytuacji awaryjnych;</w:t>
      </w:r>
    </w:p>
    <w:p w14:paraId="0BEE2974" w14:textId="77777777" w:rsidR="00DA1544" w:rsidRPr="00DA1544" w:rsidRDefault="00DA1544" w:rsidP="00DA1544">
      <w:pPr>
        <w:spacing w:after="0" w:line="240" w:lineRule="auto"/>
        <w:ind w:left="426" w:hanging="426"/>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4)</w:t>
      </w:r>
      <w:r w:rsidRPr="00DA1544">
        <w:rPr>
          <w:rFonts w:ascii="Calibri" w:eastAsia="Times New Roman" w:hAnsi="Calibri" w:cs="Calibri"/>
          <w:sz w:val="28"/>
          <w:szCs w:val="28"/>
          <w:lang w:eastAsia="pl-PL"/>
        </w:rPr>
        <w:tab/>
        <w:t>w przypadku przedostania się zanieczyszczeń do gruntu lub wód należy bezzwłocznie podjąć działania zmierzające do usunięcia skutków i przyczyn awarii;</w:t>
      </w:r>
    </w:p>
    <w:p w14:paraId="4AB8FAFE" w14:textId="77777777" w:rsidR="00DA1544" w:rsidRPr="00DA1544" w:rsidRDefault="00DA1544" w:rsidP="00DA1544">
      <w:pPr>
        <w:spacing w:after="120" w:line="240" w:lineRule="auto"/>
        <w:ind w:left="425" w:hanging="425"/>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5)</w:t>
      </w:r>
      <w:r w:rsidRPr="00DA1544">
        <w:rPr>
          <w:rFonts w:ascii="Calibri" w:eastAsia="Times New Roman" w:hAnsi="Calibri" w:cs="Calibri"/>
          <w:sz w:val="28"/>
          <w:szCs w:val="28"/>
          <w:lang w:eastAsia="pl-PL"/>
        </w:rPr>
        <w:tab/>
        <w:t>nie odwadniać złoża.”.</w:t>
      </w:r>
    </w:p>
    <w:p w14:paraId="3581B06D" w14:textId="77777777" w:rsidR="00DA1544" w:rsidRPr="00DA1544" w:rsidRDefault="00DA1544" w:rsidP="00DA1544">
      <w:pPr>
        <w:spacing w:after="120" w:line="240" w:lineRule="auto"/>
        <w:ind w:firstLine="709"/>
        <w:rPr>
          <w:rFonts w:ascii="Calibri" w:eastAsia="Times New Roman" w:hAnsi="Calibri" w:cs="Calibri"/>
          <w:kern w:val="2"/>
          <w:sz w:val="28"/>
          <w:szCs w:val="28"/>
          <w:lang w:eastAsia="pl-PL"/>
          <w14:ligatures w14:val="standardContextual"/>
        </w:rPr>
      </w:pPr>
      <w:r w:rsidRPr="00DA1544">
        <w:rPr>
          <w:rFonts w:ascii="Calibri" w:eastAsia="Times New Roman" w:hAnsi="Calibri" w:cs="Calibri"/>
          <w:kern w:val="2"/>
          <w:sz w:val="28"/>
          <w:szCs w:val="28"/>
          <w:lang w:eastAsia="pl-PL"/>
          <w14:ligatures w14:val="standardContextual"/>
        </w:rPr>
        <w:t>W uzasadnieniu Organ opiniujący wskazał między innymi, że nie wystąpi negatywne oddziaływanie przedsięwzięcia na stan jednolitych części wód</w:t>
      </w:r>
      <w:r w:rsidRPr="00DA1544">
        <w:rPr>
          <w:rFonts w:ascii="Calibri" w:eastAsia="Times New Roman" w:hAnsi="Calibri" w:cs="Calibri"/>
          <w:kern w:val="2"/>
          <w:sz w:val="28"/>
          <w:szCs w:val="28"/>
          <w:vertAlign w:val="superscript"/>
          <w:lang w:eastAsia="pl-PL"/>
          <w14:ligatures w14:val="standardContextual"/>
        </w:rPr>
        <w:footnoteReference w:id="2"/>
      </w:r>
      <w:r w:rsidRPr="00DA1544">
        <w:rPr>
          <w:rFonts w:ascii="Calibri" w:eastAsia="Times New Roman" w:hAnsi="Calibri" w:cs="Calibri"/>
          <w:kern w:val="2"/>
          <w:sz w:val="28"/>
          <w:szCs w:val="28"/>
          <w:lang w:eastAsia="pl-PL"/>
          <w14:ligatures w14:val="standardContextual"/>
        </w:rPr>
        <w:t xml:space="preserve"> ani na realizację określonych dla nich celów środowiskowych w „Planie gospodarowania wodami w obszarze dorzecza Odry”</w:t>
      </w:r>
      <w:r w:rsidRPr="00DA1544">
        <w:rPr>
          <w:rFonts w:ascii="Calibri" w:eastAsia="Times New Roman" w:hAnsi="Calibri" w:cs="Calibri"/>
          <w:kern w:val="2"/>
          <w:sz w:val="28"/>
          <w:szCs w:val="28"/>
          <w:vertAlign w:val="superscript"/>
          <w:lang w:eastAsia="pl-PL"/>
          <w14:ligatures w14:val="standardContextual"/>
        </w:rPr>
        <w:footnoteReference w:id="3"/>
      </w:r>
      <w:r w:rsidRPr="00DA1544">
        <w:rPr>
          <w:rFonts w:ascii="Calibri" w:eastAsia="Times New Roman" w:hAnsi="Calibri" w:cs="Calibri"/>
          <w:kern w:val="2"/>
          <w:sz w:val="28"/>
          <w:szCs w:val="28"/>
          <w:lang w:eastAsia="pl-PL"/>
          <w14:ligatures w14:val="standardContextual"/>
        </w:rPr>
        <w:t>.</w:t>
      </w:r>
    </w:p>
    <w:p w14:paraId="4B5A0A62"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b/>
          <w:bCs/>
          <w:sz w:val="28"/>
          <w:szCs w:val="28"/>
          <w:lang w:eastAsia="pl-PL"/>
        </w:rPr>
        <w:t>Regionalny Dyrektor Ochrony Środowiska w Poznaniu</w:t>
      </w:r>
      <w:r w:rsidRPr="00DA1544">
        <w:rPr>
          <w:rFonts w:ascii="Calibri" w:eastAsia="Times New Roman" w:hAnsi="Calibri" w:cs="Calibri"/>
          <w:sz w:val="28"/>
          <w:szCs w:val="28"/>
          <w:lang w:eastAsia="pl-PL"/>
        </w:rPr>
        <w:t xml:space="preserve"> w postanowieniu z 04.07.2025 r. znak WOO-IV.4220.899.2025.KL.2 </w:t>
      </w:r>
      <w:r w:rsidRPr="00DA1544">
        <w:rPr>
          <w:rFonts w:ascii="Calibri" w:eastAsia="Times New Roman" w:hAnsi="Calibri" w:cs="Calibri"/>
          <w:b/>
          <w:bCs/>
          <w:sz w:val="28"/>
          <w:szCs w:val="28"/>
          <w:lang w:eastAsia="pl-PL"/>
        </w:rPr>
        <w:t>wyraził opinię, że dla planowanego przedsięwzięcia istnieje potrzeba przeprowadzenia oceny oddziaływania na środowisko</w:t>
      </w:r>
      <w:r w:rsidRPr="00DA1544">
        <w:rPr>
          <w:rFonts w:ascii="Calibri" w:eastAsia="Times New Roman" w:hAnsi="Calibri" w:cs="Calibri"/>
          <w:sz w:val="28"/>
          <w:szCs w:val="28"/>
          <w:lang w:eastAsia="pl-PL"/>
        </w:rPr>
        <w:t xml:space="preserve"> i ustalił zakres raportu o oddziaływaniu przedsięwzięcia na środowisko. W uzasadnieniu Organ opiniujący wskazał między innymi, że analiza akustyczna przedstawiona w k.i.p. budzi wątpliwości, w związku z czym Regionalny Dyrektor nie może stwierdzić, czy zostaną zachowane dopuszczalne poziomy hałasu na terenach podlegających ochronie akustycznej. </w:t>
      </w:r>
    </w:p>
    <w:p w14:paraId="584D21B3" w14:textId="77777777" w:rsidR="00DA1544" w:rsidRPr="00DA1544" w:rsidRDefault="00DA1544" w:rsidP="00DA1544">
      <w:pPr>
        <w:spacing w:after="12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lastRenderedPageBreak/>
        <w:t>Analiza akustyczna winna obejmować skumulowane oddziaływanie innych przedsięwzięć zlokalizowanych na terenie objętym wnioskiem i w najbliższej okolicy. Ponadto konieczne jest przedstawienie oceny oddziaływania planowanego przedsięwzięcia na położenie zwierciadła wód gruntowych na etapie eksploatacji kopaliny oraz po rekultywacji złoża, a także na środowisko gruntowo-wodne, uwzględniając zagrożenia środowiska jakie powoduje eksploatacja odkrywkowa.</w:t>
      </w:r>
    </w:p>
    <w:p w14:paraId="2212B08A" w14:textId="77777777" w:rsidR="00DA1544" w:rsidRPr="00DA1544" w:rsidRDefault="00DA1544" w:rsidP="00DA1544">
      <w:pPr>
        <w:spacing w:after="120" w:line="240" w:lineRule="auto"/>
        <w:ind w:firstLine="708"/>
        <w:rPr>
          <w:rFonts w:ascii="Calibri" w:eastAsia="Times New Roman" w:hAnsi="Calibri" w:cs="Calibri"/>
          <w:bCs/>
          <w:sz w:val="28"/>
          <w:szCs w:val="28"/>
          <w:lang w:eastAsia="pl-PL"/>
        </w:rPr>
      </w:pPr>
      <w:r w:rsidRPr="00DA1544">
        <w:rPr>
          <w:rFonts w:ascii="Calibri" w:eastAsia="Times New Roman" w:hAnsi="Calibri" w:cs="Calibri"/>
          <w:bCs/>
          <w:sz w:val="28"/>
          <w:szCs w:val="28"/>
          <w:lang w:eastAsia="pl-PL"/>
        </w:rPr>
        <w:t>Zgodnie z art. 63 ust. 1 i art. 65 u.o.o.ś. właściwy organ do wydania decyzji o środowiskowych uwarunkowaniach, po zasięgnięciu opinii organów współdziałających wymienionych w art. 64 ust. 1 u.o.o.ś., wydaje postanowienie o</w:t>
      </w:r>
      <w:bookmarkStart w:id="5" w:name="mip53179001"/>
      <w:bookmarkEnd w:id="5"/>
      <w:r w:rsidRPr="00DA1544">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u.o.o.ś. </w:t>
      </w:r>
    </w:p>
    <w:p w14:paraId="420B4FCF"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Stosowanie do art. 65 ust. 3 u.o.o.ś. u</w:t>
      </w:r>
      <w:r w:rsidRPr="00DA1544">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DA1544">
        <w:rPr>
          <w:rFonts w:ascii="Calibri" w:eastAsia="Times New Roman" w:hAnsi="Calibri" w:cs="Calibri"/>
          <w:sz w:val="28"/>
          <w:szCs w:val="28"/>
          <w:lang w:eastAsia="pl-PL"/>
        </w:rPr>
        <w:t>.</w:t>
      </w:r>
    </w:p>
    <w:p w14:paraId="4701A273"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 xml:space="preserve">Wobec powyższego na podstawie k.i.p., opinii Organów współdziałających oraz posiadanych przez Urząd materiałów kartograficznych, w związku z art. 63 ust. 1 </w:t>
      </w:r>
      <w:r w:rsidRPr="00DA1544">
        <w:rPr>
          <w:rFonts w:ascii="Calibri" w:eastAsia="SimSun" w:hAnsi="Calibri" w:cs="Calibri"/>
          <w:kern w:val="1"/>
          <w:sz w:val="28"/>
          <w:szCs w:val="28"/>
          <w:lang w:eastAsia="hi-IN" w:bidi="hi-IN"/>
        </w:rPr>
        <w:t>u.o.o.ś.,</w:t>
      </w:r>
      <w:r w:rsidRPr="00DA1544">
        <w:rPr>
          <w:rFonts w:ascii="Calibri" w:eastAsia="Times New Roman" w:hAnsi="Calibri" w:cs="Calibri"/>
          <w:sz w:val="28"/>
          <w:szCs w:val="28"/>
          <w:lang w:eastAsia="pl-PL"/>
        </w:rPr>
        <w:t xml:space="preserve"> przedstawia się co następuje:</w:t>
      </w:r>
    </w:p>
    <w:p w14:paraId="24C1DEFC" w14:textId="77777777" w:rsidR="00DA1544" w:rsidRPr="00DA1544" w:rsidRDefault="00DA1544" w:rsidP="00DA1544">
      <w:pPr>
        <w:numPr>
          <w:ilvl w:val="0"/>
          <w:numId w:val="3"/>
        </w:numPr>
        <w:spacing w:after="120" w:line="240" w:lineRule="auto"/>
        <w:ind w:left="284" w:hanging="284"/>
        <w:rPr>
          <w:rFonts w:ascii="Calibri" w:eastAsia="Times New Roman" w:hAnsi="Calibri" w:cs="Calibri"/>
          <w:kern w:val="2"/>
          <w:sz w:val="28"/>
          <w:szCs w:val="28"/>
          <w:shd w:val="clear" w:color="auto" w:fill="FFFFFF"/>
          <w:lang w:eastAsia="pl-PL"/>
          <w14:ligatures w14:val="standardContextual"/>
        </w:rPr>
      </w:pPr>
      <w:r w:rsidRPr="00DA1544">
        <w:rPr>
          <w:rFonts w:ascii="Calibri" w:eastAsia="Times New Roman" w:hAnsi="Calibri" w:cs="Calibri"/>
          <w:kern w:val="2"/>
          <w:sz w:val="28"/>
          <w:szCs w:val="28"/>
          <w:lang w:eastAsia="pl-PL"/>
          <w14:ligatures w14:val="standardContextual"/>
        </w:rPr>
        <w:t>rodzaj i charakterystyka przedsięwzięcia, z uwzględnieniem skali przedsięwzięcia i wielkości zajmowanego terenu oraz ich wzajemnych proporcji, a także istotnych rozwiązań charakteryzujących przedsięwzięcie</w:t>
      </w:r>
      <w:r w:rsidRPr="00DA1544">
        <w:rPr>
          <w:rFonts w:ascii="Calibri" w:eastAsia="SimSun" w:hAnsi="Calibri" w:cs="Calibri"/>
          <w:kern w:val="1"/>
          <w:sz w:val="28"/>
          <w:szCs w:val="28"/>
          <w:lang w:eastAsia="hi-IN" w:bidi="hi-IN"/>
          <w14:ligatures w14:val="standardContextual"/>
        </w:rPr>
        <w:t xml:space="preserve">: </w:t>
      </w:r>
    </w:p>
    <w:p w14:paraId="3C942EC8" w14:textId="77777777" w:rsidR="00DA1544" w:rsidRPr="00DA1544" w:rsidRDefault="00DA1544" w:rsidP="00DA1544">
      <w:pPr>
        <w:spacing w:after="120" w:line="240" w:lineRule="auto"/>
        <w:ind w:left="284"/>
        <w:rPr>
          <w:rFonts w:ascii="Calibri" w:eastAsia="SimSun" w:hAnsi="Calibri" w:cs="Calibri"/>
          <w:kern w:val="1"/>
          <w:sz w:val="28"/>
          <w:szCs w:val="28"/>
          <w:lang w:eastAsia="hi-IN" w:bidi="hi-IN"/>
          <w14:ligatures w14:val="standardContextual"/>
        </w:rPr>
      </w:pPr>
      <w:r w:rsidRPr="00DA1544">
        <w:rPr>
          <w:rFonts w:ascii="Calibri" w:eastAsia="SimSun" w:hAnsi="Calibri" w:cs="Calibri"/>
          <w:kern w:val="1"/>
          <w:sz w:val="28"/>
          <w:szCs w:val="28"/>
          <w:lang w:eastAsia="hi-IN" w:bidi="hi-IN"/>
          <w14:ligatures w14:val="standardContextual"/>
        </w:rPr>
        <w:t xml:space="preserve">planowane przedsięwzięcie będzie polegać na wydobywaniu kopaliny w postaci piasku ze złoża kruszywa naturalnego „Mechlin”, metodą odkrywkową, w granicach działki o numerze ewidencyjnym 324/13, obręb Mechlin. Powierzchnia złoża wynosi 1,9873 ha. Złoże zostało udokumentowane w 2009 roku w postaci jednego pola eksploatacyjnego i było eksploatowane na podstawie koncesji, która wygasła w 2016 roku. Według sporządzonych dodatków do dokumentacji geologicznej złoża jego miąższość minimalna wynosi 6,3 m a maksymalna 8,9 m (średnia miąższość złoża wynosi 7,5 m). Warstwa nadkładowa złoża ma średnią grubość 20 cm. Rzędne wysokościowe wyrobiska oscylują między rzędnymi 59,8 m n.p.m. a 66,0 m n.p.m. Złoże jest w przeważającej części zawodnione. </w:t>
      </w:r>
      <w:r w:rsidRPr="00DA1544">
        <w:rPr>
          <w:rFonts w:ascii="Calibri" w:eastAsia="SimSun" w:hAnsi="Calibri" w:cs="Calibri"/>
          <w:kern w:val="1"/>
          <w:sz w:val="28"/>
          <w:szCs w:val="28"/>
          <w:lang w:eastAsia="hi-IN" w:bidi="hi-IN"/>
          <w14:ligatures w14:val="standardContextual"/>
        </w:rPr>
        <w:lastRenderedPageBreak/>
        <w:t>Lustro wody znajduje się na rzędnej 63,6 m n.p.m. Złoże nie będzie odwadniane. Obliczone zasoby geologiczne bilansowe złoża kruszywa naturalnego „Mechlin” na dzień 31.12.2023 r. w kategorii C</w:t>
      </w:r>
      <w:r w:rsidRPr="00DA1544">
        <w:rPr>
          <w:rFonts w:ascii="Calibri" w:eastAsia="SimSun" w:hAnsi="Calibri" w:cs="Calibri"/>
          <w:kern w:val="1"/>
          <w:sz w:val="28"/>
          <w:szCs w:val="28"/>
          <w:vertAlign w:val="subscript"/>
          <w:lang w:eastAsia="hi-IN" w:bidi="hi-IN"/>
          <w14:ligatures w14:val="standardContextual"/>
        </w:rPr>
        <w:t>1</w:t>
      </w:r>
      <w:r w:rsidRPr="00DA1544">
        <w:rPr>
          <w:rFonts w:ascii="Calibri" w:eastAsia="SimSun" w:hAnsi="Calibri" w:cs="Calibri"/>
          <w:kern w:val="1"/>
          <w:sz w:val="28"/>
          <w:szCs w:val="28"/>
          <w:lang w:eastAsia="hi-IN" w:bidi="hi-IN"/>
          <w14:ligatures w14:val="standardContextual"/>
        </w:rPr>
        <w:t xml:space="preserve"> wynoszą 138 984,9 Mg (80 338,0 m</w:t>
      </w:r>
      <w:r w:rsidRPr="00DA1544">
        <w:rPr>
          <w:rFonts w:ascii="Calibri" w:eastAsia="SimSun" w:hAnsi="Calibri" w:cs="Calibri"/>
          <w:kern w:val="1"/>
          <w:sz w:val="28"/>
          <w:szCs w:val="28"/>
          <w:vertAlign w:val="superscript"/>
          <w:lang w:eastAsia="hi-IN" w:bidi="hi-IN"/>
          <w14:ligatures w14:val="standardContextual"/>
        </w:rPr>
        <w:t>3</w:t>
      </w:r>
      <w:r w:rsidRPr="00DA1544">
        <w:rPr>
          <w:rFonts w:ascii="Calibri" w:eastAsia="SimSun" w:hAnsi="Calibri" w:cs="Calibri"/>
          <w:kern w:val="1"/>
          <w:sz w:val="28"/>
          <w:szCs w:val="28"/>
          <w:lang w:eastAsia="hi-IN" w:bidi="hi-IN"/>
          <w14:ligatures w14:val="standardContextual"/>
        </w:rPr>
        <w:t>). Zakłada się wydobycie nie więcej niż 130 Mg (75 m</w:t>
      </w:r>
      <w:r w:rsidRPr="00DA1544">
        <w:rPr>
          <w:rFonts w:ascii="Calibri" w:eastAsia="SimSun" w:hAnsi="Calibri" w:cs="Calibri"/>
          <w:kern w:val="1"/>
          <w:sz w:val="28"/>
          <w:szCs w:val="28"/>
          <w:vertAlign w:val="superscript"/>
          <w:lang w:eastAsia="hi-IN" w:bidi="hi-IN"/>
          <w14:ligatures w14:val="standardContextual"/>
        </w:rPr>
        <w:t>3</w:t>
      </w:r>
      <w:r w:rsidRPr="00DA1544">
        <w:rPr>
          <w:rFonts w:ascii="Calibri" w:eastAsia="SimSun" w:hAnsi="Calibri" w:cs="Calibri"/>
          <w:kern w:val="1"/>
          <w:sz w:val="28"/>
          <w:szCs w:val="28"/>
          <w:lang w:eastAsia="hi-IN" w:bidi="hi-IN"/>
          <w14:ligatures w14:val="standardContextual"/>
        </w:rPr>
        <w:t>) kruszywa dziennie, to jest 30 000 Mg rocznie. Zakład górniczy pracować będzie od poniedziałku do piątku (ewentualnie w soboty), w godzinach od 8:00 do 16:00. Przewiduje się, że złoże zostanie wyeksploatowane w okresie pięciu lat. Powstałe wyrobisko zostanie zrekultywowane w kierunku rolnym, ze zbiornikiem wodnym</w:t>
      </w:r>
      <w:r w:rsidRPr="00DA1544">
        <w:rPr>
          <w:rFonts w:ascii="Calibri" w:eastAsia="Times New Roman" w:hAnsi="Calibri" w:cs="Calibri"/>
          <w:kern w:val="2"/>
          <w:sz w:val="28"/>
          <w:szCs w:val="28"/>
          <w:lang w:eastAsia="pl-PL"/>
          <w14:ligatures w14:val="standardContextual"/>
        </w:rPr>
        <w:t xml:space="preserve">; </w:t>
      </w:r>
    </w:p>
    <w:p w14:paraId="1BD38234" w14:textId="77777777" w:rsidR="00DA1544" w:rsidRPr="00DA1544" w:rsidRDefault="00DA1544" w:rsidP="00DA1544">
      <w:pPr>
        <w:numPr>
          <w:ilvl w:val="0"/>
          <w:numId w:val="3"/>
        </w:numPr>
        <w:spacing w:after="120" w:line="240" w:lineRule="auto"/>
        <w:ind w:left="284" w:hanging="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pl-PL"/>
          <w14:ligatures w14:val="standardContextua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1C36CCAD" w14:textId="77777777" w:rsidR="00DA1544" w:rsidRPr="00DA1544" w:rsidRDefault="00DA1544" w:rsidP="00DA1544">
      <w:pPr>
        <w:spacing w:after="120" w:line="240" w:lineRule="auto"/>
        <w:ind w:left="284"/>
        <w:rPr>
          <w:rFonts w:ascii="Calibri" w:eastAsia="Times New Roman" w:hAnsi="Calibri" w:cs="Calibri"/>
          <w:kern w:val="2"/>
          <w:sz w:val="28"/>
          <w:szCs w:val="28"/>
          <w:lang w:eastAsia="pl-PL"/>
          <w14:ligatures w14:val="standardContextual"/>
        </w:rPr>
      </w:pPr>
      <w:r w:rsidRPr="00DA1544">
        <w:rPr>
          <w:rFonts w:ascii="Calibri" w:eastAsia="Times New Roman" w:hAnsi="Calibri" w:cs="Calibri"/>
          <w:kern w:val="2"/>
          <w:sz w:val="28"/>
          <w:szCs w:val="28"/>
          <w:lang w:eastAsia="pl-PL"/>
          <w14:ligatures w14:val="standardContextual"/>
        </w:rPr>
        <w:t>w bezpośrednim sąsiedztwie, w kierunku północno-wschodnim od terenu przedsięwzięcia, znajduje się inny eksploatowany obszar górniczy złoża kruszywa naturalnego „Dąbrowa Śremska”, należący do Wnioskodawcy. W k.i.p. nie przedstawiono analizy skumulowanego oddziaływania przedsięwzięć;</w:t>
      </w:r>
    </w:p>
    <w:p w14:paraId="7D56BCC5" w14:textId="77777777" w:rsidR="00DA1544" w:rsidRPr="00DA1544" w:rsidRDefault="00DA1544" w:rsidP="00DA1544">
      <w:pPr>
        <w:numPr>
          <w:ilvl w:val="0"/>
          <w:numId w:val="3"/>
        </w:numPr>
        <w:spacing w:after="120" w:line="240" w:lineRule="auto"/>
        <w:ind w:left="284" w:hanging="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 xml:space="preserve">rodzaj i charakterystyka przedsięwzięcia z uwzględnieniem </w:t>
      </w:r>
      <w:r w:rsidRPr="00DA1544">
        <w:rPr>
          <w:rFonts w:ascii="Calibri" w:eastAsia="Times New Roman" w:hAnsi="Calibri" w:cs="Calibri"/>
          <w:kern w:val="2"/>
          <w:sz w:val="28"/>
          <w:szCs w:val="28"/>
          <w:lang w:eastAsia="pl-PL"/>
          <w14:ligatures w14:val="standardContextual"/>
        </w:rPr>
        <w:t>różnorodności biologicznej, wykorzystywania zasobów naturalnych, w tym gleby, wody i powierzchni ziemi:</w:t>
      </w:r>
      <w:r w:rsidRPr="00DA1544">
        <w:rPr>
          <w:rFonts w:ascii="Calibri" w:eastAsia="Times New Roman" w:hAnsi="Calibri" w:cs="Calibri"/>
          <w:kern w:val="2"/>
          <w:sz w:val="28"/>
          <w:szCs w:val="28"/>
          <w:lang w:eastAsia="zh-CN"/>
          <w14:ligatures w14:val="standardContextual"/>
        </w:rPr>
        <w:t xml:space="preserve"> </w:t>
      </w:r>
    </w:p>
    <w:p w14:paraId="0394CD0D"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 xml:space="preserve">eksploatacja przedsięwzięcia będzie wiązała się z wykorzystaniem zasobów naturalnych w postaci piasku. Wnioskowana działka stanowi w przeważającej części zawodnione wyrobisko. Północna część działki zasypana została masami ziemnymi (nadkład) do rzędnej 66,0 m n.p.m. Teren ten wykorzystywany jest jako plac manewrowy. W k.i.p. wskazano, że obszar przedsięwzięcia nie obejmuje żadnych cennych przyrodniczo terenów ani siedlisk podlegających ochronie. W miejscu planowanego przedsięwzięcia oraz w jego najbliższym sąsiedztwie nie stwierdzono miejsc lęgowych zwierząt, w tym gniazd ptaków. </w:t>
      </w:r>
    </w:p>
    <w:p w14:paraId="7E8B2C62"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lastRenderedPageBreak/>
        <w:t xml:space="preserve">Na terenie przedsięwzięcia nie stwierdzono występowania gatunków roślin, grzybów i zwierząt objętych ochroną gatunkową ani gatunków zagrożonych wyginięciem lub rzadkich; </w:t>
      </w:r>
    </w:p>
    <w:p w14:paraId="3C32A270" w14:textId="77777777" w:rsidR="00DA1544" w:rsidRPr="00DA1544" w:rsidRDefault="00DA1544" w:rsidP="00DA1544">
      <w:pPr>
        <w:numPr>
          <w:ilvl w:val="0"/>
          <w:numId w:val="3"/>
        </w:numPr>
        <w:spacing w:after="120" w:line="240" w:lineRule="auto"/>
        <w:ind w:left="284" w:hanging="284"/>
        <w:rPr>
          <w:rFonts w:ascii="Calibri" w:eastAsia="Andale Sans UI" w:hAnsi="Calibri" w:cs="Calibri"/>
          <w:kern w:val="1"/>
          <w:sz w:val="28"/>
          <w:szCs w:val="28"/>
          <w:lang w:eastAsia="hi-IN" w:bidi="hi-IN"/>
          <w14:ligatures w14:val="standardContextual"/>
        </w:rPr>
      </w:pPr>
      <w:r w:rsidRPr="00DA1544">
        <w:rPr>
          <w:rFonts w:ascii="Calibri" w:eastAsia="Andale Sans UI" w:hAnsi="Calibri" w:cs="Calibri"/>
          <w:kern w:val="1"/>
          <w:sz w:val="28"/>
          <w:szCs w:val="28"/>
          <w:lang w:eastAsia="hi-IN" w:bidi="hi-IN"/>
          <w14:ligatures w14:val="standardContextual"/>
        </w:rPr>
        <w:t xml:space="preserve">rodzaj i charakterystyka przedsięwzięcia z uwzględnieniem: emisji i występowania innych uciążliwości; zagrożenia dla zdrowia ludzi, w tym wynikającego z emisji oraz </w:t>
      </w:r>
      <w:r w:rsidRPr="00DA1544">
        <w:rPr>
          <w:rFonts w:ascii="Calibri" w:eastAsia="Times New Roman" w:hAnsi="Calibri" w:cs="Calibri"/>
          <w:kern w:val="2"/>
          <w:sz w:val="28"/>
          <w:szCs w:val="28"/>
          <w:lang w:eastAsia="pl-PL"/>
          <w14:ligatures w14:val="standardContextua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DA1544">
        <w:rPr>
          <w:rFonts w:ascii="Calibri" w:eastAsia="Andale Sans UI" w:hAnsi="Calibri" w:cs="Calibri"/>
          <w:kern w:val="1"/>
          <w:sz w:val="28"/>
          <w:szCs w:val="28"/>
          <w:lang w:eastAsia="hi-IN" w:bidi="hi-IN"/>
          <w14:ligatures w14:val="standardContextual"/>
        </w:rPr>
        <w:t>:</w:t>
      </w:r>
    </w:p>
    <w:p w14:paraId="7D8E7FD2"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 xml:space="preserve">realizacja przedsięwzięcia nie będzie wiązała się z wytwarzaniem ścieków technologicznych. Ścieki bytowe wytwarzane przez pracowników zakładu górniczego będą gromadzone w przenośnym sanitariacie typu TOI-TOI i odbierane przez uprawniony podmiot. Najbliższe tereny wymagające ochrony akustycznej znajdują się w bezpośrednim sąsiedztwie planowanego złoża i stanowi je zabudowa mieszkaniowa jednorodzinna (działki o numerach ewidencyjnych 324/7 i 324/9, obręb Mechlin). Z k.i.p. wynika, że źródłami emisji hałasu na etapie eksploatacji przedsięwzięcia będą poruszające się pojazdy wywożące urobek (nie więcej niż 10 pojazdów ciężarowych w ciągu doby) oraz koparka pływająca ssąco-refulująca (refuler) i ładowarka, wykorzystywane wyłącznie w momencie załadunku urobku i unieruchamiane podczas przerwy w załadunku. Pojazdy ciężarowe, koparka i ładowarka będą pracować nie dłużej niż 180 minut w ciągu dnia. Takie założenia zostały przyjęte w przedstawionej analizie akustycznej. Wnioskodawca wskazał, że w tygodniu zakład górniczy pracować będzie nie krócej niż pięć dni i nie dłużej niż sześć dni, w godzinach od 8.00 do 16.00. Regionalny Dyrektor Ochrony Środowiska w Poznaniu w postanowieniu z 04.07.2025 r. zwrócił uwagę, że z ogólnodostępnych informacji wynika, że wydobywanie kruszywa za pomocą refulera polega na zasysaniu mieszanki piasku, żwiru i wody (tak zwanej pulpy) z dna zbiorników wodnych przy użyciu specjalnej pompy. Następnie urobek jest tłoczony rurociągiem na brzeg, gdzie następuje jego segregacja na frakcje. Powyższe nie znalazło odzwierciedlenia w przedstawionej w k.i.p. analizie akustycznej. </w:t>
      </w:r>
    </w:p>
    <w:p w14:paraId="5ECA9306"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lastRenderedPageBreak/>
        <w:t>W k.i.p. nie przedstawiono również informacji w jaki sposób kruszywo będzie transportowane do miejsca załadunku przez koparkę na pojazdy ciężarowe. Z zaprezentowanej analizy akustycznej wynika, że na granicy najbliższych terenów chronionych akustycznie zostaną zachowane dopuszczalne poziomy hałasu określone w rozporządzeniu Ministra Środowiska z dnia 14 czerwca 2007 r. w sprawie dopuszczalnych poziomów hałasu w środowisku (Dz. U. z 2014 r. poz. 112). Zdaniem Regionalnego Dyrektora, wyniki przedstawionej analizy akustycznej budzą jednak wątpliwości, z uwagi nie tylko na rozbieżności w zakresie deklarowanego czasu pracy na terenie przedsięwzięcia, ale również nieuwzględnienie procesów związanych z transportem wydobywanego kruszywa z wykorzystaniem refulera. Jak wskazał Regionalny Dyrektor, analiza akustyczna została wykonana dla ściśle określonych założeń technicznych i technologicznych, to jest liczby, lokalizacji i parametrów technologicznych i akustycznych oraz czasu pracy źródeł emisji hałasu. W przedstawionej analizie akustycznej przyjęto konkretną lokalizację refulera oraz koparki, natomiast w opinii Regionalnego Dyrektora nie zostały one umiejscowione w miejscach najniekorzystniejszych z punktu widzenia rozprzestrzeniania się hałasu w środowisku. Granica złoża kruszywa naturalnego „Mechlin” oznaczona na załączniku graficznym pod nazwą: „Mapa podstawowych danych oraz</w:t>
      </w:r>
      <w:r w:rsidRPr="00DA1544">
        <w:rPr>
          <w:rFonts w:ascii="Calibri" w:eastAsia="Calibri" w:hAnsi="Calibri" w:cs="Calibri"/>
          <w:kern w:val="2"/>
          <w:sz w:val="28"/>
          <w:szCs w:val="28"/>
          <w14:ligatures w14:val="standardContextual"/>
        </w:rPr>
        <w:t xml:space="preserve"> </w:t>
      </w:r>
      <w:r w:rsidRPr="00DA1544">
        <w:rPr>
          <w:rFonts w:ascii="Calibri" w:eastAsia="Times New Roman" w:hAnsi="Calibri" w:cs="Calibri"/>
          <w:kern w:val="2"/>
          <w:sz w:val="28"/>
          <w:szCs w:val="28"/>
          <w:lang w:eastAsia="zh-CN"/>
          <w14:ligatures w14:val="standardContextual"/>
        </w:rPr>
        <w:t xml:space="preserve">obliczenia nowych zasobów złoża”, znajduje się w odległości zaledwie 13 m od granicy terenów wymagających ochrony przed hałasem. Pomimo lokalizacji przedsięwzięcia w sąsiedztwie terenów zabudowy mieszkaniowej jednorodzinnej nie odniesiono się w sposób jednoznaczny do rozwiązań ukierunkowanych na ograniczenie akustycznej presji planowanego przedsięwzięcia. Wobec powyższego, Regionalny Dyrektor wskazał, że nie może ponad wszelką wątpliwość stwierdzić, czy zostaną zachowane dopuszczalne poziomy hałasu na terenach podlegających ochronie akustycznej określonych w rozporządzeniu Ministra Środowiska z dnia 14 czerwca 2007 r. w sprawie dopuszczalnych poziomów hałasu w środowisku (Dz. U. z 2014 r. poz. 112), ani też określić warunków, które pozwolą na dotrzymanie określonych standardów. Jak wyjaśnił Organ opiniujący, ocena oddziaływania na środowisko pozwoli na szczegółowe przeanalizowanie wpływu przedsięwzięcia na tereny podlegające ochronie przed hałasem określone w przywołanym rozporządzeniu oraz określenie warunków realizacji przedsięwzięcia w oparciu o szczegółowe rozwiązania techniczne i organizacyjne określone w raporcie o oddziaływaniu przedsięwzięcia na środowisko. </w:t>
      </w:r>
    </w:p>
    <w:p w14:paraId="1C773136"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lastRenderedPageBreak/>
        <w:t xml:space="preserve">Regionalny Dyrektor wskazał, że w raporcie szczególną uwagę należy zwrócić na zinwentaryzowanie wszystkich źródeł hałasu oraz prawidłowe określenie parametrów ich pracy, wskazanie tras, po których poruszać się będą pojazdy, w tym ze szczególnym uwzględnieniem wjazdów i wyjazdów na teren kopalni. Analizie poddany powinien zostać również aspekt przestrzennej lokalizacji refulera, ładowarki, procesów związanych z załadunkiem i transportem wydobywanego kruszywa oraz tras dróg wewnętrznych na terenie planowanego przedsięwzięcia w kontekście możliwego oddziaływania akustycznego na tereny podlegające ochronie przed hałasem. Konieczne jest także przedstawienie założeń co do liczby pojazdów poruszających się po przedmiotowym terenie oraz transportujących kruszywo z terenu kopalni, z uwzględnieniem maksymalnego dziennego wydobycia kopaliny oraz zasobów geologicznych kopaliny. Analizy winny obejmować skumulowane oddziaływanie innych przedsięwzięć zlokalizowanych na terenie objętym wnioskiem i w najbliższej okolicy. W k.i.p. podano, że wokół planowanego przedsięwzięcia występują tereny eksploatacji kopalin. Oceniając skumulowane oddziaływania przedmiotowego przedsięwzięcia z innymi, planowanymi czy istniejącymi przedsięwzięciami, należy zwrócić uwagę, aby je przedstawić dla tych kategorii źródeł hałasu, których czas oceny jest taki sam. W przypadku wystąpienia oddziaływania pośredniego planowanego przedsięwzięcia, ocenę w tym zakresie należy przedstawić jako jego wpływ na istniejące warunki akustyczne, na terenach, na których oddziaływanie pośrednie może mieć znaczenie. Ponadto, w opinii Regionalnego Dyrektora, przeprowadzona ocena oddziaływania na środowisko wykaże, czy analizowane przedsięwzięcie spełniać będzie wymagania dotyczące dopuszczalnych poziomów hałasu w środowisku. W przypadku przekroczenia standardów jakości środowiska, ocenie poddane zostaną działania, które wnioskodawca podejmie w celu ograniczenia ponadnormatywnej emisji hałasu oraz określona zostanie ich skuteczność, a także ewentualna konieczność wykonania kontrolnych pomiarów hałasu. Eksploatacja kruszywa naturalnego ze złoża prowadzona będzie sposobem odkrywkowym, wgłębnie. Docelowo dno wyrobiska położone będzie od około 5,9 m do 6,9 m poniżej lustra wody. Uwzględniając zakres i charakter przedsięwzięcia, Regionalny Dyrektor uznał za konieczne, uwzględnienie w raporcie aspektów hydrogeologicznych, w szczególności opisanie budowy geologicznej złoża, warunków gruntowo-wodnych występujących w złożu, budowy geologicznej i hydrogeologicznej, sposobu prowadzenia eksploatacji złoża z uwzględnieniem informacji o planowanym froncie odkrywki i poziomach </w:t>
      </w:r>
      <w:r w:rsidRPr="00DA1544">
        <w:rPr>
          <w:rFonts w:ascii="Calibri" w:eastAsia="Times New Roman" w:hAnsi="Calibri" w:cs="Calibri"/>
          <w:kern w:val="2"/>
          <w:sz w:val="28"/>
          <w:szCs w:val="28"/>
          <w:lang w:eastAsia="zh-CN"/>
          <w14:ligatures w14:val="standardContextual"/>
        </w:rPr>
        <w:lastRenderedPageBreak/>
        <w:t>wydobycia. Konieczne jest przedstawienie oceny oddziaływania planowanego przedsięwzięcia na położenie zwierciadła wód gruntowych na etapie eksploatacji kopaliny oraz po rekultywacji złoża, a także na środowisko gruntowo-wodne, uwzględniając zagrożenia środowiska jakie powoduje eksploatacja odkrywkowa. W raporcie należy także doprecyzować informację w zakresie skali i maksymalnego dziennego wydobycia kopaliny. Dokładna analiza parametrów eksploatacyjnych i technologicznych przedsięwzięcia, w tym na temat procesów związanych z transportem wydobywanej kopaliny z wykorzystaniem refulera oraz warunków środowiskowych i terenowych pozwoli na określenie skutecznych metod zabezpieczenia środowiska przed negatywnym wpływem przedsięwzięcia wraz z oceną wpływu planowanego przedsięwzięcia na zmiany klimatu i adaptacji do postępujących zmian klimatu. Dodatkowo z uwagi na lokalizację i skalę planowanego przedsięwzięcia należy przedstawić działania minimalizujące wystąpienie możliwych konfliktów społecznych i dokonanie oceny skumulowanego oddziaływania na poszczególne elementy środowiska;</w:t>
      </w:r>
    </w:p>
    <w:p w14:paraId="23A7AAE7" w14:textId="77777777" w:rsidR="00DA1544" w:rsidRPr="00DA1544" w:rsidRDefault="00DA1544" w:rsidP="00DA1544">
      <w:pPr>
        <w:numPr>
          <w:ilvl w:val="0"/>
          <w:numId w:val="3"/>
        </w:numPr>
        <w:spacing w:after="120" w:line="240" w:lineRule="auto"/>
        <w:ind w:left="284" w:hanging="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 xml:space="preserve">rodzaj i charakterystyka przedsięwzięcia z uwzględnieniem </w:t>
      </w:r>
      <w:r w:rsidRPr="00DA1544">
        <w:rPr>
          <w:rFonts w:ascii="Calibri" w:eastAsia="Times New Roman" w:hAnsi="Calibri" w:cs="Calibri"/>
          <w:kern w:val="2"/>
          <w:sz w:val="28"/>
          <w:szCs w:val="28"/>
          <w:lang w:eastAsia="pl-PL"/>
          <w14:ligatures w14:val="standardContextual"/>
        </w:rPr>
        <w:t>ocenionego w oparciu o wiedzę naukową ryzyka wystąpienia poważnych awarii lub katastrof naturalnych i budowlanych, przy uwzględnieniu używanych substancji i stosowanych technologii, w tym ryzyka związanego ze zmianą klimatu</w:t>
      </w:r>
      <w:r w:rsidRPr="00DA1544">
        <w:rPr>
          <w:rFonts w:ascii="Calibri" w:eastAsia="Times New Roman" w:hAnsi="Calibri" w:cs="Calibri"/>
          <w:kern w:val="2"/>
          <w:sz w:val="28"/>
          <w:szCs w:val="28"/>
          <w:lang w:eastAsia="zh-CN"/>
          <w14:ligatures w14:val="standardContextual"/>
        </w:rPr>
        <w:t xml:space="preserve">: </w:t>
      </w:r>
    </w:p>
    <w:p w14:paraId="725421ED"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 xml:space="preserve">planowane przedsięwzięcie nie należy do zakładów o dużym ani zwiększonym ryzyku wystąpienia poważnej awarii wskazanych w rozporządzeniu Ministra Rozwoju z dnia 29 stycznia 2016 r. (Dz. U. poz. 138) w sprawie rodzajów i ilości znajdujących się w zakładzie substancji niebezpiecznych, decydujących o zaliczeniu zakładu do zakładu o zwiększonym lub dużym ryzyku wystąpienia poważnej awarii przemysłowej. W związku z eksploatacją przedsięwzięcia, przy uwzględnieniu używanych substancji (na terenie kopalni nie będą wytwarzane ani składowane odpady i substancje niebezpieczne, toksyczne i tym podobne) i stosowanych technologii (bez wykorzystywania materiałów wybuchowych) oraz realizacji zgodnie z obowiązującymi przepisami i normami, ryzyko katastrofy budowlanej będzie ograniczone. Ze względu na położenie geograficzne przedsięwzięcie nie jest zagrożone ryzykiem katastrofy naturalnej, w szczególności w wyniku wystąpienia trzęsień ziemi i powodzi. </w:t>
      </w:r>
    </w:p>
    <w:p w14:paraId="20A68247" w14:textId="77777777" w:rsidR="00DA1544" w:rsidRPr="00DA1544" w:rsidRDefault="00DA1544" w:rsidP="00DA1544">
      <w:pPr>
        <w:spacing w:after="0" w:line="240" w:lineRule="auto"/>
        <w:jc w:val="both"/>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br w:type="page"/>
      </w:r>
    </w:p>
    <w:p w14:paraId="2EE096F7"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lastRenderedPageBreak/>
        <w:t xml:space="preserve">Przedsięwzięcie może być narażone na występowanie osuwisk, w związku z czym skarpy wyrobiska eksploatacyjnego powinny być kształtowane zgodnie z zasadami wynikającymi z norm geologicznych i górniczych, aby zapobiec zagrożeniom osuwiskowym; </w:t>
      </w:r>
    </w:p>
    <w:p w14:paraId="790C4BE8" w14:textId="77777777" w:rsidR="00DA1544" w:rsidRPr="00DA1544" w:rsidRDefault="00DA1544" w:rsidP="00DA1544">
      <w:pPr>
        <w:numPr>
          <w:ilvl w:val="0"/>
          <w:numId w:val="3"/>
        </w:numPr>
        <w:spacing w:after="120" w:line="240" w:lineRule="auto"/>
        <w:ind w:left="284" w:hanging="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 xml:space="preserve">rodzaj i charakterystyka przedsięwzięcia z uwzględnieniem </w:t>
      </w:r>
      <w:r w:rsidRPr="00DA1544">
        <w:rPr>
          <w:rFonts w:ascii="Calibri" w:eastAsia="Times New Roman" w:hAnsi="Calibri" w:cs="Calibri"/>
          <w:kern w:val="2"/>
          <w:sz w:val="28"/>
          <w:szCs w:val="28"/>
          <w:lang w:eastAsia="pl-PL"/>
          <w14:ligatures w14:val="standardContextual"/>
        </w:rPr>
        <w:t>przewidywanych ilości i rodzaju wytwarzanych odpadów oraz ich wpływu na środowisko w przypadkach, gdy planuje się ich powstawanie</w:t>
      </w:r>
      <w:r w:rsidRPr="00DA1544">
        <w:rPr>
          <w:rFonts w:ascii="Calibri" w:eastAsia="Times New Roman" w:hAnsi="Calibri" w:cs="Calibri"/>
          <w:kern w:val="2"/>
          <w:sz w:val="28"/>
          <w:szCs w:val="28"/>
          <w:lang w:eastAsia="zh-CN"/>
          <w14:ligatures w14:val="standardContextual"/>
        </w:rPr>
        <w:t xml:space="preserve">: </w:t>
      </w:r>
    </w:p>
    <w:p w14:paraId="67C8FCBD"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na etapie eksploatacji przedsięwzięcia będą powstawać odpady komunalne wytwarzane przez pracowników kopalni oraz sorbenty wykorzystane do usuwania ewentualnie powstałych zanieczyszczeń substancjami niebezpiecznymi. Odpady będą gromadzone selektywnie w szczelnych pojemnikach lub kontenerach, w wyznaczonym do tego celu miejscu na terenie przedsięwzięcia, a następnie przekazywane uprawnionym podmiotom do dalszego zagospodarowania. Nadkład po odspojeniu od złoża kruszywa naturalnego nie będzie stanowił odpadu, będzie przemieszczany na tymczasowe zwałowiska na terenie przedsięwzięcia, a następnie zostanie wykorzystany do złagodzenia nachylenia skarp stałych wyrobiska;</w:t>
      </w:r>
    </w:p>
    <w:p w14:paraId="2494C96F" w14:textId="77777777" w:rsidR="00DA1544" w:rsidRPr="00DA1544" w:rsidRDefault="00DA1544" w:rsidP="00DA1544">
      <w:pPr>
        <w:numPr>
          <w:ilvl w:val="0"/>
          <w:numId w:val="3"/>
        </w:numPr>
        <w:spacing w:after="120" w:line="240" w:lineRule="auto"/>
        <w:ind w:left="284" w:hanging="284"/>
        <w:rPr>
          <w:rFonts w:ascii="Calibri" w:eastAsia="SimSun" w:hAnsi="Calibri" w:cs="Calibri"/>
          <w:kern w:val="1"/>
          <w:sz w:val="28"/>
          <w:szCs w:val="28"/>
          <w:lang w:eastAsia="hi-IN" w:bidi="hi-IN"/>
          <w14:ligatures w14:val="standardContextual"/>
        </w:rPr>
      </w:pPr>
      <w:r w:rsidRPr="00DA1544">
        <w:rPr>
          <w:rFonts w:ascii="Calibri" w:eastAsia="SimSun" w:hAnsi="Calibri" w:cs="Calibri"/>
          <w:kern w:val="1"/>
          <w:sz w:val="28"/>
          <w:szCs w:val="28"/>
          <w:lang w:eastAsia="hi-IN" w:bidi="hi-IN"/>
          <w14:ligatures w14:val="standardContextual"/>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DA1544">
        <w:rPr>
          <w:rFonts w:ascii="Calibri" w:eastAsia="Times New Roman" w:hAnsi="Calibri" w:cs="Calibri"/>
          <w:kern w:val="2"/>
          <w:sz w:val="28"/>
          <w:szCs w:val="28"/>
          <w:lang w:eastAsia="pl-PL"/>
          <w14:ligatures w14:val="standardContextual"/>
        </w:rPr>
        <w:t>obszary wodno-błotne, inne obszary o płytkim zaleganiu wód podziemnych, w tym siedliska łęgowe oraz ujścia rzek, obszary wybrzeży i środowisko morskie, obszary górskie lub leśne,</w:t>
      </w:r>
      <w:r w:rsidRPr="00DA1544">
        <w:rPr>
          <w:rFonts w:ascii="Calibri" w:eastAsia="SimSun" w:hAnsi="Calibri" w:cs="Calibri"/>
          <w:kern w:val="1"/>
          <w:sz w:val="28"/>
          <w:szCs w:val="28"/>
          <w:lang w:eastAsia="hi-IN" w:bidi="hi-IN"/>
          <w14:ligatures w14:val="standardContextual"/>
        </w:rPr>
        <w:t xml:space="preserve"> </w:t>
      </w:r>
      <w:r w:rsidRPr="00DA1544">
        <w:rPr>
          <w:rFonts w:ascii="Calibri" w:eastAsia="Times New Roman" w:hAnsi="Calibri" w:cs="Calibri"/>
          <w:kern w:val="2"/>
          <w:sz w:val="28"/>
          <w:szCs w:val="28"/>
          <w:lang w:eastAsia="pl-PL"/>
          <w14:ligatures w14:val="standardContextua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DA1544">
        <w:rPr>
          <w:rFonts w:ascii="Calibri" w:eastAsia="SimSun" w:hAnsi="Calibri" w:cs="Calibri"/>
          <w:kern w:val="1"/>
          <w:sz w:val="28"/>
          <w:szCs w:val="28"/>
          <w:lang w:eastAsia="hi-IN" w:bidi="hi-IN"/>
          <w14:ligatures w14:val="standardContextual"/>
        </w:rPr>
        <w:t xml:space="preserve"> </w:t>
      </w:r>
    </w:p>
    <w:p w14:paraId="7B007AF1" w14:textId="77777777" w:rsidR="00DA1544" w:rsidRPr="00DA1544" w:rsidRDefault="00DA1544" w:rsidP="00DA1544">
      <w:pPr>
        <w:spacing w:after="120" w:line="240" w:lineRule="auto"/>
        <w:ind w:left="284"/>
        <w:rPr>
          <w:rFonts w:ascii="Calibri" w:eastAsia="SimSun" w:hAnsi="Calibri" w:cs="Calibri"/>
          <w:kern w:val="1"/>
          <w:sz w:val="28"/>
          <w:szCs w:val="28"/>
          <w:lang w:eastAsia="hi-IN" w:bidi="hi-IN"/>
          <w14:ligatures w14:val="standardContextual"/>
        </w:rPr>
      </w:pPr>
      <w:r w:rsidRPr="00DA1544">
        <w:rPr>
          <w:rFonts w:ascii="Calibri" w:eastAsia="SimSun" w:hAnsi="Calibri" w:cs="Calibri"/>
          <w:kern w:val="1"/>
          <w:sz w:val="28"/>
          <w:szCs w:val="28"/>
          <w:lang w:eastAsia="hi-IN" w:bidi="hi-IN"/>
          <w14:ligatures w14:val="standardContextual"/>
        </w:rPr>
        <w:t xml:space="preserve">złoże kruszywa naturalnego „Mechlin” zlokalizowane jest na obszarze Głównego Zbiornika Wód Podziemnych (GZWP) 150 Pradolina Warszawa - Berlin. Teren przedsięwzięcia nie znajduje się na obszarach wodno-błotnych i innych obszarach o płytkim zaleganiu wód podziemnych oraz obszarach ochronnych zbiorników wód śródlądowych i strefach ochronnych ujęć wód podziemnych. </w:t>
      </w:r>
    </w:p>
    <w:p w14:paraId="5C7964AA" w14:textId="77777777" w:rsidR="00DA1544" w:rsidRPr="00DA1544" w:rsidRDefault="00DA1544" w:rsidP="00DA1544">
      <w:pPr>
        <w:spacing w:after="120" w:line="240" w:lineRule="auto"/>
        <w:ind w:left="284"/>
        <w:rPr>
          <w:rFonts w:ascii="Calibri" w:eastAsia="SimSun" w:hAnsi="Calibri" w:cs="Calibri"/>
          <w:kern w:val="1"/>
          <w:sz w:val="28"/>
          <w:szCs w:val="28"/>
          <w:lang w:eastAsia="hi-IN" w:bidi="hi-IN"/>
          <w14:ligatures w14:val="standardContextual"/>
        </w:rPr>
      </w:pPr>
      <w:r w:rsidRPr="00DA1544">
        <w:rPr>
          <w:rFonts w:ascii="Calibri" w:eastAsia="SimSun" w:hAnsi="Calibri" w:cs="Calibri"/>
          <w:kern w:val="1"/>
          <w:sz w:val="28"/>
          <w:szCs w:val="28"/>
          <w:lang w:eastAsia="hi-IN" w:bidi="hi-IN"/>
          <w14:ligatures w14:val="standardContextual"/>
        </w:rPr>
        <w:lastRenderedPageBreak/>
        <w:t>Najbliższe ujęcie wód podziemnych zlokalizowane jest w Dąbrowie w odległości około 1,5 km w kierunku północno-wschodnim od przedsięwzięcia. Złoże znajduje się poza obszarami wybrzeży i środowiska morskiego, obszarami górskimi, leśnymi oraz obszarami przylegającymi do jezior. Przedsięwzięcie nie jest zlokalizowane na obszarach o krajobrazie mającym znaczenie historyczne, kulturowe oraz archeologiczne. Przedsięwzięcie nie będzie zlokalizowane również na obszarach o dużej gęstości zaludnienia oraz nie będzie zlokalizowane na obszarach uzdrowiskowych i ochrony uzdrowiskowej. Przedsięwzięcie znajduje się na terenie objętym ustaleniami obowiązującego miejscowego planu zagospodarowania przestrzennego terenów górniczych w Lucinach i Mechlinie, uchwalonego uchwałą Nr 426/XLIV/2018 Rady Miejskiej w Śremie z dnia 26 kwietnia 2018 r. (Dz. Urz. Woj. Wielk. poz. 4949), przeznaczonym pod teren górniczy, oznaczony symbolem 2PG;</w:t>
      </w:r>
    </w:p>
    <w:p w14:paraId="3817A400" w14:textId="77777777" w:rsidR="00DA1544" w:rsidRPr="00DA1544" w:rsidRDefault="00DA1544" w:rsidP="00DA1544">
      <w:pPr>
        <w:numPr>
          <w:ilvl w:val="0"/>
          <w:numId w:val="3"/>
        </w:numPr>
        <w:spacing w:after="120" w:line="240" w:lineRule="auto"/>
        <w:ind w:left="284" w:hanging="284"/>
        <w:rPr>
          <w:rFonts w:ascii="Calibri" w:eastAsia="Times New Roman" w:hAnsi="Calibri" w:cs="Calibri"/>
          <w:kern w:val="2"/>
          <w:sz w:val="28"/>
          <w:szCs w:val="28"/>
          <w:lang w:eastAsia="zh-CN"/>
          <w14:ligatures w14:val="standardContextual"/>
        </w:rPr>
      </w:pPr>
      <w:r w:rsidRPr="00DA1544">
        <w:rPr>
          <w:rFonts w:ascii="Calibri" w:eastAsia="SimSun" w:hAnsi="Calibri" w:cs="Calibri"/>
          <w:kern w:val="1"/>
          <w:sz w:val="28"/>
          <w:szCs w:val="28"/>
          <w:lang w:eastAsia="hi-IN" w:bidi="hi-IN"/>
          <w14:ligatures w14:val="standardContextual"/>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DA1544">
        <w:rPr>
          <w:rFonts w:ascii="Calibri" w:eastAsia="Times New Roman" w:hAnsi="Calibri" w:cs="Calibri"/>
          <w:kern w:val="2"/>
          <w:sz w:val="28"/>
          <w:szCs w:val="28"/>
          <w:lang w:eastAsia="pl-PL"/>
          <w14:ligatures w14:val="standardContextua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DA1544">
        <w:rPr>
          <w:rFonts w:ascii="Calibri" w:eastAsia="SimSun" w:hAnsi="Calibri" w:cs="Calibri"/>
          <w:kern w:val="1"/>
          <w:sz w:val="28"/>
          <w:szCs w:val="28"/>
          <w:lang w:eastAsia="hi-IN" w:bidi="hi-IN"/>
          <w14:ligatures w14:val="standardContextual"/>
        </w:rPr>
        <w:t xml:space="preserve"> </w:t>
      </w:r>
      <w:bookmarkStart w:id="6" w:name="_Hlk82517539"/>
    </w:p>
    <w:bookmarkEnd w:id="6"/>
    <w:p w14:paraId="7DFB7075"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teren przeznaczony pod przedsięwzięcie zlokalizowany jest poza obszarami chronionymi na podstawie ustawy z dnia 16 kwietnia 2004 r. o ochronie przyrody. Najbliżej położonymi obszarami Natura 2000 są: specjalny obszar ochrony siedlisk Rogalińska Dolina Warty PLH300012, oddalony o 100 m i obszar specjalnej ochrony ptaków Ostoja Rogalińska PLB300017, oddalone o 200 m od przedsięwzięcia. W karcie informacyjnej przedsięwzięcia wskazano, że w trakcie przeprowadzonej wizji terenowej nie stwierdzono obecności rzadkich i chronionych gatunków roślin;</w:t>
      </w:r>
    </w:p>
    <w:p w14:paraId="32163E41" w14:textId="77777777" w:rsidR="00DA1544" w:rsidRPr="00DA1544" w:rsidRDefault="00DA1544" w:rsidP="00DA1544">
      <w:pPr>
        <w:numPr>
          <w:ilvl w:val="0"/>
          <w:numId w:val="3"/>
        </w:numPr>
        <w:spacing w:after="120" w:line="240" w:lineRule="auto"/>
        <w:ind w:left="284" w:hanging="284"/>
        <w:rPr>
          <w:rFonts w:ascii="Calibri" w:eastAsia="Times New Roman" w:hAnsi="Calibri" w:cs="Calibri"/>
          <w:kern w:val="2"/>
          <w:sz w:val="28"/>
          <w:szCs w:val="28"/>
          <w:lang w:eastAsia="zh-CN"/>
          <w14:ligatures w14:val="standardContextual"/>
        </w:rPr>
      </w:pPr>
      <w:r w:rsidRPr="00DA1544">
        <w:rPr>
          <w:rFonts w:ascii="Calibri" w:eastAsia="SimSun" w:hAnsi="Calibri" w:cs="Calibri"/>
          <w:kern w:val="1"/>
          <w:sz w:val="28"/>
          <w:szCs w:val="28"/>
          <w:lang w:eastAsia="hi-IN" w:bidi="hi-IN"/>
          <w14:ligatures w14:val="standardContextual"/>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DA1544">
        <w:rPr>
          <w:rFonts w:ascii="Calibri" w:eastAsia="Times New Roman" w:hAnsi="Calibri" w:cs="Calibri"/>
          <w:kern w:val="2"/>
          <w:sz w:val="28"/>
          <w:szCs w:val="28"/>
          <w:lang w:eastAsia="pl-PL"/>
          <w14:ligatures w14:val="standardContextual"/>
        </w:rPr>
        <w:t xml:space="preserve"> wody i obowiązujące dla nich cele środowiskowe:</w:t>
      </w:r>
      <w:r w:rsidRPr="00DA1544">
        <w:rPr>
          <w:rFonts w:ascii="Calibri" w:eastAsia="SimSun" w:hAnsi="Calibri" w:cs="Calibri"/>
          <w:kern w:val="1"/>
          <w:sz w:val="28"/>
          <w:szCs w:val="28"/>
          <w:lang w:eastAsia="hi-IN" w:bidi="hi-IN"/>
          <w14:ligatures w14:val="standardContextual"/>
        </w:rPr>
        <w:t xml:space="preserve"> </w:t>
      </w:r>
    </w:p>
    <w:p w14:paraId="1A5EFFEF" w14:textId="77777777" w:rsidR="00DA1544" w:rsidRPr="00DA1544" w:rsidRDefault="00DA1544" w:rsidP="00DA1544">
      <w:pPr>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lastRenderedPageBreak/>
        <w:t xml:space="preserve">według charakterystyki jednolitych części wód planowane przedsięwzięcie zlokalizowane jest w granicach jednolitej części wód podziemnych (jcwpd) o kodzie GW600061 oraz jednolitej części wód powierzchniowych (jcwp) rzecznych o kodzie </w:t>
      </w:r>
      <w:bookmarkStart w:id="7" w:name="_Hlk140496639"/>
      <w:r w:rsidRPr="00DA1544">
        <w:rPr>
          <w:rFonts w:ascii="Calibri" w:eastAsia="Times New Roman" w:hAnsi="Calibri" w:cs="Calibri"/>
          <w:kern w:val="2"/>
          <w:sz w:val="28"/>
          <w:szCs w:val="28"/>
          <w:lang w:eastAsia="zh-CN"/>
          <w14:ligatures w14:val="standardContextual"/>
        </w:rPr>
        <w:t>RW6000</w:t>
      </w:r>
      <w:bookmarkEnd w:id="7"/>
      <w:r w:rsidRPr="00DA1544">
        <w:rPr>
          <w:rFonts w:ascii="Calibri" w:eastAsia="Times New Roman" w:hAnsi="Calibri" w:cs="Calibri"/>
          <w:kern w:val="2"/>
          <w:sz w:val="28"/>
          <w:szCs w:val="28"/>
          <w:lang w:eastAsia="zh-CN"/>
          <w14:ligatures w14:val="standardContextual"/>
        </w:rPr>
        <w:t>12185551 - Warta od Lutyni do Młyniska. Zgodnie z obowiązującym „Planem gospodarowania wodami na obszarze dorzecza Odry” jcwpd o kodzie GW600061 charakteryzuje się dobrym stanem ilościowym oraz chemicznym, jest ona monitorowana a w odniesieniu do ryzyka nieosiągnięcia celów środowiskowych została uznana za niezagrożoną. Jcwp o kodzie RW600012185551 jest silnie zmienioną częścią wód, monitorowaną, jej stan aktualnie jest zły, a zgodnie z oceną ryzyka nieosiągnięcia celów środowiskowych uznana została za zagrożoną;</w:t>
      </w:r>
      <w:r w:rsidRPr="00DA1544">
        <w:rPr>
          <w:rFonts w:ascii="Calibri" w:eastAsia="Times New Roman" w:hAnsi="Calibri" w:cs="Calibri"/>
          <w:kern w:val="2"/>
          <w:sz w:val="28"/>
          <w:szCs w:val="28"/>
          <w:lang w:eastAsia="pl-PL"/>
          <w14:ligatures w14:val="standardContextual"/>
        </w:rPr>
        <w:t xml:space="preserve"> </w:t>
      </w:r>
    </w:p>
    <w:p w14:paraId="498D2FC4" w14:textId="77777777" w:rsidR="00DA1544" w:rsidRPr="00DA1544" w:rsidRDefault="00DA1544" w:rsidP="00DA1544">
      <w:pPr>
        <w:numPr>
          <w:ilvl w:val="0"/>
          <w:numId w:val="3"/>
        </w:numPr>
        <w:tabs>
          <w:tab w:val="left" w:pos="426"/>
        </w:tabs>
        <w:spacing w:after="120" w:line="240" w:lineRule="auto"/>
        <w:ind w:left="284" w:hanging="284"/>
        <w:rPr>
          <w:rFonts w:ascii="Calibri" w:eastAsia="Times New Roman" w:hAnsi="Calibri" w:cs="Calibri"/>
          <w:kern w:val="2"/>
          <w:sz w:val="28"/>
          <w:szCs w:val="28"/>
          <w:lang w:eastAsia="pl-PL"/>
          <w14:ligatures w14:val="standardContextual"/>
        </w:rPr>
      </w:pPr>
      <w:r w:rsidRPr="00DA1544">
        <w:rPr>
          <w:rFonts w:ascii="Calibri" w:eastAsia="Times New Roman" w:hAnsi="Calibri" w:cs="Calibri"/>
          <w:kern w:val="2"/>
          <w:sz w:val="28"/>
          <w:szCs w:val="28"/>
          <w:lang w:eastAsia="pl-PL"/>
          <w14:ligatures w14:val="standardContextua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DA1544">
        <w:rPr>
          <w:rFonts w:ascii="Calibri" w:eastAsia="Times New Roman" w:hAnsi="Calibri" w:cs="Calibri"/>
          <w:kern w:val="2"/>
          <w:sz w:val="28"/>
          <w:szCs w:val="28"/>
          <w:lang w:eastAsia="zh-CN"/>
          <w14:ligatures w14:val="standardContextual"/>
        </w:rPr>
        <w:t xml:space="preserve"> </w:t>
      </w:r>
    </w:p>
    <w:p w14:paraId="486E5808" w14:textId="77777777" w:rsidR="00DA1544" w:rsidRPr="00DA1544" w:rsidRDefault="00DA1544" w:rsidP="00DA1544">
      <w:pPr>
        <w:tabs>
          <w:tab w:val="left" w:pos="426"/>
        </w:tabs>
        <w:spacing w:after="120" w:line="240" w:lineRule="auto"/>
        <w:ind w:left="284"/>
        <w:rPr>
          <w:rFonts w:ascii="Calibri" w:eastAsia="Times New Roman" w:hAnsi="Calibri" w:cs="Calibri"/>
          <w:kern w:val="2"/>
          <w:sz w:val="28"/>
          <w:szCs w:val="28"/>
          <w:lang w:eastAsia="zh-CN"/>
          <w14:ligatures w14:val="standardContextual"/>
        </w:rPr>
      </w:pPr>
      <w:r w:rsidRPr="00DA1544">
        <w:rPr>
          <w:rFonts w:ascii="Calibri" w:eastAsia="Times New Roman" w:hAnsi="Calibri" w:cs="Calibri"/>
          <w:kern w:val="2"/>
          <w:sz w:val="28"/>
          <w:szCs w:val="28"/>
          <w:lang w:eastAsia="zh-CN"/>
          <w14:ligatures w14:val="standardContextual"/>
        </w:rPr>
        <w:t>przedmiotowe przedsięwzięcie nie będzie transgranicznie oddziaływać na środowisko.</w:t>
      </w:r>
    </w:p>
    <w:p w14:paraId="4C33FEFA" w14:textId="77777777" w:rsidR="00DA1544" w:rsidRPr="00DA1544" w:rsidRDefault="00DA1544" w:rsidP="00DA1544">
      <w:pPr>
        <w:tabs>
          <w:tab w:val="left" w:pos="426"/>
        </w:tabs>
        <w:spacing w:after="120" w:line="240" w:lineRule="auto"/>
        <w:ind w:firstLine="567"/>
        <w:rPr>
          <w:rFonts w:ascii="Calibri" w:eastAsia="Times New Roman" w:hAnsi="Calibri" w:cs="Calibri"/>
          <w:bCs/>
          <w:sz w:val="28"/>
          <w:szCs w:val="28"/>
          <w:lang w:eastAsia="zh-CN"/>
        </w:rPr>
      </w:pPr>
      <w:r w:rsidRPr="00DA1544">
        <w:rPr>
          <w:rFonts w:ascii="Calibri" w:eastAsia="Times New Roman" w:hAnsi="Calibri" w:cs="Calibri"/>
          <w:sz w:val="28"/>
          <w:szCs w:val="28"/>
          <w:lang w:eastAsia="pl-PL"/>
        </w:rPr>
        <w:t xml:space="preserve">Po przeanalizowaniu stanowisk Organów opiniujących (jeden Organ spośród dwóch wyraził opinię o potrzebie przeprowadzenia oceny oddziaływania na środowisko), informacji zawartych w k.i.p. oraz uwzględniając łącznie kryteria wskazane w art. 63 ust. 1 u.o.o.ś., </w:t>
      </w:r>
      <w:r w:rsidRPr="00DA1544">
        <w:rPr>
          <w:rFonts w:ascii="Calibri" w:eastAsia="Times New Roman" w:hAnsi="Calibri" w:cs="Calibri"/>
          <w:b/>
          <w:sz w:val="28"/>
          <w:szCs w:val="28"/>
          <w:lang w:eastAsia="pl-PL"/>
        </w:rPr>
        <w:t>Burmistrz Śremu stwierdził obowiązek przeprowadzenia oceny oddziaływania przedsięwzięcia na środowisko i sporządzenia raportu.</w:t>
      </w:r>
      <w:r w:rsidRPr="00DA1544">
        <w:rPr>
          <w:rFonts w:ascii="Calibri" w:eastAsia="Times New Roman" w:hAnsi="Calibri" w:cs="Calibri"/>
          <w:bCs/>
          <w:sz w:val="28"/>
          <w:szCs w:val="28"/>
          <w:lang w:eastAsia="pl-PL"/>
        </w:rPr>
        <w:t xml:space="preserve"> </w:t>
      </w:r>
    </w:p>
    <w:p w14:paraId="01C98F05"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Tutejszy organ podziela argumenty Regionalnego Dyrektora Ochrony Środowiska w Poznaniu przemawiające za koniecznością przeprowadzenia oceny oddziaływania na środowisko dla planowanego przedsięwzięcia. Ocena oddziaływania na środowisko dokonana na podstawie sporządzonego raportu pozwoli zweryfikować rodzaj, charakter i skalę oddziaływania przedsięwzięcia. Raport o oddziaływaniu przedsięwzięcia na środowisko stanowi bowiem podstawowy dowód w sprawach dotyczących ustalenia środowiskowych uwarunkowań dla danego przedsięwzięcia. Przeprowadzenie oceny oddziaływania na środowisko pozwoli na określenie warunków realizacji planowanego przedsięwzięcia, które zapewnią dotrzymanie standardów jakości środowiska oraz wskazanie rozwiązań możliwych do wdrożenia na etapie eksploatacji przedsięwzięcia szczególnie mających na celu obniżenie presji prowadzonej odkrywki na stan środowiska naturalnego, w tym tereny chronione akustycznie.</w:t>
      </w:r>
    </w:p>
    <w:p w14:paraId="2C807042"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lastRenderedPageBreak/>
        <w:t>Raport o oddziaływaniu przedsięwzięcia na środowisko powinien być wykonany zgodnie z art. 66 u.o.o.ś., w formacie wskazanym w rozporządzeniu Ministra Klimatu i Środowiska z dnia 17 marca 2022 r. w sprawie formatu dokumentu zawierającego wyniki inwentaryzacji przyrodniczej oraz formatu raportu o oddziaływaniu przedsięwzięcia na środowisko (Dz. U. poz. 652).</w:t>
      </w:r>
    </w:p>
    <w:p w14:paraId="565F6BB8"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Mając powyższe na uwadze należało orzec jak w sentencji postanowienia.</w:t>
      </w:r>
    </w:p>
    <w:p w14:paraId="25B45739" w14:textId="77777777" w:rsidR="00DA1544" w:rsidRPr="00DA1544" w:rsidRDefault="00DA1544" w:rsidP="00DA1544">
      <w:pPr>
        <w:spacing w:after="120" w:line="240" w:lineRule="auto"/>
        <w:jc w:val="center"/>
        <w:rPr>
          <w:rFonts w:ascii="Calibri" w:eastAsia="Times New Roman" w:hAnsi="Calibri" w:cs="Calibri"/>
          <w:bCs/>
          <w:sz w:val="28"/>
          <w:szCs w:val="28"/>
          <w:lang w:eastAsia="pl-PL"/>
        </w:rPr>
      </w:pPr>
      <w:r w:rsidRPr="00DA1544">
        <w:rPr>
          <w:rFonts w:ascii="Calibri" w:eastAsia="Times New Roman" w:hAnsi="Calibri" w:cs="Calibri"/>
          <w:bCs/>
          <w:sz w:val="28"/>
          <w:szCs w:val="28"/>
          <w:lang w:eastAsia="pl-PL"/>
        </w:rPr>
        <w:t>Pouczenie</w:t>
      </w:r>
    </w:p>
    <w:p w14:paraId="1282F655" w14:textId="77777777" w:rsidR="00DA1544" w:rsidRPr="00DA1544" w:rsidRDefault="00DA1544" w:rsidP="00DA1544">
      <w:pPr>
        <w:spacing w:after="120" w:line="240" w:lineRule="auto"/>
        <w:ind w:firstLine="708"/>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4530DF70" w14:textId="77777777" w:rsidR="00DA1544" w:rsidRPr="00DA1544" w:rsidRDefault="00DA1544" w:rsidP="00DA1544">
      <w:pPr>
        <w:spacing w:after="0" w:line="240" w:lineRule="auto"/>
        <w:ind w:left="3540"/>
        <w:jc w:val="center"/>
        <w:rPr>
          <w:rFonts w:ascii="Calibri" w:eastAsia="Times New Roman" w:hAnsi="Calibri" w:cs="Calibri"/>
          <w:sz w:val="28"/>
          <w:szCs w:val="28"/>
          <w:lang w:eastAsia="pl-PL"/>
        </w:rPr>
      </w:pPr>
    </w:p>
    <w:p w14:paraId="7EF8AD3E" w14:textId="7F5122BE" w:rsidR="00DA1544" w:rsidRPr="00DA1544" w:rsidRDefault="00DA1544" w:rsidP="00DA1544">
      <w:pPr>
        <w:spacing w:after="0" w:line="240" w:lineRule="auto"/>
        <w:ind w:left="3540"/>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z up. BURMISTRZA</w:t>
      </w:r>
    </w:p>
    <w:p w14:paraId="251B1065" w14:textId="77777777" w:rsidR="00DA1544" w:rsidRPr="00DA1544" w:rsidRDefault="00DA1544" w:rsidP="00DA1544">
      <w:pPr>
        <w:spacing w:after="0" w:line="240" w:lineRule="auto"/>
        <w:ind w:left="3540"/>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Katarzyna Bednarowicz</w:t>
      </w:r>
    </w:p>
    <w:p w14:paraId="1A50C9B0" w14:textId="77777777" w:rsidR="00DA1544" w:rsidRPr="00DA1544" w:rsidRDefault="00DA1544" w:rsidP="00DA1544">
      <w:pPr>
        <w:spacing w:after="0" w:line="240" w:lineRule="auto"/>
        <w:ind w:left="3540"/>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naczelnik Pionu Gospodarowania</w:t>
      </w:r>
    </w:p>
    <w:p w14:paraId="285613FF" w14:textId="77777777" w:rsidR="00DA1544" w:rsidRPr="00DA1544" w:rsidRDefault="00DA1544" w:rsidP="00DA1544">
      <w:pPr>
        <w:spacing w:after="0" w:line="240" w:lineRule="auto"/>
        <w:ind w:left="3540"/>
        <w:jc w:val="center"/>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Przestrzenią i Środowiskiem</w:t>
      </w:r>
    </w:p>
    <w:p w14:paraId="704F928C" w14:textId="77777777" w:rsidR="00DA1544" w:rsidRPr="00DA1544" w:rsidRDefault="00DA1544" w:rsidP="00DA1544">
      <w:pPr>
        <w:spacing w:after="0" w:line="240" w:lineRule="auto"/>
        <w:rPr>
          <w:rFonts w:ascii="Calibri" w:eastAsia="Times New Roman" w:hAnsi="Calibri" w:cs="Calibri"/>
          <w:sz w:val="28"/>
          <w:szCs w:val="28"/>
          <w:lang w:eastAsia="pl-PL"/>
        </w:rPr>
      </w:pPr>
    </w:p>
    <w:p w14:paraId="37B609B5" w14:textId="77777777" w:rsidR="00DA1544" w:rsidRPr="00DA1544" w:rsidRDefault="00DA1544" w:rsidP="00DA1544">
      <w:pPr>
        <w:spacing w:after="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Sprawę prowadzi:</w:t>
      </w:r>
    </w:p>
    <w:p w14:paraId="5D9F408A" w14:textId="77777777" w:rsidR="00DA1544" w:rsidRPr="00DA1544" w:rsidRDefault="00DA1544" w:rsidP="00DA1544">
      <w:pPr>
        <w:spacing w:after="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Małgorzata Borowska</w:t>
      </w:r>
    </w:p>
    <w:p w14:paraId="417BDB87" w14:textId="77777777" w:rsidR="00DA1544" w:rsidRPr="00DA1544" w:rsidRDefault="00DA1544" w:rsidP="00DA1544">
      <w:pPr>
        <w:spacing w:after="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inspektor</w:t>
      </w:r>
    </w:p>
    <w:p w14:paraId="47A1AB60" w14:textId="77777777" w:rsidR="00DA1544" w:rsidRPr="00DA1544" w:rsidRDefault="00DA1544" w:rsidP="00DA1544">
      <w:pPr>
        <w:spacing w:after="12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tel. 61 28 47 140</w:t>
      </w:r>
    </w:p>
    <w:p w14:paraId="203859D8" w14:textId="77777777" w:rsidR="00DA1544" w:rsidRPr="00DA1544" w:rsidRDefault="00DA1544" w:rsidP="00DA1544">
      <w:pPr>
        <w:spacing w:after="0" w:line="240" w:lineRule="auto"/>
        <w:rPr>
          <w:rFonts w:ascii="Calibri" w:eastAsia="Times New Roman" w:hAnsi="Calibri" w:cs="Calibri"/>
          <w:kern w:val="2"/>
          <w:sz w:val="28"/>
          <w:szCs w:val="28"/>
          <w:lang w:eastAsia="pl-PL"/>
          <w14:ligatures w14:val="standardContextual"/>
        </w:rPr>
      </w:pPr>
    </w:p>
    <w:p w14:paraId="2CDB7063" w14:textId="77777777" w:rsidR="00DA1544" w:rsidRPr="00DA1544" w:rsidRDefault="00DA1544" w:rsidP="00DA1544">
      <w:pPr>
        <w:spacing w:after="0" w:line="240" w:lineRule="auto"/>
        <w:rPr>
          <w:rFonts w:ascii="Calibri" w:eastAsia="Times New Roman" w:hAnsi="Calibri" w:cs="Calibri"/>
          <w:kern w:val="2"/>
          <w:sz w:val="28"/>
          <w:szCs w:val="28"/>
          <w:lang w:eastAsia="pl-PL"/>
          <w14:ligatures w14:val="standardContextual"/>
        </w:rPr>
      </w:pPr>
      <w:r w:rsidRPr="00DA1544">
        <w:rPr>
          <w:rFonts w:ascii="Calibri" w:eastAsia="Times New Roman" w:hAnsi="Calibri" w:cs="Calibri"/>
          <w:kern w:val="2"/>
          <w:sz w:val="28"/>
          <w:szCs w:val="28"/>
          <w:lang w:eastAsia="pl-PL"/>
          <w14:ligatures w14:val="standardContextual"/>
        </w:rPr>
        <w:t>Otrzymują:</w:t>
      </w:r>
    </w:p>
    <w:p w14:paraId="7973534A" w14:textId="77777777" w:rsidR="00DA1544" w:rsidRPr="00DA1544" w:rsidRDefault="00DA1544" w:rsidP="00DA1544">
      <w:pPr>
        <w:numPr>
          <w:ilvl w:val="0"/>
          <w:numId w:val="17"/>
        </w:numPr>
        <w:spacing w:after="0" w:line="240" w:lineRule="auto"/>
        <w:ind w:left="284" w:hanging="284"/>
        <w:contextualSpacing/>
        <w:rPr>
          <w:rFonts w:ascii="Calibri" w:eastAsia="Times New Roman" w:hAnsi="Calibri" w:cs="Calibri"/>
          <w:bCs/>
          <w:kern w:val="2"/>
          <w:sz w:val="28"/>
          <w:szCs w:val="28"/>
          <w:lang w:eastAsia="pl-PL"/>
          <w14:ligatures w14:val="standardContextual"/>
        </w:rPr>
      </w:pPr>
      <w:bookmarkStart w:id="8" w:name="_Hlk181600933"/>
      <w:r w:rsidRPr="00DA1544">
        <w:rPr>
          <w:rFonts w:ascii="Calibri" w:eastAsia="Times New Roman" w:hAnsi="Calibri" w:cs="Calibri"/>
          <w:bCs/>
          <w:kern w:val="2"/>
          <w:sz w:val="28"/>
          <w:szCs w:val="28"/>
          <w:lang w:eastAsia="pl-PL"/>
          <w14:ligatures w14:val="standardContextual"/>
        </w:rPr>
        <w:t>Strony postępowania:</w:t>
      </w:r>
    </w:p>
    <w:p w14:paraId="584F291B" w14:textId="77777777" w:rsidR="00DA1544" w:rsidRPr="00DA1544" w:rsidRDefault="00DA1544" w:rsidP="00DA1544">
      <w:pPr>
        <w:numPr>
          <w:ilvl w:val="0"/>
          <w:numId w:val="14"/>
        </w:numPr>
        <w:spacing w:after="0" w:line="240" w:lineRule="auto"/>
        <w:ind w:left="284" w:hanging="284"/>
        <w:contextualSpacing/>
        <w:rPr>
          <w:rFonts w:ascii="Calibri" w:eastAsia="Calibri" w:hAnsi="Calibri" w:cs="Calibri"/>
          <w:kern w:val="2"/>
          <w:sz w:val="28"/>
          <w:szCs w:val="28"/>
          <w14:ligatures w14:val="standardContextual"/>
        </w:rPr>
      </w:pPr>
      <w:r w:rsidRPr="00DA1544">
        <w:rPr>
          <w:rFonts w:ascii="Calibri" w:eastAsia="Calibri" w:hAnsi="Calibri" w:cs="Calibri"/>
          <w:kern w:val="2"/>
          <w:sz w:val="28"/>
          <w:szCs w:val="28"/>
          <w14:ligatures w14:val="standardContextual"/>
        </w:rPr>
        <w:t>Pani Grażyna Kaczmarek, „Transal” Grażyna Kaczmarek”, ul. Śremska 20, 63-100 Dąbrowa</w:t>
      </w:r>
    </w:p>
    <w:p w14:paraId="6FE8C7F3" w14:textId="77777777" w:rsidR="00DA1544" w:rsidRPr="00DA1544" w:rsidRDefault="00DA1544" w:rsidP="00DA1544">
      <w:pPr>
        <w:numPr>
          <w:ilvl w:val="0"/>
          <w:numId w:val="14"/>
        </w:numPr>
        <w:spacing w:after="0" w:line="240" w:lineRule="auto"/>
        <w:ind w:left="284" w:hanging="284"/>
        <w:contextualSpacing/>
        <w:rPr>
          <w:rFonts w:ascii="Calibri" w:eastAsia="Calibri" w:hAnsi="Calibri" w:cs="Calibri"/>
          <w:kern w:val="2"/>
          <w:sz w:val="28"/>
          <w:szCs w:val="28"/>
          <w14:ligatures w14:val="standardContextual"/>
        </w:rPr>
      </w:pPr>
      <w:r w:rsidRPr="00DA1544">
        <w:rPr>
          <w:rFonts w:ascii="Calibri" w:eastAsia="Times New Roman" w:hAnsi="Calibri" w:cs="Calibri"/>
          <w:bCs/>
          <w:kern w:val="2"/>
          <w:sz w:val="28"/>
          <w:szCs w:val="28"/>
          <w:lang w:eastAsia="pl-PL"/>
          <w14:ligatures w14:val="standardContextual"/>
        </w:rPr>
        <w:t xml:space="preserve">Pozostałe strony postępowania przez obwieszczenie, zgodnie z art. 74 ust. 3 </w:t>
      </w:r>
      <w:bookmarkEnd w:id="8"/>
      <w:r w:rsidRPr="00DA1544">
        <w:rPr>
          <w:rFonts w:ascii="Calibri" w:eastAsia="Times New Roman" w:hAnsi="Calibri" w:cs="Calibri"/>
          <w:kern w:val="2"/>
          <w:sz w:val="28"/>
          <w:szCs w:val="28"/>
          <w:lang w:eastAsia="pl-PL"/>
          <w14:ligatures w14:val="standardContextual"/>
        </w:rPr>
        <w:t>u.o.o.ś.</w:t>
      </w:r>
    </w:p>
    <w:p w14:paraId="504B98A2" w14:textId="77777777" w:rsidR="00DA1544" w:rsidRPr="00DA1544" w:rsidRDefault="00DA1544" w:rsidP="00DA1544">
      <w:pPr>
        <w:numPr>
          <w:ilvl w:val="0"/>
          <w:numId w:val="17"/>
        </w:numPr>
        <w:spacing w:after="0" w:line="240" w:lineRule="auto"/>
        <w:ind w:left="284" w:hanging="284"/>
        <w:contextualSpacing/>
        <w:rPr>
          <w:rFonts w:ascii="Calibri" w:eastAsia="Calibri" w:hAnsi="Calibri" w:cs="Calibri"/>
          <w:bCs/>
          <w:kern w:val="2"/>
          <w:sz w:val="28"/>
          <w:szCs w:val="28"/>
          <w14:ligatures w14:val="standardContextual"/>
        </w:rPr>
      </w:pPr>
      <w:r w:rsidRPr="00DA1544">
        <w:rPr>
          <w:rFonts w:ascii="Calibri" w:eastAsia="Calibri" w:hAnsi="Calibri" w:cs="Calibri"/>
          <w:bCs/>
          <w:kern w:val="2"/>
          <w:sz w:val="28"/>
          <w:szCs w:val="28"/>
          <w14:ligatures w14:val="standardContextual"/>
        </w:rPr>
        <w:t>aa</w:t>
      </w:r>
    </w:p>
    <w:p w14:paraId="7F2B534B" w14:textId="77777777" w:rsidR="00DA1544" w:rsidRPr="00DA1544" w:rsidRDefault="00DA1544" w:rsidP="00DA1544">
      <w:pPr>
        <w:spacing w:after="0" w:line="240" w:lineRule="auto"/>
        <w:rPr>
          <w:rFonts w:ascii="Calibri" w:eastAsia="Times New Roman" w:hAnsi="Calibri" w:cs="Calibri"/>
          <w:sz w:val="28"/>
          <w:szCs w:val="28"/>
          <w:lang w:eastAsia="pl-PL"/>
        </w:rPr>
      </w:pPr>
    </w:p>
    <w:p w14:paraId="3C275949" w14:textId="77777777" w:rsidR="00DA1544" w:rsidRPr="00DA1544" w:rsidRDefault="00DA1544" w:rsidP="00DA1544">
      <w:pPr>
        <w:spacing w:after="0" w:line="240" w:lineRule="auto"/>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Do wiadomości:</w:t>
      </w:r>
    </w:p>
    <w:p w14:paraId="4C9914DE" w14:textId="77777777" w:rsidR="00DA1544" w:rsidRPr="00DA1544" w:rsidRDefault="00DA1544" w:rsidP="00DA1544">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Regionalny Dyrektor Ochrony Środowiska w Poznaniu (ePUAP)</w:t>
      </w:r>
    </w:p>
    <w:p w14:paraId="27C27033" w14:textId="77777777" w:rsidR="00DA1544" w:rsidRPr="00DA1544" w:rsidRDefault="00DA1544" w:rsidP="00DA1544">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DA1544">
        <w:rPr>
          <w:rFonts w:ascii="Calibri" w:eastAsia="Times New Roman" w:hAnsi="Calibri" w:cs="Calibri"/>
          <w:sz w:val="28"/>
          <w:szCs w:val="28"/>
          <w:lang w:eastAsia="pl-PL"/>
        </w:rPr>
        <w:t>Dyrektor Zarządu Zlewni Państwowego Gospodarstwa Wodnego Wody Polskie w Poznaniu (ePUAP)</w:t>
      </w:r>
    </w:p>
    <w:p w14:paraId="69572F6A" w14:textId="77777777" w:rsidR="00DA1544" w:rsidRPr="00DA1544" w:rsidRDefault="00DA1544" w:rsidP="00DA1544">
      <w:pPr>
        <w:spacing w:after="120" w:line="240" w:lineRule="auto"/>
        <w:rPr>
          <w:rFonts w:ascii="Calibri" w:eastAsia="Calibri" w:hAnsi="Calibri" w:cs="Calibri"/>
          <w:sz w:val="28"/>
          <w:szCs w:val="28"/>
        </w:rPr>
      </w:pPr>
    </w:p>
    <w:p w14:paraId="2F9DADA9" w14:textId="7C5C36A2" w:rsidR="00053E5A" w:rsidRPr="00DB7013" w:rsidRDefault="00053E5A" w:rsidP="00DA1544">
      <w:pPr>
        <w:tabs>
          <w:tab w:val="left" w:pos="1985"/>
        </w:tabs>
        <w:spacing w:after="0" w:line="240" w:lineRule="auto"/>
        <w:ind w:right="5810"/>
        <w:jc w:val="center"/>
        <w:rPr>
          <w:rFonts w:cstheme="minorHAnsi"/>
          <w:sz w:val="28"/>
          <w:szCs w:val="28"/>
        </w:rPr>
      </w:pPr>
    </w:p>
    <w:sectPr w:rsidR="00053E5A" w:rsidRPr="00DB7013" w:rsidSect="00BD2D28">
      <w:headerReference w:type="default"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06C6D" w14:textId="77777777" w:rsidR="00202DF7" w:rsidRDefault="00202DF7" w:rsidP="00053E5A">
      <w:pPr>
        <w:spacing w:after="0" w:line="240" w:lineRule="auto"/>
      </w:pPr>
      <w:r>
        <w:separator/>
      </w:r>
    </w:p>
  </w:endnote>
  <w:endnote w:type="continuationSeparator" w:id="0">
    <w:p w14:paraId="56D40B5A" w14:textId="77777777" w:rsidR="00202DF7" w:rsidRDefault="00202DF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55E63A6D" w:rsidR="00945706" w:rsidRPr="00A8643E" w:rsidRDefault="00945706" w:rsidP="00A8643E">
    <w:pPr>
      <w:pStyle w:val="Stopka"/>
      <w:tabs>
        <w:tab w:val="clear" w:pos="4536"/>
        <w:tab w:val="left" w:pos="4005"/>
        <w:tab w:val="left" w:pos="7110"/>
      </w:tabs>
      <w:jc w:val="center"/>
      <w:rPr>
        <w:sz w:val="28"/>
        <w:szCs w:val="28"/>
      </w:rPr>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A8643E" w:rsidRPr="00A8643E">
      <w:rPr>
        <w:sz w:val="28"/>
        <w:szCs w:val="28"/>
      </w:rPr>
      <w:t>1 z 1</w:t>
    </w:r>
    <w:r w:rsidR="00DA1544">
      <w:rPr>
        <w:sz w:val="28"/>
        <w:szCs w:val="28"/>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3A03E" w14:textId="77777777" w:rsidR="00202DF7" w:rsidRDefault="00202DF7" w:rsidP="00053E5A">
      <w:pPr>
        <w:spacing w:after="0" w:line="240" w:lineRule="auto"/>
      </w:pPr>
      <w:r>
        <w:separator/>
      </w:r>
    </w:p>
  </w:footnote>
  <w:footnote w:type="continuationSeparator" w:id="0">
    <w:p w14:paraId="5EAB67F3" w14:textId="77777777" w:rsidR="00202DF7" w:rsidRDefault="00202DF7" w:rsidP="00053E5A">
      <w:pPr>
        <w:spacing w:after="0" w:line="240" w:lineRule="auto"/>
      </w:pPr>
      <w:r>
        <w:continuationSeparator/>
      </w:r>
    </w:p>
  </w:footnote>
  <w:footnote w:id="1">
    <w:p w14:paraId="5E7F2525" w14:textId="77777777" w:rsidR="00DA1544" w:rsidRPr="0054101B" w:rsidRDefault="00DA1544" w:rsidP="00DA1544">
      <w:pPr>
        <w:pStyle w:val="Tekstprzypisudolnego"/>
        <w:rPr>
          <w:rFonts w:cs="Calibri"/>
          <w:sz w:val="28"/>
          <w:szCs w:val="28"/>
        </w:rPr>
      </w:pPr>
      <w:r w:rsidRPr="0054101B">
        <w:rPr>
          <w:rStyle w:val="Odwoanieprzypisudolnego"/>
          <w:rFonts w:cs="Calibri"/>
          <w:sz w:val="28"/>
          <w:szCs w:val="28"/>
        </w:rPr>
        <w:footnoteRef/>
      </w:r>
      <w:r w:rsidRPr="0054101B">
        <w:rPr>
          <w:rFonts w:cs="Calibri"/>
          <w:sz w:val="28"/>
          <w:szCs w:val="28"/>
        </w:rPr>
        <w:t xml:space="preserve"> wydobywanie kopalin ze złoża metodą odkrywkową o powierzchni obszaru górniczego nie mniejszej niż 25 ha</w:t>
      </w:r>
    </w:p>
  </w:footnote>
  <w:footnote w:id="2">
    <w:p w14:paraId="4EC0F646" w14:textId="77777777" w:rsidR="00DA1544" w:rsidRPr="00DA1544" w:rsidRDefault="00DA1544" w:rsidP="00DA1544">
      <w:pPr>
        <w:pStyle w:val="Tekstprzypisudolnego"/>
        <w:rPr>
          <w:rFonts w:cs="Calibri"/>
          <w:sz w:val="28"/>
          <w:szCs w:val="28"/>
        </w:rPr>
      </w:pPr>
      <w:r w:rsidRPr="00D616C0">
        <w:rPr>
          <w:rStyle w:val="Odwoanieprzypisudolnego"/>
          <w:rFonts w:cs="Calibri"/>
          <w:sz w:val="28"/>
          <w:szCs w:val="28"/>
        </w:rPr>
        <w:footnoteRef/>
      </w:r>
      <w:r w:rsidRPr="00D616C0">
        <w:rPr>
          <w:rFonts w:cs="Calibri"/>
          <w:sz w:val="28"/>
          <w:szCs w:val="28"/>
        </w:rPr>
        <w:t xml:space="preserve"> jednolite części wód podziemnych o </w:t>
      </w:r>
      <w:r w:rsidRPr="00DA1544">
        <w:rPr>
          <w:rFonts w:cs="Calibri"/>
          <w:sz w:val="28"/>
          <w:szCs w:val="28"/>
        </w:rPr>
        <w:t>kodzie GW600060 i jednolite części wód powierzchniowych rzecznych o kodzie RW60001218573 – Warta od Młyniska do Kopli</w:t>
      </w:r>
    </w:p>
  </w:footnote>
  <w:footnote w:id="3">
    <w:p w14:paraId="5BB4C29B" w14:textId="77777777" w:rsidR="00DA1544" w:rsidRPr="004040BB" w:rsidRDefault="00DA1544" w:rsidP="00DA1544">
      <w:pPr>
        <w:pStyle w:val="Tekstprzypisudolnego"/>
        <w:rPr>
          <w:rFonts w:cs="Calibri"/>
          <w:sz w:val="28"/>
          <w:szCs w:val="28"/>
        </w:rPr>
      </w:pPr>
      <w:r w:rsidRPr="00DA1544">
        <w:rPr>
          <w:rStyle w:val="Odwoanieprzypisudolnego"/>
          <w:rFonts w:cs="Calibri"/>
          <w:sz w:val="28"/>
          <w:szCs w:val="28"/>
        </w:rPr>
        <w:footnoteRef/>
      </w:r>
      <w:r w:rsidRPr="00DA1544">
        <w:rPr>
          <w:rFonts w:cs="Calibri"/>
          <w:sz w:val="28"/>
          <w:szCs w:val="28"/>
        </w:rPr>
        <w:t xml:space="preserve"> Rozporządzenie Ministra Infrastruktury z dnia 16 listopada 2022</w:t>
      </w:r>
      <w:r w:rsidRPr="00D616C0">
        <w:rPr>
          <w:rFonts w:cs="Calibri"/>
          <w:sz w:val="28"/>
          <w:szCs w:val="28"/>
        </w:rPr>
        <w:t xml:space="preserve"> r. w sprawie Planu gospodarowania wodami na obszarze dorzecza Odry (Dz. U. z 2023 r. poz. 335)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7D2"/>
    <w:multiLevelType w:val="hybridMultilevel"/>
    <w:tmpl w:val="17D46BE2"/>
    <w:lvl w:ilvl="0" w:tplc="B2366426">
      <w:start w:val="4"/>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A9030A"/>
    <w:multiLevelType w:val="hybridMultilevel"/>
    <w:tmpl w:val="42DA1F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B84F1F"/>
    <w:multiLevelType w:val="hybridMultilevel"/>
    <w:tmpl w:val="8E1C38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200E3B"/>
    <w:multiLevelType w:val="hybridMultilevel"/>
    <w:tmpl w:val="0ED66B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28161E9E"/>
    <w:multiLevelType w:val="hybridMultilevel"/>
    <w:tmpl w:val="8AE287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2B6F7B9A"/>
    <w:multiLevelType w:val="hybridMultilevel"/>
    <w:tmpl w:val="AE8EFE1C"/>
    <w:lvl w:ilvl="0" w:tplc="B91AD0CA">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8465D"/>
    <w:multiLevelType w:val="hybridMultilevel"/>
    <w:tmpl w:val="7324B9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599454D0"/>
    <w:multiLevelType w:val="hybridMultilevel"/>
    <w:tmpl w:val="6E425136"/>
    <w:lvl w:ilvl="0" w:tplc="04150011">
      <w:start w:val="1"/>
      <w:numFmt w:val="decimal"/>
      <w:lvlText w:val="%1)"/>
      <w:lvlJc w:val="left"/>
      <w:pPr>
        <w:ind w:left="447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5F533B51"/>
    <w:multiLevelType w:val="hybridMultilevel"/>
    <w:tmpl w:val="E482DCE6"/>
    <w:lvl w:ilvl="0" w:tplc="00A05F6E">
      <w:start w:val="1"/>
      <w:numFmt w:val="decimal"/>
      <w:lvlText w:val="%1."/>
      <w:lvlJc w:val="left"/>
      <w:pPr>
        <w:ind w:left="3479" w:hanging="360"/>
      </w:pPr>
      <w:rPr>
        <w:b w:val="0"/>
      </w:rPr>
    </w:lvl>
    <w:lvl w:ilvl="1" w:tplc="04150019" w:tentative="1">
      <w:start w:val="1"/>
      <w:numFmt w:val="lowerLetter"/>
      <w:lvlText w:val="%2."/>
      <w:lvlJc w:val="left"/>
      <w:pPr>
        <w:ind w:left="4133" w:hanging="360"/>
      </w:pPr>
    </w:lvl>
    <w:lvl w:ilvl="2" w:tplc="0415001B" w:tentative="1">
      <w:start w:val="1"/>
      <w:numFmt w:val="lowerRoman"/>
      <w:lvlText w:val="%3."/>
      <w:lvlJc w:val="right"/>
      <w:pPr>
        <w:ind w:left="4853" w:hanging="180"/>
      </w:pPr>
    </w:lvl>
    <w:lvl w:ilvl="3" w:tplc="0415000F" w:tentative="1">
      <w:start w:val="1"/>
      <w:numFmt w:val="decimal"/>
      <w:lvlText w:val="%4."/>
      <w:lvlJc w:val="left"/>
      <w:pPr>
        <w:ind w:left="5573" w:hanging="360"/>
      </w:pPr>
    </w:lvl>
    <w:lvl w:ilvl="4" w:tplc="04150019" w:tentative="1">
      <w:start w:val="1"/>
      <w:numFmt w:val="lowerLetter"/>
      <w:lvlText w:val="%5."/>
      <w:lvlJc w:val="left"/>
      <w:pPr>
        <w:ind w:left="6293" w:hanging="360"/>
      </w:pPr>
    </w:lvl>
    <w:lvl w:ilvl="5" w:tplc="0415001B" w:tentative="1">
      <w:start w:val="1"/>
      <w:numFmt w:val="lowerRoman"/>
      <w:lvlText w:val="%6."/>
      <w:lvlJc w:val="right"/>
      <w:pPr>
        <w:ind w:left="7013" w:hanging="180"/>
      </w:pPr>
    </w:lvl>
    <w:lvl w:ilvl="6" w:tplc="0415000F" w:tentative="1">
      <w:start w:val="1"/>
      <w:numFmt w:val="decimal"/>
      <w:lvlText w:val="%7."/>
      <w:lvlJc w:val="left"/>
      <w:pPr>
        <w:ind w:left="7733" w:hanging="360"/>
      </w:pPr>
    </w:lvl>
    <w:lvl w:ilvl="7" w:tplc="04150019" w:tentative="1">
      <w:start w:val="1"/>
      <w:numFmt w:val="lowerLetter"/>
      <w:lvlText w:val="%8."/>
      <w:lvlJc w:val="left"/>
      <w:pPr>
        <w:ind w:left="8453" w:hanging="360"/>
      </w:pPr>
    </w:lvl>
    <w:lvl w:ilvl="8" w:tplc="0415001B" w:tentative="1">
      <w:start w:val="1"/>
      <w:numFmt w:val="lowerRoman"/>
      <w:lvlText w:val="%9."/>
      <w:lvlJc w:val="right"/>
      <w:pPr>
        <w:ind w:left="9173" w:hanging="180"/>
      </w:pPr>
    </w:lvl>
  </w:abstractNum>
  <w:abstractNum w:abstractNumId="11"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675900EC"/>
    <w:multiLevelType w:val="hybridMultilevel"/>
    <w:tmpl w:val="87F082F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677118F6"/>
    <w:multiLevelType w:val="hybridMultilevel"/>
    <w:tmpl w:val="9F16B4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72D40983"/>
    <w:multiLevelType w:val="hybridMultilevel"/>
    <w:tmpl w:val="2EF49A9E"/>
    <w:lvl w:ilvl="0" w:tplc="04150011">
      <w:start w:val="1"/>
      <w:numFmt w:val="decimal"/>
      <w:lvlText w:val="%1)"/>
      <w:lvlJc w:val="left"/>
      <w:pPr>
        <w:ind w:left="785"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762071F9"/>
    <w:multiLevelType w:val="hybridMultilevel"/>
    <w:tmpl w:val="5D02756A"/>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219436">
    <w:abstractNumId w:val="16"/>
  </w:num>
  <w:num w:numId="2" w16cid:durableId="1573463217">
    <w:abstractNumId w:val="10"/>
  </w:num>
  <w:num w:numId="3" w16cid:durableId="1176190658">
    <w:abstractNumId w:val="8"/>
  </w:num>
  <w:num w:numId="4" w16cid:durableId="1465394026">
    <w:abstractNumId w:val="11"/>
  </w:num>
  <w:num w:numId="5" w16cid:durableId="1492865540">
    <w:abstractNumId w:val="12"/>
  </w:num>
  <w:num w:numId="6" w16cid:durableId="883949882">
    <w:abstractNumId w:val="4"/>
  </w:num>
  <w:num w:numId="7" w16cid:durableId="716514752">
    <w:abstractNumId w:val="3"/>
  </w:num>
  <w:num w:numId="8" w16cid:durableId="2026518415">
    <w:abstractNumId w:val="6"/>
  </w:num>
  <w:num w:numId="9" w16cid:durableId="502164781">
    <w:abstractNumId w:val="1"/>
  </w:num>
  <w:num w:numId="10" w16cid:durableId="947080313">
    <w:abstractNumId w:val="2"/>
  </w:num>
  <w:num w:numId="11" w16cid:durableId="2136555450">
    <w:abstractNumId w:val="13"/>
  </w:num>
  <w:num w:numId="12" w16cid:durableId="2105227033">
    <w:abstractNumId w:val="7"/>
  </w:num>
  <w:num w:numId="13" w16cid:durableId="1064908950">
    <w:abstractNumId w:val="0"/>
  </w:num>
  <w:num w:numId="14" w16cid:durableId="670571236">
    <w:abstractNumId w:val="9"/>
  </w:num>
  <w:num w:numId="15" w16cid:durableId="210271863">
    <w:abstractNumId w:val="15"/>
  </w:num>
  <w:num w:numId="16" w16cid:durableId="1503006876">
    <w:abstractNumId w:val="14"/>
  </w:num>
  <w:num w:numId="17" w16cid:durableId="15072055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A0483"/>
    <w:rsid w:val="0010198A"/>
    <w:rsid w:val="00117B7C"/>
    <w:rsid w:val="00131D15"/>
    <w:rsid w:val="0013541C"/>
    <w:rsid w:val="00161A4A"/>
    <w:rsid w:val="00194C69"/>
    <w:rsid w:val="00202DF7"/>
    <w:rsid w:val="0021772C"/>
    <w:rsid w:val="00250690"/>
    <w:rsid w:val="0026640C"/>
    <w:rsid w:val="00377BC2"/>
    <w:rsid w:val="00436E4A"/>
    <w:rsid w:val="004519AC"/>
    <w:rsid w:val="00455EC2"/>
    <w:rsid w:val="004707E0"/>
    <w:rsid w:val="0048459B"/>
    <w:rsid w:val="004A287D"/>
    <w:rsid w:val="004F4DF9"/>
    <w:rsid w:val="0050534A"/>
    <w:rsid w:val="00525346"/>
    <w:rsid w:val="00574DAC"/>
    <w:rsid w:val="005811F1"/>
    <w:rsid w:val="005D3BC3"/>
    <w:rsid w:val="005E5887"/>
    <w:rsid w:val="005F048F"/>
    <w:rsid w:val="005F23DE"/>
    <w:rsid w:val="0069110E"/>
    <w:rsid w:val="006A6F3E"/>
    <w:rsid w:val="007362FC"/>
    <w:rsid w:val="00753E8F"/>
    <w:rsid w:val="007C6800"/>
    <w:rsid w:val="007E4B86"/>
    <w:rsid w:val="0081559F"/>
    <w:rsid w:val="00821EE6"/>
    <w:rsid w:val="00824B9A"/>
    <w:rsid w:val="00836D4F"/>
    <w:rsid w:val="008A0018"/>
    <w:rsid w:val="008C25BB"/>
    <w:rsid w:val="00906B66"/>
    <w:rsid w:val="00917C21"/>
    <w:rsid w:val="00942CED"/>
    <w:rsid w:val="00945706"/>
    <w:rsid w:val="009614DC"/>
    <w:rsid w:val="00A3679B"/>
    <w:rsid w:val="00A644E2"/>
    <w:rsid w:val="00A840F2"/>
    <w:rsid w:val="00A8643E"/>
    <w:rsid w:val="00A9726B"/>
    <w:rsid w:val="00AA77A4"/>
    <w:rsid w:val="00B91287"/>
    <w:rsid w:val="00BC1BCD"/>
    <w:rsid w:val="00BD2D28"/>
    <w:rsid w:val="00C452C1"/>
    <w:rsid w:val="00DA1544"/>
    <w:rsid w:val="00DB7013"/>
    <w:rsid w:val="00DE05E5"/>
    <w:rsid w:val="00E34C2B"/>
    <w:rsid w:val="00E57FFC"/>
    <w:rsid w:val="00F73B95"/>
    <w:rsid w:val="00F9415B"/>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Tekstprzypisudolnego1">
    <w:name w:val="Tekst przypisu dolnego1"/>
    <w:basedOn w:val="Normalny"/>
    <w:next w:val="Tekstprzypisudolnego"/>
    <w:link w:val="TekstprzypisudolnegoZnak"/>
    <w:uiPriority w:val="99"/>
    <w:semiHidden/>
    <w:unhideWhenUsed/>
    <w:rsid w:val="004707E0"/>
    <w:pPr>
      <w:spacing w:after="0" w:line="240" w:lineRule="auto"/>
      <w:jc w:val="both"/>
    </w:pPr>
    <w:rPr>
      <w:rFonts w:ascii="Calibri" w:hAnsi="Calibri" w:cs="Times New Roman"/>
      <w:sz w:val="20"/>
      <w:szCs w:val="20"/>
    </w:rPr>
  </w:style>
  <w:style w:type="character" w:customStyle="1" w:styleId="TekstprzypisudolnegoZnak">
    <w:name w:val="Tekst przypisu dolnego Znak"/>
    <w:basedOn w:val="Domylnaczcionkaakapitu"/>
    <w:link w:val="Tekstprzypisudolnego1"/>
    <w:uiPriority w:val="99"/>
    <w:semiHidden/>
    <w:rsid w:val="004707E0"/>
    <w:rPr>
      <w:rFonts w:ascii="Calibri" w:hAnsi="Calibri" w:cs="Times New Roman"/>
      <w:sz w:val="20"/>
      <w:szCs w:val="20"/>
    </w:rPr>
  </w:style>
  <w:style w:type="character" w:styleId="Odwoanieprzypisudolnego">
    <w:name w:val="footnote reference"/>
    <w:basedOn w:val="Domylnaczcionkaakapitu"/>
    <w:uiPriority w:val="99"/>
    <w:semiHidden/>
    <w:unhideWhenUsed/>
    <w:rsid w:val="004707E0"/>
    <w:rPr>
      <w:vertAlign w:val="superscript"/>
    </w:rPr>
  </w:style>
  <w:style w:type="paragraph" w:styleId="Tekstprzypisudolnego">
    <w:name w:val="footnote text"/>
    <w:basedOn w:val="Normalny"/>
    <w:link w:val="TekstprzypisudolnegoZnak1"/>
    <w:uiPriority w:val="99"/>
    <w:semiHidden/>
    <w:unhideWhenUsed/>
    <w:rsid w:val="004707E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4707E0"/>
    <w:rPr>
      <w:sz w:val="20"/>
      <w:szCs w:val="20"/>
    </w:rPr>
  </w:style>
  <w:style w:type="character" w:styleId="Hipercze">
    <w:name w:val="Hyperlink"/>
    <w:basedOn w:val="Domylnaczcionkaakapitu"/>
    <w:uiPriority w:val="99"/>
    <w:unhideWhenUsed/>
    <w:rsid w:val="00A8643E"/>
    <w:rPr>
      <w:color w:val="0000FF" w:themeColor="hyperlink"/>
      <w:u w:val="single"/>
    </w:rPr>
  </w:style>
  <w:style w:type="character" w:styleId="Nierozpoznanawzmianka">
    <w:name w:val="Unresolved Mention"/>
    <w:basedOn w:val="Domylnaczcionkaakapitu"/>
    <w:uiPriority w:val="99"/>
    <w:semiHidden/>
    <w:unhideWhenUsed/>
    <w:rsid w:val="00A86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569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5255</Words>
  <Characters>31535</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22</cp:revision>
  <cp:lastPrinted>2025-01-31T06:46:00Z</cp:lastPrinted>
  <dcterms:created xsi:type="dcterms:W3CDTF">2023-01-05T08:58:00Z</dcterms:created>
  <dcterms:modified xsi:type="dcterms:W3CDTF">2025-07-14T07:41:00Z</dcterms:modified>
</cp:coreProperties>
</file>