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419C1" w14:textId="77777777" w:rsidR="00C5592F" w:rsidRDefault="00C5592F" w:rsidP="00C5592F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59776" behindDoc="0" locked="0" layoutInCell="1" allowOverlap="0" wp14:anchorId="53D7D08A" wp14:editId="68067AE0">
            <wp:simplePos x="0" y="0"/>
            <wp:positionH relativeFrom="column">
              <wp:posOffset>52070</wp:posOffset>
            </wp:positionH>
            <wp:positionV relativeFrom="paragraph">
              <wp:posOffset>93345</wp:posOffset>
            </wp:positionV>
            <wp:extent cx="1167130" cy="16192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44CCBA0F" w14:textId="77777777" w:rsidR="00C5592F" w:rsidRPr="007F3ABA" w:rsidRDefault="00C5592F" w:rsidP="00C5592F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5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7D0AAD15" w14:textId="77777777" w:rsidR="00C5592F" w:rsidRPr="00120C54" w:rsidRDefault="00C5592F" w:rsidP="00C5592F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1D9F0474" w14:textId="77777777" w:rsidR="00C5592F" w:rsidRDefault="00C5592F" w:rsidP="00C5592F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35 ust. 1 i 2 ustawy z dnia 21 sierpnia 1997 r. o gospodarce nieruchomościami (Dz. U. z 2024 r. poz. 1145 ze zm.)</w:t>
      </w:r>
    </w:p>
    <w:p w14:paraId="787A997F" w14:textId="77777777" w:rsidR="00C5592F" w:rsidRDefault="00C5592F" w:rsidP="00C5592F">
      <w:pPr>
        <w:tabs>
          <w:tab w:val="left" w:pos="6300"/>
        </w:tabs>
        <w:spacing w:line="360" w:lineRule="exact"/>
        <w:jc w:val="center"/>
        <w:rPr>
          <w:rFonts w:cstheme="minorHAnsi"/>
          <w:bCs/>
          <w:sz w:val="32"/>
          <w:szCs w:val="32"/>
        </w:rPr>
      </w:pPr>
    </w:p>
    <w:p w14:paraId="125FA8A8" w14:textId="77777777" w:rsidR="00C5592F" w:rsidRDefault="00C5592F" w:rsidP="00C5592F">
      <w:pPr>
        <w:tabs>
          <w:tab w:val="left" w:pos="5812"/>
        </w:tabs>
        <w:spacing w:line="360" w:lineRule="exact"/>
        <w:ind w:firstLine="2127"/>
        <w:jc w:val="both"/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t>WYKAZ</w:t>
      </w:r>
    </w:p>
    <w:p w14:paraId="7AD5F0E5" w14:textId="77777777" w:rsidR="00C5592F" w:rsidRDefault="00C5592F" w:rsidP="00C5592F">
      <w:pPr>
        <w:tabs>
          <w:tab w:val="left" w:pos="6300"/>
        </w:tabs>
        <w:spacing w:line="360" w:lineRule="exact"/>
        <w:jc w:val="center"/>
        <w:rPr>
          <w:rFonts w:cstheme="minorHAnsi"/>
          <w:bCs/>
          <w:sz w:val="32"/>
          <w:szCs w:val="32"/>
        </w:rPr>
      </w:pPr>
    </w:p>
    <w:p w14:paraId="7C878669" w14:textId="77777777" w:rsidR="00C5592F" w:rsidRPr="00DD2B2B" w:rsidRDefault="00C5592F" w:rsidP="00C5592F">
      <w:pPr>
        <w:tabs>
          <w:tab w:val="left" w:pos="6300"/>
        </w:tabs>
        <w:spacing w:line="360" w:lineRule="exact"/>
        <w:ind w:firstLine="1276"/>
        <w:jc w:val="both"/>
        <w:rPr>
          <w:rFonts w:cstheme="minorHAnsi"/>
          <w:bCs/>
          <w:sz w:val="32"/>
          <w:szCs w:val="32"/>
        </w:rPr>
      </w:pPr>
      <w:r w:rsidRPr="00DD2B2B">
        <w:rPr>
          <w:rFonts w:cstheme="minorHAnsi"/>
          <w:bCs/>
          <w:sz w:val="32"/>
          <w:szCs w:val="32"/>
        </w:rPr>
        <w:t>BURMISTRZ ŚREMU</w:t>
      </w:r>
    </w:p>
    <w:p w14:paraId="763C68D8" w14:textId="77777777" w:rsidR="00C5592F" w:rsidRPr="00DD2B2B" w:rsidRDefault="00C5592F" w:rsidP="00C5592F">
      <w:pPr>
        <w:jc w:val="both"/>
        <w:rPr>
          <w:rFonts w:cstheme="minorHAnsi"/>
          <w:bCs/>
          <w:sz w:val="8"/>
          <w:szCs w:val="8"/>
        </w:rPr>
      </w:pPr>
    </w:p>
    <w:p w14:paraId="54A8DAF2" w14:textId="0A506D3C" w:rsidR="00C5592F" w:rsidRDefault="00C5592F" w:rsidP="00C5592F">
      <w:pPr>
        <w:rPr>
          <w:rFonts w:asciiTheme="minorHAnsi" w:hAnsiTheme="minorHAnsi" w:cstheme="minorHAnsi"/>
          <w:szCs w:val="20"/>
        </w:rPr>
      </w:pPr>
      <w:r w:rsidRPr="00F76AC5">
        <w:rPr>
          <w:rFonts w:asciiTheme="minorHAnsi" w:hAnsiTheme="minorHAnsi" w:cstheme="minorHAnsi"/>
          <w:szCs w:val="20"/>
        </w:rPr>
        <w:t>informuje, że przeznaczona została do sprzedaży w trybie bezprzetargowym na</w:t>
      </w:r>
      <w:r>
        <w:rPr>
          <w:rFonts w:asciiTheme="minorHAnsi" w:hAnsiTheme="minorHAnsi" w:cstheme="minorHAnsi"/>
          <w:szCs w:val="20"/>
        </w:rPr>
        <w:t> </w:t>
      </w:r>
      <w:r w:rsidRPr="00F76AC5">
        <w:rPr>
          <w:rFonts w:asciiTheme="minorHAnsi" w:hAnsiTheme="minorHAnsi" w:cstheme="minorHAnsi"/>
          <w:szCs w:val="20"/>
        </w:rPr>
        <w:t>rzecz użytkownika wieczystego nieruchomość gruntowa, położona w</w:t>
      </w:r>
      <w:r w:rsidR="00454D8F">
        <w:rPr>
          <w:rFonts w:asciiTheme="minorHAnsi" w:hAnsiTheme="minorHAnsi" w:cstheme="minorHAnsi"/>
          <w:szCs w:val="20"/>
        </w:rPr>
        <w:t> </w:t>
      </w:r>
      <w:proofErr w:type="spellStart"/>
      <w:r w:rsidR="00850E5E">
        <w:rPr>
          <w:rFonts w:asciiTheme="minorHAnsi" w:hAnsiTheme="minorHAnsi" w:cstheme="minorHAnsi"/>
          <w:szCs w:val="20"/>
        </w:rPr>
        <w:t>Orkowie</w:t>
      </w:r>
      <w:proofErr w:type="spellEnd"/>
    </w:p>
    <w:p w14:paraId="6CE461A9" w14:textId="77777777" w:rsidR="00C5592F" w:rsidRDefault="00C5592F" w:rsidP="00C559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108371E1" w14:textId="77777777" w:rsidR="00C5592F" w:rsidRPr="00F76AC5" w:rsidRDefault="00C5592F" w:rsidP="00C5592F">
      <w:pPr>
        <w:jc w:val="both"/>
        <w:rPr>
          <w:rFonts w:asciiTheme="minorHAnsi" w:hAnsiTheme="minorHAnsi" w:cstheme="minorHAnsi"/>
          <w:sz w:val="8"/>
          <w:szCs w:val="8"/>
        </w:rPr>
      </w:pP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0"/>
        <w:gridCol w:w="1701"/>
        <w:gridCol w:w="2410"/>
        <w:gridCol w:w="2724"/>
      </w:tblGrid>
      <w:tr w:rsidR="00C5592F" w:rsidRPr="00F76AC5" w14:paraId="7930DE86" w14:textId="77777777" w:rsidTr="00E314A7">
        <w:trPr>
          <w:trHeight w:val="234"/>
          <w:jc w:val="center"/>
        </w:trPr>
        <w:tc>
          <w:tcPr>
            <w:tcW w:w="2300" w:type="dxa"/>
            <w:vAlign w:val="center"/>
          </w:tcPr>
          <w:p w14:paraId="1DB4845B" w14:textId="77777777" w:rsidR="00C5592F" w:rsidRPr="00FA3DF2" w:rsidRDefault="00C5592F" w:rsidP="00E314A7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701" w:type="dxa"/>
            <w:vAlign w:val="center"/>
          </w:tcPr>
          <w:p w14:paraId="314652B4" w14:textId="77777777" w:rsidR="00C5592F" w:rsidRPr="00FA3DF2" w:rsidRDefault="00C5592F" w:rsidP="00E314A7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410" w:type="dxa"/>
            <w:vAlign w:val="center"/>
          </w:tcPr>
          <w:p w14:paraId="71DF8D58" w14:textId="77777777" w:rsidR="00C5592F" w:rsidRPr="00FA3DF2" w:rsidRDefault="00C5592F" w:rsidP="00E314A7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724" w:type="dxa"/>
            <w:vAlign w:val="center"/>
          </w:tcPr>
          <w:p w14:paraId="283E4D86" w14:textId="77777777" w:rsidR="00C5592F" w:rsidRPr="00FA3DF2" w:rsidRDefault="00C5592F" w:rsidP="00E314A7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wartość rynkowa gruntu</w:t>
            </w:r>
          </w:p>
        </w:tc>
      </w:tr>
      <w:tr w:rsidR="00C5592F" w:rsidRPr="00F76AC5" w14:paraId="31B73AD8" w14:textId="77777777" w:rsidTr="00E314A7">
        <w:trPr>
          <w:trHeight w:val="453"/>
          <w:jc w:val="center"/>
        </w:trPr>
        <w:tc>
          <w:tcPr>
            <w:tcW w:w="2300" w:type="dxa"/>
            <w:vAlign w:val="center"/>
          </w:tcPr>
          <w:p w14:paraId="62D5BA81" w14:textId="64B985D3" w:rsidR="00C5592F" w:rsidRPr="00F76AC5" w:rsidRDefault="00850E5E" w:rsidP="00E314A7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493/4</w:t>
            </w:r>
          </w:p>
        </w:tc>
        <w:tc>
          <w:tcPr>
            <w:tcW w:w="1701" w:type="dxa"/>
            <w:vAlign w:val="center"/>
          </w:tcPr>
          <w:p w14:paraId="3C60E292" w14:textId="74787050" w:rsidR="00C5592F" w:rsidRPr="00F76AC5" w:rsidRDefault="00C5592F" w:rsidP="00E314A7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0.</w:t>
            </w:r>
            <w:r w:rsidR="00454D8F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0105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10" w:type="dxa"/>
            <w:vAlign w:val="center"/>
          </w:tcPr>
          <w:p w14:paraId="6BE0D09B" w14:textId="4FD69D52" w:rsidR="00C5592F" w:rsidRPr="00F76AC5" w:rsidRDefault="00C5592F" w:rsidP="00E314A7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</w:t>
            </w:r>
            <w:r w:rsidR="00454D8F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5456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 w:rsidR="00454D8F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6</w:t>
            </w:r>
          </w:p>
        </w:tc>
        <w:tc>
          <w:tcPr>
            <w:tcW w:w="2724" w:type="dxa"/>
            <w:vAlign w:val="center"/>
          </w:tcPr>
          <w:p w14:paraId="2AAFB4C9" w14:textId="5D1CDF20" w:rsidR="00C5592F" w:rsidRPr="00F76AC5" w:rsidRDefault="00454D8F" w:rsidP="00E314A7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</w:t>
            </w:r>
            <w:r w:rsidR="00C5592F"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958</w:t>
            </w:r>
            <w:r w:rsidR="00C5592F"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</w:tbl>
    <w:p w14:paraId="5D59304E" w14:textId="77777777" w:rsidR="00C5592F" w:rsidRDefault="00C5592F" w:rsidP="00C559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419F173F" w14:textId="77777777" w:rsidR="00C5592F" w:rsidRPr="00F76AC5" w:rsidRDefault="00C5592F" w:rsidP="00C559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0F4BAFD8" w14:textId="722E13E8" w:rsidR="00C5592F" w:rsidRPr="00F76AC5" w:rsidRDefault="00454D8F" w:rsidP="00C559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Przedmiotowa działka położona jest na terenie obowiązywania miejscowego planu zagospodarowania przestrzennego dla obszaru doliny rzeki Warty Śrem – Orkowo (uchwała nr 431/XLVIII/10 Rady Miejskiej w Śremie z dnia 27 maja 201</w:t>
      </w:r>
      <w:r w:rsidR="004B23EB">
        <w:rPr>
          <w:rFonts w:asciiTheme="minorHAnsi" w:hAnsiTheme="minorHAnsi" w:cstheme="minorHAnsi"/>
        </w:rPr>
        <w:t>0 r.),który oznaczony jest symbolem KDW, jako teren dróg wewnętrznych</w:t>
      </w:r>
      <w:r w:rsidR="00C5592F">
        <w:rPr>
          <w:rFonts w:asciiTheme="minorHAnsi" w:hAnsiTheme="minorHAnsi" w:cstheme="minorHAnsi"/>
        </w:rPr>
        <w:t xml:space="preserve">. Nieruchomość zabudowana jest budynkiem </w:t>
      </w:r>
      <w:r w:rsidR="004B23EB">
        <w:rPr>
          <w:rFonts w:asciiTheme="minorHAnsi" w:hAnsiTheme="minorHAnsi" w:cstheme="minorHAnsi"/>
        </w:rPr>
        <w:t>o charakterze usługowym</w:t>
      </w:r>
      <w:r w:rsidR="00C5592F">
        <w:rPr>
          <w:rFonts w:asciiTheme="minorHAnsi" w:hAnsiTheme="minorHAnsi" w:cstheme="minorHAnsi"/>
        </w:rPr>
        <w:t>, któr</w:t>
      </w:r>
      <w:r w:rsidR="004B23EB">
        <w:rPr>
          <w:rFonts w:asciiTheme="minorHAnsi" w:hAnsiTheme="minorHAnsi" w:cstheme="minorHAnsi"/>
        </w:rPr>
        <w:t>y</w:t>
      </w:r>
      <w:r w:rsidR="00C5592F">
        <w:rPr>
          <w:rFonts w:asciiTheme="minorHAnsi" w:hAnsiTheme="minorHAnsi" w:cstheme="minorHAnsi"/>
        </w:rPr>
        <w:t xml:space="preserve"> stanowi odrębny od gruntu przedmiot własności</w:t>
      </w:r>
      <w:r w:rsidR="00C5592F" w:rsidRPr="00F76AC5">
        <w:rPr>
          <w:rFonts w:asciiTheme="minorHAnsi" w:hAnsiTheme="minorHAnsi" w:cstheme="minorHAnsi"/>
        </w:rPr>
        <w:t>.</w:t>
      </w:r>
    </w:p>
    <w:p w14:paraId="65A5B0C8" w14:textId="28248DE3" w:rsidR="00C5592F" w:rsidRPr="00F76AC5" w:rsidRDefault="00C5592F" w:rsidP="00C5592F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F76AC5">
        <w:rPr>
          <w:rFonts w:asciiTheme="minorHAnsi" w:eastAsiaTheme="minorHAnsi" w:hAnsiTheme="minorHAnsi" w:cstheme="minorHAnsi"/>
          <w:lang w:eastAsia="en-US"/>
        </w:rPr>
        <w:t>Sprzedaż nastąpi</w:t>
      </w:r>
      <w:r>
        <w:rPr>
          <w:rFonts w:asciiTheme="minorHAnsi" w:eastAsiaTheme="minorHAnsi" w:hAnsiTheme="minorHAnsi" w:cstheme="minorHAnsi"/>
          <w:lang w:eastAsia="en-US"/>
        </w:rPr>
        <w:t xml:space="preserve"> na podstawie art. 32 </w:t>
      </w:r>
      <w:r w:rsidR="004B23EB">
        <w:rPr>
          <w:rFonts w:asciiTheme="minorHAnsi" w:eastAsiaTheme="minorHAnsi" w:hAnsiTheme="minorHAnsi" w:cstheme="minorHAnsi"/>
          <w:lang w:eastAsia="en-US"/>
        </w:rPr>
        <w:t xml:space="preserve">w związku z art. 198g </w:t>
      </w:r>
      <w:r>
        <w:rPr>
          <w:rFonts w:asciiTheme="minorHAnsi" w:eastAsiaTheme="minorHAnsi" w:hAnsiTheme="minorHAnsi" w:cstheme="minorHAnsi"/>
          <w:lang w:eastAsia="en-US"/>
        </w:rPr>
        <w:t>ustawy o gospodarce nieruchomościami (Dz. U. z 202</w:t>
      </w:r>
      <w:r w:rsidR="004B23EB">
        <w:rPr>
          <w:rFonts w:asciiTheme="minorHAnsi" w:eastAsiaTheme="minorHAnsi" w:hAnsiTheme="minorHAnsi" w:cstheme="minorHAnsi"/>
          <w:lang w:eastAsia="en-US"/>
        </w:rPr>
        <w:t>4</w:t>
      </w:r>
      <w:r>
        <w:rPr>
          <w:rFonts w:asciiTheme="minorHAnsi" w:eastAsiaTheme="minorHAnsi" w:hAnsiTheme="minorHAnsi" w:cstheme="minorHAnsi"/>
          <w:lang w:eastAsia="en-US"/>
        </w:rPr>
        <w:t xml:space="preserve"> r. poz. </w:t>
      </w:r>
      <w:r w:rsidR="004B23EB">
        <w:rPr>
          <w:rFonts w:asciiTheme="minorHAnsi" w:eastAsiaTheme="minorHAnsi" w:hAnsiTheme="minorHAnsi" w:cstheme="minorHAnsi"/>
          <w:lang w:eastAsia="en-US"/>
        </w:rPr>
        <w:t>1145</w:t>
      </w:r>
      <w:r>
        <w:rPr>
          <w:rFonts w:asciiTheme="minorHAnsi" w:eastAsiaTheme="minorHAnsi" w:hAnsiTheme="minorHAnsi" w:cstheme="minorHAnsi"/>
          <w:lang w:eastAsia="en-US"/>
        </w:rPr>
        <w:t xml:space="preserve"> z</w:t>
      </w:r>
      <w:r w:rsidR="004B23EB">
        <w:rPr>
          <w:rFonts w:asciiTheme="minorHAnsi" w:eastAsiaTheme="minorHAnsi" w:hAnsiTheme="minorHAnsi" w:cstheme="minorHAnsi"/>
          <w:lang w:eastAsia="en-US"/>
        </w:rPr>
        <w:t xml:space="preserve"> </w:t>
      </w:r>
      <w:proofErr w:type="spellStart"/>
      <w:r w:rsidR="004B23EB">
        <w:rPr>
          <w:rFonts w:asciiTheme="minorHAnsi" w:eastAsiaTheme="minorHAnsi" w:hAnsiTheme="minorHAnsi" w:cstheme="minorHAnsi"/>
          <w:lang w:eastAsia="en-US"/>
        </w:rPr>
        <w:t>późn</w:t>
      </w:r>
      <w:proofErr w:type="spellEnd"/>
      <w:r w:rsidR="004B23EB">
        <w:rPr>
          <w:rFonts w:asciiTheme="minorHAnsi" w:eastAsiaTheme="minorHAnsi" w:hAnsiTheme="minorHAnsi" w:cstheme="minorHAnsi"/>
          <w:lang w:eastAsia="en-US"/>
        </w:rPr>
        <w:t>.</w:t>
      </w:r>
      <w:r>
        <w:rPr>
          <w:rFonts w:asciiTheme="minorHAnsi" w:eastAsiaTheme="minorHAnsi" w:hAnsiTheme="minorHAnsi" w:cstheme="minorHAnsi"/>
          <w:lang w:eastAsia="en-US"/>
        </w:rPr>
        <w:t xml:space="preserve"> zm.)</w:t>
      </w:r>
      <w:r w:rsidRPr="00F76AC5">
        <w:rPr>
          <w:rFonts w:asciiTheme="minorHAnsi" w:eastAsiaTheme="minorHAnsi" w:hAnsiTheme="minorHAnsi" w:cstheme="minorHAnsi"/>
          <w:lang w:eastAsia="en-US"/>
        </w:rPr>
        <w:t xml:space="preserve"> za cenę</w:t>
      </w:r>
      <w:r>
        <w:rPr>
          <w:rFonts w:asciiTheme="minorHAnsi" w:eastAsiaTheme="minorHAnsi" w:hAnsiTheme="minorHAnsi" w:cstheme="minorHAnsi"/>
          <w:lang w:eastAsia="en-US"/>
        </w:rPr>
        <w:t xml:space="preserve">, którą ustala się jako dwudziestokrotność kwoty stanowiącej iloczyn dotychczasowej stawki procentowej opłaty rocznej z tytułu użytkowania wieczystego, tj. 3% oraz wartości nieruchomości gruntowej określonej na dzień zawarcia umowy sprzedaży, tj. </w:t>
      </w:r>
      <w:r w:rsidR="004B23EB">
        <w:rPr>
          <w:rFonts w:asciiTheme="minorHAnsi" w:eastAsiaTheme="minorHAnsi" w:hAnsiTheme="minorHAnsi" w:cstheme="minorHAnsi"/>
          <w:lang w:eastAsia="en-US"/>
        </w:rPr>
        <w:t>10</w:t>
      </w:r>
      <w:r>
        <w:rPr>
          <w:rFonts w:asciiTheme="minorHAnsi" w:eastAsiaTheme="minorHAnsi" w:hAnsiTheme="minorHAnsi" w:cstheme="minorHAnsi"/>
          <w:lang w:eastAsia="en-US"/>
        </w:rPr>
        <w:t> </w:t>
      </w:r>
      <w:r w:rsidR="004B23EB">
        <w:rPr>
          <w:rFonts w:asciiTheme="minorHAnsi" w:eastAsiaTheme="minorHAnsi" w:hAnsiTheme="minorHAnsi" w:cstheme="minorHAnsi"/>
          <w:lang w:eastAsia="en-US"/>
        </w:rPr>
        <w:t>958</w:t>
      </w:r>
      <w:r>
        <w:rPr>
          <w:rFonts w:asciiTheme="minorHAnsi" w:eastAsiaTheme="minorHAnsi" w:hAnsiTheme="minorHAnsi" w:cstheme="minorHAnsi"/>
          <w:lang w:eastAsia="en-US"/>
        </w:rPr>
        <w:t xml:space="preserve">,00 zł. </w:t>
      </w:r>
      <w:r w:rsidRPr="00F76AC5">
        <w:rPr>
          <w:rFonts w:asciiTheme="minorHAnsi" w:hAnsiTheme="minorHAnsi" w:cstheme="minorHAnsi"/>
        </w:rPr>
        <w:t xml:space="preserve">Do podanej ceny, zastosowanie będą miały przepisy dot. pomocy publicznej. </w:t>
      </w:r>
      <w:r>
        <w:rPr>
          <w:rFonts w:asciiTheme="minorHAnsi" w:hAnsiTheme="minorHAnsi" w:cstheme="minorHAnsi"/>
        </w:rPr>
        <w:t>Sprzedaż nie podlega opodatkowaniu p</w:t>
      </w:r>
      <w:r w:rsidRPr="00F76AC5">
        <w:rPr>
          <w:rFonts w:asciiTheme="minorHAnsi" w:hAnsiTheme="minorHAnsi" w:cstheme="minorHAnsi"/>
        </w:rPr>
        <w:t>odatk</w:t>
      </w:r>
      <w:r>
        <w:rPr>
          <w:rFonts w:asciiTheme="minorHAnsi" w:hAnsiTheme="minorHAnsi" w:cstheme="minorHAnsi"/>
        </w:rPr>
        <w:t>iem</w:t>
      </w:r>
      <w:r w:rsidRPr="00F76AC5">
        <w:rPr>
          <w:rFonts w:asciiTheme="minorHAnsi" w:hAnsiTheme="minorHAnsi" w:cstheme="minorHAnsi"/>
        </w:rPr>
        <w:t xml:space="preserve"> VAT.</w:t>
      </w:r>
    </w:p>
    <w:p w14:paraId="207BD528" w14:textId="04D13156" w:rsidR="00C5592F" w:rsidRPr="00F76AC5" w:rsidRDefault="00C5592F" w:rsidP="00C5592F">
      <w:pPr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>
        <w:rPr>
          <w:rFonts w:asciiTheme="minorHAnsi" w:hAnsiTheme="minorHAnsi" w:cstheme="minorHAnsi"/>
        </w:rPr>
        <w:t>2</w:t>
      </w:r>
      <w:r w:rsidR="004B23EB">
        <w:rPr>
          <w:rFonts w:asciiTheme="minorHAnsi" w:hAnsiTheme="minorHAnsi" w:cstheme="minorHAnsi"/>
        </w:rPr>
        <w:t>4</w:t>
      </w:r>
      <w:r w:rsidRPr="00F76AC5">
        <w:rPr>
          <w:rFonts w:asciiTheme="minorHAnsi" w:hAnsiTheme="minorHAnsi" w:cstheme="minorHAnsi"/>
        </w:rPr>
        <w:t xml:space="preserve"> r. poz. </w:t>
      </w:r>
      <w:r w:rsidR="004B23EB">
        <w:rPr>
          <w:rFonts w:asciiTheme="minorHAnsi" w:hAnsiTheme="minorHAnsi" w:cstheme="minorHAnsi"/>
        </w:rPr>
        <w:t>1145</w:t>
      </w:r>
      <w:r w:rsidRPr="00F76AC5">
        <w:rPr>
          <w:rFonts w:asciiTheme="minorHAnsi" w:hAnsiTheme="minorHAnsi" w:cstheme="minorHAnsi"/>
        </w:rPr>
        <w:t xml:space="preserve"> z</w:t>
      </w:r>
      <w:r w:rsidR="004B23EB">
        <w:rPr>
          <w:rFonts w:asciiTheme="minorHAnsi" w:hAnsiTheme="minorHAnsi" w:cstheme="minorHAnsi"/>
        </w:rPr>
        <w:t xml:space="preserve"> </w:t>
      </w:r>
      <w:proofErr w:type="spellStart"/>
      <w:r w:rsidR="004B23EB">
        <w:rPr>
          <w:rFonts w:asciiTheme="minorHAnsi" w:hAnsiTheme="minorHAnsi" w:cstheme="minorHAnsi"/>
        </w:rPr>
        <w:t>późn</w:t>
      </w:r>
      <w:proofErr w:type="spellEnd"/>
      <w:r w:rsidR="004B23EB">
        <w:rPr>
          <w:rFonts w:asciiTheme="minorHAnsi" w:hAnsiTheme="minorHAnsi" w:cstheme="minorHAnsi"/>
        </w:rPr>
        <w:t>.</w:t>
      </w:r>
      <w:r w:rsidRPr="00F76AC5">
        <w:rPr>
          <w:rFonts w:asciiTheme="minorHAnsi" w:hAnsiTheme="minorHAnsi" w:cstheme="minorHAnsi"/>
        </w:rPr>
        <w:t xml:space="preserve"> zm.) osoby, którym przysługuje pierwszeństwo w nabyciu nieruchomości na podstawie art. 34 ust.1 pkt.1 i 2 tejże ustawy, zobowiązane są do złożenia wniosku w terminie 6</w:t>
      </w:r>
      <w:r w:rsidR="004B23EB">
        <w:rPr>
          <w:rFonts w:asciiTheme="minorHAnsi" w:hAnsiTheme="minorHAnsi" w:cstheme="minorHAnsi"/>
        </w:rPr>
        <w:t> </w:t>
      </w:r>
      <w:r w:rsidRPr="00F76AC5">
        <w:rPr>
          <w:rFonts w:asciiTheme="minorHAnsi" w:hAnsiTheme="minorHAnsi" w:cstheme="minorHAnsi"/>
        </w:rPr>
        <w:t>tygodni licząc od dnia wywieszenia wykazu.</w:t>
      </w:r>
    </w:p>
    <w:p w14:paraId="49AD139B" w14:textId="77777777" w:rsidR="00C5592F" w:rsidRPr="00F76AC5" w:rsidRDefault="00C5592F" w:rsidP="00C5592F">
      <w:pPr>
        <w:rPr>
          <w:rFonts w:asciiTheme="minorHAnsi" w:hAnsiTheme="minorHAnsi" w:cstheme="minorHAnsi"/>
          <w:spacing w:val="-2"/>
        </w:rPr>
      </w:pPr>
      <w:r w:rsidRPr="00F76AC5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F76AC5"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  <w:spacing w:val="-2"/>
        </w:rPr>
        <w:t>na Stanowisku Obsługi Inwestorów Urzędu Miejskiego w Śremie, t</w:t>
      </w:r>
      <w:r w:rsidRPr="00F76AC5">
        <w:rPr>
          <w:rFonts w:asciiTheme="minorHAnsi" w:hAnsiTheme="minorHAnsi" w:cstheme="minorHAnsi"/>
          <w:spacing w:val="-2"/>
        </w:rPr>
        <w:t>el. 61 28 47</w:t>
      </w:r>
      <w:r>
        <w:rPr>
          <w:rFonts w:asciiTheme="minorHAnsi" w:hAnsiTheme="minorHAnsi" w:cstheme="minorHAnsi"/>
          <w:spacing w:val="-2"/>
        </w:rPr>
        <w:t> </w:t>
      </w:r>
      <w:r w:rsidRPr="00F76AC5">
        <w:rPr>
          <w:rFonts w:asciiTheme="minorHAnsi" w:hAnsiTheme="minorHAnsi" w:cstheme="minorHAnsi"/>
          <w:spacing w:val="-2"/>
        </w:rPr>
        <w:t>134</w:t>
      </w:r>
      <w:r>
        <w:rPr>
          <w:rFonts w:asciiTheme="minorHAnsi" w:hAnsiTheme="minorHAnsi" w:cstheme="minorHAnsi"/>
          <w:spacing w:val="-2"/>
        </w:rPr>
        <w:t xml:space="preserve"> lub 604 586 515</w:t>
      </w:r>
      <w:r w:rsidRPr="00F76AC5">
        <w:rPr>
          <w:rFonts w:asciiTheme="minorHAnsi" w:hAnsiTheme="minorHAnsi" w:cstheme="minorHAnsi"/>
          <w:spacing w:val="-2"/>
        </w:rPr>
        <w:t>, pokój numer 25 – w</w:t>
      </w:r>
      <w:r>
        <w:rPr>
          <w:rFonts w:asciiTheme="minorHAnsi" w:hAnsiTheme="minorHAnsi" w:cstheme="minorHAnsi"/>
          <w:spacing w:val="-2"/>
        </w:rPr>
        <w:t> </w:t>
      </w:r>
      <w:r w:rsidRPr="00F76AC5">
        <w:rPr>
          <w:rFonts w:asciiTheme="minorHAnsi" w:hAnsiTheme="minorHAnsi" w:cstheme="minorHAnsi"/>
          <w:spacing w:val="-2"/>
        </w:rPr>
        <w:t>godzinach pracy Urzędu.</w:t>
      </w:r>
    </w:p>
    <w:p w14:paraId="629B1763" w14:textId="77777777" w:rsidR="00C5592F" w:rsidRDefault="00C5592F" w:rsidP="00C5592F">
      <w:pPr>
        <w:ind w:left="6"/>
        <w:rPr>
          <w:rFonts w:cstheme="minorHAnsi"/>
        </w:rPr>
      </w:pPr>
    </w:p>
    <w:p w14:paraId="72DD1D3C" w14:textId="77777777" w:rsidR="00C5592F" w:rsidRDefault="00C5592F" w:rsidP="00C5592F">
      <w:pPr>
        <w:ind w:left="6"/>
        <w:rPr>
          <w:rFonts w:cstheme="minorHAnsi"/>
        </w:rPr>
      </w:pPr>
    </w:p>
    <w:p w14:paraId="27B772B2" w14:textId="36FCE79A" w:rsidR="00C5592F" w:rsidRDefault="00C5592F" w:rsidP="00C5592F">
      <w:pPr>
        <w:ind w:left="6"/>
        <w:rPr>
          <w:rFonts w:cstheme="minorHAnsi"/>
        </w:rPr>
      </w:pPr>
    </w:p>
    <w:p w14:paraId="43B7DFB8" w14:textId="74946154" w:rsidR="00C5592F" w:rsidRPr="00616A54" w:rsidRDefault="00C5592F" w:rsidP="00C5592F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sierpnia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000E7382" w14:textId="1D366F59" w:rsidR="00C5592F" w:rsidRDefault="00C5592F" w:rsidP="00C5592F">
      <w:pPr>
        <w:rPr>
          <w:rFonts w:cstheme="minorHAnsi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cstheme="minorHAnsi"/>
          <w:noProof/>
        </w:rPr>
        <w:t xml:space="preserve"> </w:t>
      </w:r>
    </w:p>
    <w:p w14:paraId="34C20665" w14:textId="5D95D952" w:rsidR="004550B1" w:rsidRPr="00D224A5" w:rsidRDefault="004B23EB" w:rsidP="00D224A5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57728" behindDoc="0" locked="0" layoutInCell="1" allowOverlap="1" wp14:anchorId="4A63B202" wp14:editId="73181B12">
            <wp:simplePos x="0" y="0"/>
            <wp:positionH relativeFrom="margin">
              <wp:posOffset>47625</wp:posOffset>
            </wp:positionH>
            <wp:positionV relativeFrom="margin">
              <wp:posOffset>9269730</wp:posOffset>
            </wp:positionV>
            <wp:extent cx="1353820" cy="460375"/>
            <wp:effectExtent l="0" t="0" r="0" b="0"/>
            <wp:wrapSquare wrapText="bothSides"/>
            <wp:docPr id="212884113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50B1" w:rsidRPr="00D224A5" w:rsidSect="00FA3DF2">
      <w:pgSz w:w="11906" w:h="16838"/>
      <w:pgMar w:top="993" w:right="1417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3F"/>
    <w:rsid w:val="000A4955"/>
    <w:rsid w:val="000D602F"/>
    <w:rsid w:val="000F056F"/>
    <w:rsid w:val="001344B7"/>
    <w:rsid w:val="001444AE"/>
    <w:rsid w:val="001B2847"/>
    <w:rsid w:val="002D7B0D"/>
    <w:rsid w:val="00315AFB"/>
    <w:rsid w:val="0032796A"/>
    <w:rsid w:val="003A5056"/>
    <w:rsid w:val="003E1A9B"/>
    <w:rsid w:val="00454D8F"/>
    <w:rsid w:val="004550B1"/>
    <w:rsid w:val="0045514F"/>
    <w:rsid w:val="0047588B"/>
    <w:rsid w:val="004B23EB"/>
    <w:rsid w:val="005574FC"/>
    <w:rsid w:val="0056073B"/>
    <w:rsid w:val="00561712"/>
    <w:rsid w:val="00577255"/>
    <w:rsid w:val="005F3C05"/>
    <w:rsid w:val="0064510D"/>
    <w:rsid w:val="00666A38"/>
    <w:rsid w:val="00671EB5"/>
    <w:rsid w:val="006A4646"/>
    <w:rsid w:val="006A5A25"/>
    <w:rsid w:val="00755689"/>
    <w:rsid w:val="008442F9"/>
    <w:rsid w:val="00850E5E"/>
    <w:rsid w:val="008D6340"/>
    <w:rsid w:val="00911ABB"/>
    <w:rsid w:val="00946AC8"/>
    <w:rsid w:val="00955C75"/>
    <w:rsid w:val="0096366A"/>
    <w:rsid w:val="0097563F"/>
    <w:rsid w:val="00993A4D"/>
    <w:rsid w:val="009B1B7E"/>
    <w:rsid w:val="009E53BF"/>
    <w:rsid w:val="00A956E4"/>
    <w:rsid w:val="00A967C6"/>
    <w:rsid w:val="00AE3F6A"/>
    <w:rsid w:val="00B564DF"/>
    <w:rsid w:val="00B845AB"/>
    <w:rsid w:val="00B86238"/>
    <w:rsid w:val="00B91A72"/>
    <w:rsid w:val="00BA50F7"/>
    <w:rsid w:val="00C5592F"/>
    <w:rsid w:val="00C6104A"/>
    <w:rsid w:val="00C77533"/>
    <w:rsid w:val="00CA3B7A"/>
    <w:rsid w:val="00CE6DB1"/>
    <w:rsid w:val="00D12B2E"/>
    <w:rsid w:val="00D224A5"/>
    <w:rsid w:val="00DA5B1B"/>
    <w:rsid w:val="00DB57C9"/>
    <w:rsid w:val="00DD362A"/>
    <w:rsid w:val="00E41E2F"/>
    <w:rsid w:val="00EA768A"/>
    <w:rsid w:val="00EF43CF"/>
    <w:rsid w:val="00F05842"/>
    <w:rsid w:val="00F76AC5"/>
    <w:rsid w:val="00FA3380"/>
    <w:rsid w:val="00FA3DF2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83D06"/>
  <w15:docId w15:val="{A28662C4-B61D-4853-BAFE-845A00F4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559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urzad@srem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2025-08-19T12:02:00Z</dcterms:created>
  <dcterms:modified xsi:type="dcterms:W3CDTF">2025-08-19T12:02:00Z</dcterms:modified>
</cp:coreProperties>
</file>