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941471" w14:textId="77777777" w:rsidR="003235C6" w:rsidRPr="003235C6" w:rsidRDefault="003235C6" w:rsidP="00BD5A34">
      <w:pPr>
        <w:spacing w:after="0" w:line="240" w:lineRule="auto"/>
        <w:ind w:right="5668"/>
        <w:jc w:val="center"/>
        <w:rPr>
          <w:rFonts w:cstheme="minorHAnsi"/>
          <w:bCs/>
          <w:sz w:val="20"/>
          <w:szCs w:val="20"/>
        </w:rPr>
      </w:pPr>
    </w:p>
    <w:p w14:paraId="5D0C37BD" w14:textId="664E8D6A" w:rsidR="00BD5A34" w:rsidRPr="0063592D" w:rsidRDefault="00BD5A34" w:rsidP="00BD5A34">
      <w:pPr>
        <w:spacing w:after="0" w:line="240" w:lineRule="auto"/>
        <w:ind w:right="5668"/>
        <w:jc w:val="center"/>
        <w:rPr>
          <w:rFonts w:cstheme="minorHAnsi"/>
          <w:bCs/>
          <w:sz w:val="28"/>
          <w:szCs w:val="28"/>
        </w:rPr>
      </w:pPr>
      <w:r w:rsidRPr="0063592D">
        <w:rPr>
          <w:rFonts w:cstheme="minorHAnsi"/>
          <w:bCs/>
          <w:sz w:val="28"/>
          <w:szCs w:val="28"/>
        </w:rPr>
        <w:t>Burmistrz Śremu</w:t>
      </w:r>
    </w:p>
    <w:p w14:paraId="38C3318A" w14:textId="77777777" w:rsidR="00BD5A34" w:rsidRPr="0063592D" w:rsidRDefault="00BD5A34" w:rsidP="00BD5A34">
      <w:pPr>
        <w:spacing w:after="0" w:line="240" w:lineRule="auto"/>
        <w:ind w:right="5668"/>
        <w:jc w:val="center"/>
        <w:rPr>
          <w:rFonts w:cstheme="minorHAnsi"/>
          <w:bCs/>
          <w:sz w:val="28"/>
          <w:szCs w:val="28"/>
        </w:rPr>
      </w:pPr>
      <w:r w:rsidRPr="0063592D">
        <w:rPr>
          <w:rFonts w:cstheme="minorHAnsi"/>
          <w:bCs/>
          <w:sz w:val="28"/>
          <w:szCs w:val="28"/>
        </w:rPr>
        <w:t>ul. Plac 20 Października 1</w:t>
      </w:r>
    </w:p>
    <w:p w14:paraId="335059D8" w14:textId="77777777" w:rsidR="00BD5A34" w:rsidRPr="0063592D" w:rsidRDefault="00BD5A34" w:rsidP="003235C6">
      <w:pPr>
        <w:spacing w:after="0" w:line="240" w:lineRule="auto"/>
        <w:ind w:right="5668"/>
        <w:jc w:val="center"/>
        <w:rPr>
          <w:rFonts w:cstheme="minorHAnsi"/>
          <w:bCs/>
          <w:sz w:val="28"/>
          <w:szCs w:val="28"/>
        </w:rPr>
      </w:pPr>
      <w:r w:rsidRPr="0063592D">
        <w:rPr>
          <w:rFonts w:cstheme="minorHAnsi"/>
          <w:bCs/>
          <w:sz w:val="28"/>
          <w:szCs w:val="28"/>
        </w:rPr>
        <w:t>63-100 Śrem</w:t>
      </w:r>
    </w:p>
    <w:p w14:paraId="2C937DB9" w14:textId="3FD94D42" w:rsidR="00BD5A34" w:rsidRPr="0063592D" w:rsidRDefault="00BD5A34" w:rsidP="003235C6">
      <w:pPr>
        <w:spacing w:after="0" w:line="240" w:lineRule="auto"/>
        <w:jc w:val="right"/>
        <w:rPr>
          <w:rFonts w:cstheme="minorHAnsi"/>
          <w:sz w:val="28"/>
          <w:szCs w:val="28"/>
        </w:rPr>
      </w:pPr>
      <w:r w:rsidRPr="0063592D">
        <w:rPr>
          <w:rFonts w:cstheme="minorHAnsi"/>
          <w:sz w:val="28"/>
          <w:szCs w:val="28"/>
        </w:rPr>
        <w:t>Śrem,</w:t>
      </w:r>
      <w:r w:rsidR="00C3046F">
        <w:rPr>
          <w:rFonts w:cstheme="minorHAnsi"/>
          <w:sz w:val="28"/>
          <w:szCs w:val="28"/>
        </w:rPr>
        <w:t xml:space="preserve"> 28</w:t>
      </w:r>
      <w:r w:rsidR="00826F62">
        <w:rPr>
          <w:rFonts w:cstheme="minorHAnsi"/>
          <w:sz w:val="28"/>
          <w:szCs w:val="28"/>
        </w:rPr>
        <w:t xml:space="preserve"> sierpnia</w:t>
      </w:r>
      <w:r w:rsidR="00116E81">
        <w:rPr>
          <w:rFonts w:cstheme="minorHAnsi"/>
          <w:sz w:val="28"/>
          <w:szCs w:val="28"/>
        </w:rPr>
        <w:t xml:space="preserve"> 2025</w:t>
      </w:r>
      <w:r w:rsidRPr="0063592D">
        <w:rPr>
          <w:rFonts w:cstheme="minorHAnsi"/>
          <w:sz w:val="28"/>
          <w:szCs w:val="28"/>
        </w:rPr>
        <w:t xml:space="preserve"> </w:t>
      </w:r>
      <w:r w:rsidR="005038FC">
        <w:rPr>
          <w:rFonts w:cstheme="minorHAnsi"/>
          <w:sz w:val="28"/>
          <w:szCs w:val="28"/>
        </w:rPr>
        <w:t>r.</w:t>
      </w:r>
    </w:p>
    <w:p w14:paraId="314AFC46" w14:textId="02D229ED" w:rsidR="00BD5A34" w:rsidRPr="0063592D" w:rsidRDefault="00BD5A34" w:rsidP="00BD5A34">
      <w:pPr>
        <w:spacing w:after="120" w:line="240" w:lineRule="auto"/>
        <w:rPr>
          <w:rFonts w:cstheme="minorHAnsi"/>
          <w:sz w:val="28"/>
          <w:szCs w:val="28"/>
        </w:rPr>
      </w:pPr>
      <w:r w:rsidRPr="0063592D">
        <w:rPr>
          <w:rFonts w:cstheme="minorHAnsi"/>
          <w:sz w:val="28"/>
          <w:szCs w:val="28"/>
        </w:rPr>
        <w:t>PPSOŚ.6220.</w:t>
      </w:r>
      <w:r w:rsidR="00826F62">
        <w:rPr>
          <w:rFonts w:cstheme="minorHAnsi"/>
          <w:sz w:val="28"/>
          <w:szCs w:val="28"/>
        </w:rPr>
        <w:t>11</w:t>
      </w:r>
      <w:r w:rsidR="005038FC">
        <w:rPr>
          <w:rFonts w:cstheme="minorHAnsi"/>
          <w:sz w:val="28"/>
          <w:szCs w:val="28"/>
        </w:rPr>
        <w:t>.2025</w:t>
      </w:r>
      <w:r w:rsidRPr="0063592D">
        <w:rPr>
          <w:rFonts w:cstheme="minorHAnsi"/>
          <w:sz w:val="28"/>
          <w:szCs w:val="28"/>
        </w:rPr>
        <w:t>.BM</w:t>
      </w:r>
    </w:p>
    <w:p w14:paraId="24BCC9A5" w14:textId="77777777" w:rsidR="00BD5A34" w:rsidRPr="0063592D" w:rsidRDefault="00BD5A34" w:rsidP="00BD5A34">
      <w:pPr>
        <w:keepNext/>
        <w:keepLines/>
        <w:spacing w:after="120" w:line="240" w:lineRule="auto"/>
        <w:jc w:val="center"/>
        <w:outlineLvl w:val="0"/>
        <w:rPr>
          <w:rFonts w:eastAsia="Times New Roman" w:cstheme="minorHAnsi"/>
          <w:sz w:val="28"/>
          <w:szCs w:val="28"/>
        </w:rPr>
      </w:pPr>
      <w:r w:rsidRPr="0063592D">
        <w:rPr>
          <w:rFonts w:eastAsia="Times New Roman" w:cstheme="minorHAnsi"/>
          <w:sz w:val="28"/>
          <w:szCs w:val="28"/>
        </w:rPr>
        <w:t>Obwieszczenie</w:t>
      </w:r>
    </w:p>
    <w:p w14:paraId="79908BF7" w14:textId="77777777" w:rsidR="00BD5A34" w:rsidRPr="0063592D" w:rsidRDefault="00BD5A34" w:rsidP="00BD5A34">
      <w:pPr>
        <w:keepNext/>
        <w:keepLines/>
        <w:spacing w:after="120" w:line="240" w:lineRule="auto"/>
        <w:jc w:val="center"/>
        <w:outlineLvl w:val="0"/>
        <w:rPr>
          <w:rFonts w:eastAsia="Times New Roman" w:cstheme="minorHAnsi"/>
          <w:sz w:val="28"/>
          <w:szCs w:val="28"/>
        </w:rPr>
      </w:pPr>
      <w:r w:rsidRPr="0063592D">
        <w:rPr>
          <w:rFonts w:eastAsia="Times New Roman" w:cstheme="minorHAnsi"/>
          <w:sz w:val="28"/>
          <w:szCs w:val="28"/>
        </w:rPr>
        <w:t>o wydaniu decyzji o środowiskowych uwarunkowaniach</w:t>
      </w:r>
    </w:p>
    <w:p w14:paraId="708F1435" w14:textId="7A11C8BA" w:rsidR="00D41FE4" w:rsidRPr="00826F62" w:rsidRDefault="00D0263E" w:rsidP="00F80DB4">
      <w:pPr>
        <w:spacing w:after="120" w:line="240" w:lineRule="auto"/>
        <w:ind w:firstLine="708"/>
        <w:rPr>
          <w:rFonts w:eastAsia="Times New Roman" w:cstheme="minorHAnsi"/>
          <w:sz w:val="28"/>
          <w:szCs w:val="28"/>
          <w:lang w:eastAsia="pl-PL"/>
        </w:rPr>
      </w:pPr>
      <w:r>
        <w:rPr>
          <w:rFonts w:eastAsia="Times New Roman" w:cstheme="minorHAnsi"/>
          <w:sz w:val="28"/>
          <w:szCs w:val="28"/>
          <w:lang w:eastAsia="pl-PL"/>
        </w:rPr>
        <w:t>Z</w:t>
      </w:r>
      <w:r w:rsidR="00BD5A34" w:rsidRPr="0063592D">
        <w:rPr>
          <w:rFonts w:eastAsia="Times New Roman" w:cstheme="minorHAnsi"/>
          <w:sz w:val="28"/>
          <w:szCs w:val="28"/>
          <w:lang w:eastAsia="pl-PL"/>
        </w:rPr>
        <w:t>awiadamiam</w:t>
      </w:r>
      <w:r>
        <w:rPr>
          <w:rFonts w:eastAsia="Times New Roman" w:cstheme="minorHAnsi"/>
          <w:sz w:val="28"/>
          <w:szCs w:val="28"/>
          <w:vertAlign w:val="superscript"/>
          <w:lang w:eastAsia="pl-PL"/>
        </w:rPr>
        <w:t>1</w:t>
      </w:r>
      <w:r w:rsidR="00BD5A34" w:rsidRPr="0063592D">
        <w:rPr>
          <w:rFonts w:eastAsia="Times New Roman" w:cstheme="minorHAnsi"/>
          <w:sz w:val="28"/>
          <w:szCs w:val="28"/>
          <w:lang w:eastAsia="pl-PL"/>
        </w:rPr>
        <w:t xml:space="preserve"> strony postępowania</w:t>
      </w:r>
      <w:r w:rsidR="008F42D4">
        <w:rPr>
          <w:rFonts w:eastAsia="Times New Roman" w:cstheme="minorHAnsi"/>
          <w:sz w:val="28"/>
          <w:szCs w:val="28"/>
          <w:lang w:eastAsia="pl-PL"/>
        </w:rPr>
        <w:t xml:space="preserve"> o wydaniu </w:t>
      </w:r>
      <w:r w:rsidR="00826F62">
        <w:rPr>
          <w:rFonts w:eastAsia="Times New Roman" w:cstheme="minorHAnsi"/>
          <w:sz w:val="28"/>
          <w:szCs w:val="28"/>
          <w:lang w:eastAsia="pl-PL"/>
        </w:rPr>
        <w:t>28 sierpnia</w:t>
      </w:r>
      <w:r w:rsidR="005038FC">
        <w:rPr>
          <w:rFonts w:eastAsia="Times New Roman" w:cstheme="minorHAnsi"/>
          <w:sz w:val="28"/>
          <w:szCs w:val="28"/>
          <w:lang w:eastAsia="pl-PL"/>
        </w:rPr>
        <w:t xml:space="preserve"> </w:t>
      </w:r>
      <w:r w:rsidR="00116E81">
        <w:rPr>
          <w:rFonts w:eastAsia="Times New Roman" w:cstheme="minorHAnsi"/>
          <w:sz w:val="28"/>
          <w:szCs w:val="28"/>
          <w:lang w:eastAsia="pl-PL"/>
        </w:rPr>
        <w:t>2025</w:t>
      </w:r>
      <w:r w:rsidR="00BD5A34" w:rsidRPr="0063592D">
        <w:rPr>
          <w:rFonts w:eastAsia="Times New Roman" w:cstheme="minorHAnsi"/>
          <w:sz w:val="28"/>
          <w:szCs w:val="28"/>
          <w:lang w:eastAsia="pl-PL"/>
        </w:rPr>
        <w:t xml:space="preserve"> r.</w:t>
      </w:r>
      <w:r w:rsidR="008F42D4">
        <w:rPr>
          <w:rFonts w:eastAsia="Times New Roman" w:cstheme="minorHAnsi"/>
          <w:sz w:val="28"/>
          <w:szCs w:val="28"/>
          <w:lang w:eastAsia="pl-PL"/>
        </w:rPr>
        <w:t xml:space="preserve">, przez </w:t>
      </w:r>
      <w:r w:rsidR="00BD5A34" w:rsidRPr="0063592D">
        <w:rPr>
          <w:rFonts w:eastAsia="Times New Roman" w:cstheme="minorHAnsi"/>
          <w:sz w:val="28"/>
          <w:szCs w:val="28"/>
          <w:lang w:eastAsia="pl-PL"/>
        </w:rPr>
        <w:t>Burmistrz</w:t>
      </w:r>
      <w:r w:rsidR="008F42D4">
        <w:rPr>
          <w:rFonts w:eastAsia="Times New Roman" w:cstheme="minorHAnsi"/>
          <w:sz w:val="28"/>
          <w:szCs w:val="28"/>
          <w:lang w:eastAsia="pl-PL"/>
        </w:rPr>
        <w:t>a</w:t>
      </w:r>
      <w:r w:rsidR="00BD5A34" w:rsidRPr="0063592D">
        <w:rPr>
          <w:rFonts w:eastAsia="Times New Roman" w:cstheme="minorHAnsi"/>
          <w:sz w:val="28"/>
          <w:szCs w:val="28"/>
          <w:lang w:eastAsia="pl-PL"/>
        </w:rPr>
        <w:t xml:space="preserve"> Śremu, na rzecz </w:t>
      </w:r>
      <w:r w:rsidR="005038FC">
        <w:rPr>
          <w:rFonts w:eastAsia="Times New Roman" w:cstheme="minorHAnsi"/>
          <w:sz w:val="28"/>
          <w:szCs w:val="28"/>
          <w:lang w:eastAsia="pl-PL"/>
        </w:rPr>
        <w:t xml:space="preserve">spółki </w:t>
      </w:r>
      <w:r w:rsidR="005038FC" w:rsidRPr="005038FC">
        <w:rPr>
          <w:rFonts w:ascii="Calibri" w:eastAsia="Times New Roman" w:hAnsi="Calibri" w:cs="Calibri"/>
          <w:sz w:val="28"/>
          <w:szCs w:val="28"/>
          <w:lang w:eastAsia="pl-PL"/>
        </w:rPr>
        <w:t>Żwir-Kop Garby Spółka z ograniczoną odpowiedzialnością, Garby 22, 63-023 Sulęcinek</w:t>
      </w:r>
      <w:r w:rsidR="00BD5A34" w:rsidRPr="0063592D">
        <w:rPr>
          <w:rFonts w:eastAsia="Times New Roman" w:cstheme="minorHAnsi"/>
          <w:sz w:val="28"/>
          <w:szCs w:val="28"/>
          <w:lang w:eastAsia="pl-PL"/>
        </w:rPr>
        <w:t>, decyzj</w:t>
      </w:r>
      <w:r w:rsidR="008F42D4">
        <w:rPr>
          <w:rFonts w:eastAsia="Times New Roman" w:cstheme="minorHAnsi"/>
          <w:sz w:val="28"/>
          <w:szCs w:val="28"/>
          <w:lang w:eastAsia="pl-PL"/>
        </w:rPr>
        <w:t xml:space="preserve">i </w:t>
      </w:r>
      <w:r w:rsidR="00F80DB4">
        <w:rPr>
          <w:rFonts w:eastAsia="Times New Roman" w:cstheme="minorHAnsi"/>
          <w:sz w:val="28"/>
          <w:szCs w:val="28"/>
          <w:lang w:eastAsia="pl-PL"/>
        </w:rPr>
        <w:t>o</w:t>
      </w:r>
      <w:r w:rsidR="00D10EFD">
        <w:rPr>
          <w:rFonts w:eastAsia="Times New Roman" w:cstheme="minorHAnsi"/>
          <w:sz w:val="28"/>
          <w:szCs w:val="28"/>
          <w:lang w:eastAsia="pl-PL"/>
        </w:rPr>
        <w:t> </w:t>
      </w:r>
      <w:r w:rsidR="00116E81">
        <w:rPr>
          <w:rFonts w:eastAsia="Times New Roman" w:cstheme="minorHAnsi"/>
          <w:sz w:val="28"/>
          <w:szCs w:val="28"/>
          <w:lang w:eastAsia="pl-PL"/>
        </w:rPr>
        <w:t>środowiskowych uwarunkowaniach</w:t>
      </w:r>
      <w:r w:rsidR="00F80DB4" w:rsidRPr="00F80DB4">
        <w:rPr>
          <w:rFonts w:eastAsia="Times New Roman" w:cstheme="minorHAnsi"/>
          <w:sz w:val="28"/>
          <w:szCs w:val="28"/>
          <w:lang w:eastAsia="pl-PL"/>
        </w:rPr>
        <w:t xml:space="preserve"> </w:t>
      </w:r>
      <w:r w:rsidR="00BD5A34" w:rsidRPr="0063592D">
        <w:rPr>
          <w:rFonts w:eastAsia="Times New Roman" w:cstheme="minorHAnsi"/>
          <w:sz w:val="28"/>
          <w:szCs w:val="28"/>
          <w:lang w:eastAsia="pl-PL"/>
        </w:rPr>
        <w:t xml:space="preserve">dla planowanego przedsięwzięcia polegającego na </w:t>
      </w:r>
      <w:r w:rsidR="00826F62" w:rsidRPr="00826F62">
        <w:rPr>
          <w:rFonts w:ascii="Calibri" w:hAnsi="Calibri" w:cs="Calibri"/>
          <w:b/>
          <w:sz w:val="28"/>
          <w:szCs w:val="28"/>
        </w:rPr>
        <w:t>eksploatacji odkrywkowej złoża kruszywa naturalnego „Luciny VII” na działkach o numerach ewidencyjnych 282/1 i 299/1, obręb Lucin</w:t>
      </w:r>
      <w:r w:rsidR="00C301E9">
        <w:rPr>
          <w:rFonts w:ascii="Calibri" w:hAnsi="Calibri" w:cs="Calibri"/>
          <w:b/>
          <w:sz w:val="28"/>
          <w:szCs w:val="28"/>
        </w:rPr>
        <w:t>y</w:t>
      </w:r>
      <w:r w:rsidR="005968A5" w:rsidRPr="00826F62">
        <w:rPr>
          <w:rFonts w:eastAsia="Times New Roman" w:cstheme="minorHAnsi"/>
          <w:sz w:val="28"/>
          <w:szCs w:val="28"/>
          <w:lang w:eastAsia="pl-PL"/>
        </w:rPr>
        <w:t>.</w:t>
      </w:r>
      <w:r w:rsidR="00BD5A34" w:rsidRPr="00826F62">
        <w:rPr>
          <w:rFonts w:eastAsia="Times New Roman" w:cstheme="minorHAnsi"/>
          <w:sz w:val="28"/>
          <w:szCs w:val="28"/>
          <w:lang w:eastAsia="pl-PL"/>
        </w:rPr>
        <w:t xml:space="preserve"> </w:t>
      </w:r>
    </w:p>
    <w:p w14:paraId="45576EAD" w14:textId="40361E79" w:rsidR="00BD5A34" w:rsidRPr="00D54DF8" w:rsidRDefault="00BD5A34" w:rsidP="00F80DB4">
      <w:pPr>
        <w:spacing w:after="120" w:line="240" w:lineRule="auto"/>
        <w:ind w:firstLine="708"/>
        <w:rPr>
          <w:rFonts w:eastAsia="Times New Roman" w:cstheme="minorHAnsi"/>
          <w:b/>
          <w:bCs/>
          <w:sz w:val="28"/>
          <w:szCs w:val="28"/>
          <w:lang w:eastAsia="pl-PL"/>
        </w:rPr>
      </w:pPr>
      <w:r w:rsidRPr="0063592D">
        <w:rPr>
          <w:rFonts w:eastAsia="Times New Roman" w:cstheme="minorHAnsi"/>
          <w:sz w:val="28"/>
          <w:szCs w:val="28"/>
          <w:lang w:eastAsia="pl-PL"/>
        </w:rPr>
        <w:t xml:space="preserve">Od decyzji służy stronie prawo wniesienia odwołania do Samorządowego Kolegium Odwoławczego w Poznaniu, za pośrednictwem Burmistrza Śremu, w terminie 14 dni od dnia doręczenia. </w:t>
      </w:r>
      <w:r w:rsidR="00D0263E" w:rsidRPr="00D0263E">
        <w:rPr>
          <w:rFonts w:eastAsia="Times New Roman" w:cstheme="minorHAnsi"/>
          <w:sz w:val="28"/>
          <w:szCs w:val="28"/>
          <w:lang w:eastAsia="pl-PL"/>
        </w:rPr>
        <w:t xml:space="preserve">Przed upływem terminu do wniesienia odwołania </w:t>
      </w:r>
      <w:r w:rsidR="00D0263E">
        <w:rPr>
          <w:rFonts w:eastAsia="Times New Roman" w:cstheme="minorHAnsi"/>
          <w:sz w:val="28"/>
          <w:szCs w:val="28"/>
          <w:lang w:eastAsia="pl-PL"/>
        </w:rPr>
        <w:t>s</w:t>
      </w:r>
      <w:r w:rsidR="00D0263E" w:rsidRPr="00D0263E">
        <w:rPr>
          <w:rFonts w:eastAsia="Times New Roman" w:cstheme="minorHAnsi"/>
          <w:sz w:val="28"/>
          <w:szCs w:val="28"/>
          <w:lang w:eastAsia="pl-PL"/>
        </w:rPr>
        <w:t>trona może zrzec się prawa do wniesienia odwołania wobec organu administracji publicznej, który wydał decyzję</w:t>
      </w:r>
      <w:r w:rsidR="00D0263E">
        <w:rPr>
          <w:rFonts w:eastAsia="Times New Roman" w:cstheme="minorHAnsi"/>
          <w:sz w:val="28"/>
          <w:szCs w:val="28"/>
          <w:lang w:eastAsia="pl-PL"/>
        </w:rPr>
        <w:t>,</w:t>
      </w:r>
      <w:r w:rsidR="00D0263E" w:rsidRPr="00D0263E">
        <w:rPr>
          <w:rFonts w:eastAsia="Times New Roman" w:cstheme="minorHAnsi"/>
          <w:sz w:val="28"/>
          <w:szCs w:val="28"/>
          <w:lang w:eastAsia="pl-PL"/>
        </w:rPr>
        <w:t xml:space="preserve"> zgodnie z art. 127a § 1 ustawy z dnia 14</w:t>
      </w:r>
      <w:r w:rsidR="00D0263E">
        <w:rPr>
          <w:rFonts w:eastAsia="Times New Roman" w:cstheme="minorHAnsi"/>
          <w:sz w:val="28"/>
          <w:szCs w:val="28"/>
          <w:lang w:eastAsia="pl-PL"/>
        </w:rPr>
        <w:t> </w:t>
      </w:r>
      <w:r w:rsidR="00D0263E" w:rsidRPr="00D0263E">
        <w:rPr>
          <w:rFonts w:eastAsia="Times New Roman" w:cstheme="minorHAnsi"/>
          <w:sz w:val="28"/>
          <w:szCs w:val="28"/>
          <w:lang w:eastAsia="pl-PL"/>
        </w:rPr>
        <w:t>czerwca 1960 r. – Kodeks postępowania administracyjnego (Dz. U. z</w:t>
      </w:r>
      <w:r w:rsidR="00D0263E">
        <w:rPr>
          <w:rFonts w:eastAsia="Times New Roman" w:cstheme="minorHAnsi"/>
          <w:sz w:val="28"/>
          <w:szCs w:val="28"/>
          <w:lang w:eastAsia="pl-PL"/>
        </w:rPr>
        <w:t> </w:t>
      </w:r>
      <w:r w:rsidR="00C552DF">
        <w:rPr>
          <w:rFonts w:eastAsia="Times New Roman" w:cstheme="minorHAnsi"/>
          <w:sz w:val="28"/>
          <w:szCs w:val="28"/>
          <w:lang w:eastAsia="pl-PL"/>
        </w:rPr>
        <w:t>2024 r. poz. 572</w:t>
      </w:r>
      <w:r w:rsidR="00826F62">
        <w:rPr>
          <w:rFonts w:eastAsia="Times New Roman" w:cstheme="minorHAnsi"/>
          <w:sz w:val="28"/>
          <w:szCs w:val="28"/>
          <w:lang w:eastAsia="pl-PL"/>
        </w:rPr>
        <w:t xml:space="preserve"> i z 2025 r. poz. 769</w:t>
      </w:r>
      <w:r w:rsidR="00D0263E" w:rsidRPr="00D0263E">
        <w:rPr>
          <w:rFonts w:eastAsia="Times New Roman" w:cstheme="minorHAnsi"/>
          <w:sz w:val="28"/>
          <w:szCs w:val="28"/>
          <w:lang w:eastAsia="pl-PL"/>
        </w:rPr>
        <w:t xml:space="preserve">). Z dniem doręczenia organowi administracji publicznej oświadczenia o zrzeczeniu się prawa do wniesienia odwołania przez ostatnią ze </w:t>
      </w:r>
      <w:r w:rsidR="00D0263E">
        <w:rPr>
          <w:rFonts w:eastAsia="Times New Roman" w:cstheme="minorHAnsi"/>
          <w:sz w:val="28"/>
          <w:szCs w:val="28"/>
          <w:lang w:eastAsia="pl-PL"/>
        </w:rPr>
        <w:t>s</w:t>
      </w:r>
      <w:r w:rsidR="00D0263E" w:rsidRPr="00D0263E">
        <w:rPr>
          <w:rFonts w:eastAsia="Times New Roman" w:cstheme="minorHAnsi"/>
          <w:sz w:val="28"/>
          <w:szCs w:val="28"/>
          <w:lang w:eastAsia="pl-PL"/>
        </w:rPr>
        <w:t>tron postępowania, decyzja staje się ostateczna i</w:t>
      </w:r>
      <w:r w:rsidR="00D0263E">
        <w:rPr>
          <w:rFonts w:eastAsia="Times New Roman" w:cstheme="minorHAnsi"/>
          <w:sz w:val="28"/>
          <w:szCs w:val="28"/>
          <w:lang w:eastAsia="pl-PL"/>
        </w:rPr>
        <w:t> </w:t>
      </w:r>
      <w:r w:rsidR="00D0263E" w:rsidRPr="00D0263E">
        <w:rPr>
          <w:rFonts w:eastAsia="Times New Roman" w:cstheme="minorHAnsi"/>
          <w:sz w:val="28"/>
          <w:szCs w:val="28"/>
          <w:lang w:eastAsia="pl-PL"/>
        </w:rPr>
        <w:t>prawomocna.</w:t>
      </w:r>
      <w:r w:rsidR="00D0263E">
        <w:rPr>
          <w:rFonts w:eastAsia="Times New Roman" w:cstheme="minorHAnsi"/>
          <w:sz w:val="28"/>
          <w:szCs w:val="28"/>
          <w:lang w:eastAsia="pl-PL"/>
        </w:rPr>
        <w:t xml:space="preserve"> </w:t>
      </w:r>
      <w:r w:rsidRPr="0063592D">
        <w:rPr>
          <w:rFonts w:eastAsia="Times New Roman" w:cstheme="minorHAnsi"/>
          <w:sz w:val="28"/>
          <w:szCs w:val="28"/>
          <w:lang w:eastAsia="pl-PL"/>
        </w:rPr>
        <w:t>Doręczenie przez obwieszczenie uważa się za dokonane po 14</w:t>
      </w:r>
      <w:r w:rsidR="008A1C0E">
        <w:rPr>
          <w:rFonts w:eastAsia="Times New Roman" w:cstheme="minorHAnsi"/>
          <w:sz w:val="28"/>
          <w:szCs w:val="28"/>
          <w:lang w:eastAsia="pl-PL"/>
        </w:rPr>
        <w:t> </w:t>
      </w:r>
      <w:r w:rsidRPr="0063592D">
        <w:rPr>
          <w:rFonts w:eastAsia="Times New Roman" w:cstheme="minorHAnsi"/>
          <w:sz w:val="28"/>
          <w:szCs w:val="28"/>
          <w:lang w:eastAsia="pl-PL"/>
        </w:rPr>
        <w:t xml:space="preserve">dniach od dnia publicznego ogłoszenia stosownie do art. 49 </w:t>
      </w:r>
      <w:r w:rsidR="00D0263E">
        <w:rPr>
          <w:rFonts w:eastAsia="Times New Roman" w:cstheme="minorHAnsi"/>
          <w:sz w:val="28"/>
          <w:szCs w:val="28"/>
          <w:lang w:eastAsia="pl-PL"/>
        </w:rPr>
        <w:t>przywołanej ustawy</w:t>
      </w:r>
      <w:r w:rsidRPr="0063592D">
        <w:rPr>
          <w:rFonts w:eastAsia="Times New Roman" w:cstheme="minorHAnsi"/>
          <w:sz w:val="28"/>
          <w:szCs w:val="28"/>
          <w:lang w:eastAsia="pl-PL"/>
        </w:rPr>
        <w:t xml:space="preserve">. </w:t>
      </w:r>
    </w:p>
    <w:p w14:paraId="0D2146EB" w14:textId="77F093FE" w:rsidR="00DC053D" w:rsidRDefault="00BD5A34" w:rsidP="00F80DB4">
      <w:pPr>
        <w:spacing w:after="120" w:line="240" w:lineRule="auto"/>
        <w:ind w:firstLine="708"/>
        <w:rPr>
          <w:rFonts w:eastAsia="Times New Roman" w:cstheme="minorHAnsi"/>
          <w:sz w:val="28"/>
          <w:szCs w:val="28"/>
          <w:lang w:eastAsia="pl-PL"/>
        </w:rPr>
      </w:pPr>
      <w:r w:rsidRPr="0063592D">
        <w:rPr>
          <w:rFonts w:eastAsia="Times New Roman" w:cstheme="minorHAnsi"/>
          <w:sz w:val="28"/>
          <w:szCs w:val="28"/>
          <w:lang w:eastAsia="pl-PL"/>
        </w:rPr>
        <w:t>Jednocześnie, podaję do publicznej wiadomości informację, że z treścią decyzji oraz z dokumentacją sprawy, w tym z opiniami organów współdziałających, można zapoznać się w Urzędzie Miejskim w Śremie (ul.</w:t>
      </w:r>
      <w:r w:rsidR="00DB7313">
        <w:rPr>
          <w:rFonts w:eastAsia="Times New Roman" w:cstheme="minorHAnsi"/>
          <w:sz w:val="28"/>
          <w:szCs w:val="28"/>
          <w:lang w:eastAsia="pl-PL"/>
        </w:rPr>
        <w:t> </w:t>
      </w:r>
      <w:r w:rsidRPr="0063592D">
        <w:rPr>
          <w:rFonts w:eastAsia="Times New Roman" w:cstheme="minorHAnsi"/>
          <w:sz w:val="28"/>
          <w:szCs w:val="28"/>
          <w:lang w:eastAsia="pl-PL"/>
        </w:rPr>
        <w:t>Plac 20 Października</w:t>
      </w:r>
      <w:r w:rsidR="00265CEF" w:rsidRPr="0063592D">
        <w:rPr>
          <w:rFonts w:eastAsia="Times New Roman" w:cstheme="minorHAnsi"/>
          <w:sz w:val="28"/>
          <w:szCs w:val="28"/>
          <w:lang w:eastAsia="pl-PL"/>
        </w:rPr>
        <w:t xml:space="preserve"> </w:t>
      </w:r>
      <w:r w:rsidRPr="0063592D">
        <w:rPr>
          <w:rFonts w:eastAsia="Times New Roman" w:cstheme="minorHAnsi"/>
          <w:sz w:val="28"/>
          <w:szCs w:val="28"/>
          <w:lang w:eastAsia="pl-PL"/>
        </w:rPr>
        <w:t>1, pok. 33), w godzinach od 7:00 do 15:00.</w:t>
      </w:r>
    </w:p>
    <w:p w14:paraId="5F59E55C" w14:textId="5B9A66D0" w:rsidR="00BD5A34" w:rsidRPr="00826F62" w:rsidRDefault="00BD5A34" w:rsidP="00F80DB4">
      <w:pPr>
        <w:spacing w:after="120" w:line="240" w:lineRule="auto"/>
        <w:ind w:firstLine="709"/>
        <w:rPr>
          <w:rFonts w:eastAsia="Times New Roman" w:cstheme="minorHAnsi"/>
          <w:sz w:val="28"/>
          <w:szCs w:val="28"/>
          <w:lang w:eastAsia="pl-PL"/>
        </w:rPr>
      </w:pPr>
      <w:r w:rsidRPr="0063592D">
        <w:rPr>
          <w:rFonts w:eastAsia="Times New Roman" w:cstheme="minorHAnsi"/>
          <w:sz w:val="28"/>
          <w:szCs w:val="28"/>
          <w:lang w:eastAsia="pl-PL"/>
        </w:rPr>
        <w:t xml:space="preserve">Z treścią decyzji można zapoznać się również w Biuletynie Informacji Publicznej Urzędu Miejskiego w Śremie </w:t>
      </w:r>
      <w:hyperlink r:id="rId8" w:history="1">
        <w:r w:rsidR="00826F62" w:rsidRPr="00826F62">
          <w:rPr>
            <w:rStyle w:val="Hipercze"/>
            <w:sz w:val="28"/>
            <w:szCs w:val="28"/>
          </w:rPr>
          <w:t>https://bip.srem.pl/public/?id=236037</w:t>
        </w:r>
        <w:r w:rsidRPr="00826F62">
          <w:rPr>
            <w:rStyle w:val="Hipercze"/>
            <w:rFonts w:cstheme="minorHAnsi"/>
            <w:sz w:val="28"/>
            <w:szCs w:val="28"/>
          </w:rPr>
          <w:t>.</w:t>
        </w:r>
      </w:hyperlink>
    </w:p>
    <w:p w14:paraId="02E02EDF" w14:textId="78D04261" w:rsidR="00BD5A34" w:rsidRPr="00417844" w:rsidRDefault="003235C6" w:rsidP="00F80DB4">
      <w:pPr>
        <w:spacing w:after="120" w:line="240" w:lineRule="auto"/>
        <w:ind w:left="4248"/>
        <w:jc w:val="center"/>
        <w:rPr>
          <w:rFonts w:eastAsia="Times New Roman" w:cstheme="minorHAnsi"/>
          <w:sz w:val="28"/>
          <w:szCs w:val="28"/>
          <w:lang w:eastAsia="pl-PL"/>
        </w:rPr>
      </w:pPr>
      <w:r w:rsidRPr="00417844">
        <w:rPr>
          <w:rFonts w:eastAsia="Times New Roman" w:cstheme="minorHAnsi"/>
          <w:sz w:val="28"/>
          <w:szCs w:val="28"/>
          <w:lang w:eastAsia="pl-PL"/>
        </w:rPr>
        <w:t>z up. BURMISTRZA</w:t>
      </w:r>
    </w:p>
    <w:p w14:paraId="0DB8800D" w14:textId="555027FD" w:rsidR="003235C6" w:rsidRPr="00417844" w:rsidRDefault="003235C6" w:rsidP="003235C6">
      <w:pPr>
        <w:spacing w:after="0" w:line="240" w:lineRule="auto"/>
        <w:ind w:left="4247"/>
        <w:jc w:val="center"/>
        <w:rPr>
          <w:rFonts w:eastAsia="Times New Roman" w:cstheme="minorHAnsi"/>
          <w:sz w:val="28"/>
          <w:szCs w:val="28"/>
          <w:lang w:eastAsia="pl-PL"/>
        </w:rPr>
      </w:pPr>
      <w:r w:rsidRPr="00417844">
        <w:rPr>
          <w:rFonts w:eastAsia="Times New Roman" w:cstheme="minorHAnsi"/>
          <w:sz w:val="28"/>
          <w:szCs w:val="28"/>
          <w:lang w:eastAsia="pl-PL"/>
        </w:rPr>
        <w:t>Sławomir Ratajczak</w:t>
      </w:r>
    </w:p>
    <w:p w14:paraId="4AB89CB9" w14:textId="5A56156E" w:rsidR="003235C6" w:rsidRPr="0063592D" w:rsidRDefault="003235C6" w:rsidP="00F80DB4">
      <w:pPr>
        <w:spacing w:after="120" w:line="240" w:lineRule="auto"/>
        <w:ind w:left="4248"/>
        <w:jc w:val="center"/>
        <w:rPr>
          <w:rFonts w:eastAsia="Times New Roman" w:cstheme="minorHAnsi"/>
          <w:sz w:val="28"/>
          <w:szCs w:val="28"/>
          <w:lang w:eastAsia="pl-PL"/>
        </w:rPr>
      </w:pPr>
      <w:r w:rsidRPr="00417844">
        <w:rPr>
          <w:rFonts w:eastAsia="Times New Roman" w:cstheme="minorHAnsi"/>
          <w:sz w:val="28"/>
          <w:szCs w:val="28"/>
          <w:lang w:eastAsia="pl-PL"/>
        </w:rPr>
        <w:t>Zastępca Burmistrza</w:t>
      </w:r>
    </w:p>
    <w:p w14:paraId="6A45C5F6" w14:textId="67C937D1" w:rsidR="00BD5A34" w:rsidRPr="0063592D" w:rsidRDefault="00BD5A34" w:rsidP="00F80DB4">
      <w:pPr>
        <w:spacing w:after="120" w:line="240" w:lineRule="auto"/>
        <w:rPr>
          <w:rFonts w:eastAsia="Times New Roman" w:cstheme="minorHAnsi"/>
          <w:sz w:val="28"/>
          <w:szCs w:val="28"/>
          <w:lang w:eastAsia="pl-PL"/>
        </w:rPr>
      </w:pPr>
      <w:r w:rsidRPr="0063592D">
        <w:rPr>
          <w:rFonts w:eastAsia="Times New Roman" w:cstheme="minorHAnsi"/>
          <w:sz w:val="28"/>
          <w:szCs w:val="28"/>
          <w:lang w:eastAsia="pl-PL"/>
        </w:rPr>
        <w:lastRenderedPageBreak/>
        <w:t xml:space="preserve">Wywieszono: </w:t>
      </w:r>
      <w:r w:rsidR="00826F62">
        <w:rPr>
          <w:rFonts w:eastAsia="Times New Roman" w:cstheme="minorHAnsi"/>
          <w:sz w:val="28"/>
          <w:szCs w:val="28"/>
          <w:lang w:eastAsia="pl-PL"/>
        </w:rPr>
        <w:t>29.08</w:t>
      </w:r>
      <w:r w:rsidR="00116E81">
        <w:rPr>
          <w:rFonts w:eastAsia="Times New Roman" w:cstheme="minorHAnsi"/>
          <w:sz w:val="28"/>
          <w:szCs w:val="28"/>
          <w:lang w:eastAsia="pl-PL"/>
        </w:rPr>
        <w:t>.2025</w:t>
      </w:r>
      <w:r w:rsidRPr="0063592D">
        <w:rPr>
          <w:rFonts w:eastAsia="Times New Roman" w:cstheme="minorHAnsi"/>
          <w:sz w:val="28"/>
          <w:szCs w:val="28"/>
          <w:lang w:eastAsia="pl-PL"/>
        </w:rPr>
        <w:t xml:space="preserve"> r.</w:t>
      </w:r>
    </w:p>
    <w:p w14:paraId="11C855B2" w14:textId="77777777" w:rsidR="00BD5A34" w:rsidRDefault="00BD5A34" w:rsidP="00F80DB4">
      <w:pPr>
        <w:spacing w:after="120" w:line="240" w:lineRule="auto"/>
        <w:rPr>
          <w:rFonts w:eastAsia="Times New Roman" w:cstheme="minorHAnsi"/>
          <w:sz w:val="28"/>
          <w:szCs w:val="28"/>
          <w:lang w:eastAsia="pl-PL"/>
        </w:rPr>
      </w:pPr>
      <w:r w:rsidRPr="0063592D">
        <w:rPr>
          <w:rFonts w:eastAsia="Times New Roman" w:cstheme="minorHAnsi"/>
          <w:sz w:val="28"/>
          <w:szCs w:val="28"/>
          <w:lang w:eastAsia="pl-PL"/>
        </w:rPr>
        <w:t>Zdjęto:</w:t>
      </w:r>
    </w:p>
    <w:p w14:paraId="2663461B" w14:textId="77777777" w:rsidR="002833F7" w:rsidRDefault="002833F7" w:rsidP="00F80DB4">
      <w:pPr>
        <w:spacing w:after="120" w:line="240" w:lineRule="auto"/>
        <w:rPr>
          <w:rFonts w:eastAsia="Times New Roman" w:cstheme="minorHAnsi"/>
          <w:sz w:val="28"/>
          <w:szCs w:val="28"/>
          <w:lang w:eastAsia="pl-PL"/>
        </w:rPr>
      </w:pPr>
    </w:p>
    <w:p w14:paraId="1AB5FB2D" w14:textId="77777777" w:rsidR="002833F7" w:rsidRPr="0063592D" w:rsidRDefault="002833F7" w:rsidP="00F80DB4">
      <w:pPr>
        <w:spacing w:after="120" w:line="240" w:lineRule="auto"/>
        <w:rPr>
          <w:rFonts w:eastAsia="Times New Roman" w:cstheme="minorHAnsi"/>
          <w:sz w:val="28"/>
          <w:szCs w:val="28"/>
          <w:lang w:eastAsia="pl-PL"/>
        </w:rPr>
      </w:pPr>
    </w:p>
    <w:p w14:paraId="3F186F67" w14:textId="0F423FC8" w:rsidR="00D0263E" w:rsidRDefault="00D0263E" w:rsidP="00F80DB4">
      <w:pPr>
        <w:spacing w:after="120" w:line="240" w:lineRule="auto"/>
        <w:rPr>
          <w:rFonts w:eastAsia="Times New Roman" w:cstheme="minorHAnsi"/>
          <w:sz w:val="28"/>
          <w:szCs w:val="28"/>
          <w:lang w:eastAsia="pl-PL"/>
        </w:rPr>
      </w:pPr>
      <w:r w:rsidRPr="00DB7313">
        <w:rPr>
          <w:rFonts w:eastAsia="Times New Roman" w:cstheme="minorHAnsi"/>
          <w:sz w:val="28"/>
          <w:szCs w:val="28"/>
          <w:vertAlign w:val="superscript"/>
          <w:lang w:eastAsia="pl-PL"/>
        </w:rPr>
        <w:t>1</w:t>
      </w:r>
      <w:r>
        <w:rPr>
          <w:rFonts w:eastAsia="Times New Roman" w:cstheme="minorHAnsi"/>
          <w:sz w:val="28"/>
          <w:szCs w:val="28"/>
          <w:lang w:eastAsia="pl-PL"/>
        </w:rPr>
        <w:t xml:space="preserve">Podstawa prawna: </w:t>
      </w:r>
      <w:r w:rsidRPr="0063592D">
        <w:rPr>
          <w:rFonts w:eastAsia="Times New Roman" w:cstheme="minorHAnsi"/>
          <w:sz w:val="28"/>
          <w:szCs w:val="28"/>
          <w:lang w:eastAsia="pl-PL"/>
        </w:rPr>
        <w:t>art. 73 ust. 1</w:t>
      </w:r>
      <w:r>
        <w:rPr>
          <w:rFonts w:eastAsia="Times New Roman" w:cstheme="minorHAnsi"/>
          <w:sz w:val="28"/>
          <w:szCs w:val="28"/>
          <w:lang w:eastAsia="pl-PL"/>
        </w:rPr>
        <w:t xml:space="preserve">, </w:t>
      </w:r>
      <w:r w:rsidRPr="0063592D">
        <w:rPr>
          <w:rFonts w:eastAsia="Times New Roman" w:cstheme="minorHAnsi"/>
          <w:sz w:val="28"/>
          <w:szCs w:val="28"/>
          <w:lang w:eastAsia="pl-PL"/>
        </w:rPr>
        <w:t>art. 74 ust. 3</w:t>
      </w:r>
      <w:r>
        <w:rPr>
          <w:rFonts w:eastAsia="Times New Roman" w:cstheme="minorHAnsi"/>
          <w:sz w:val="28"/>
          <w:szCs w:val="28"/>
          <w:lang w:eastAsia="pl-PL"/>
        </w:rPr>
        <w:t xml:space="preserve"> oraz art. 85 ust. 3</w:t>
      </w:r>
      <w:r w:rsidRPr="0063592D">
        <w:rPr>
          <w:rFonts w:eastAsia="Times New Roman" w:cstheme="minorHAnsi"/>
          <w:sz w:val="28"/>
          <w:szCs w:val="28"/>
          <w:lang w:eastAsia="pl-PL"/>
        </w:rPr>
        <w:t xml:space="preserve"> ustawy z</w:t>
      </w:r>
      <w:r w:rsidR="00DB7313">
        <w:rPr>
          <w:rFonts w:eastAsia="Times New Roman" w:cstheme="minorHAnsi"/>
          <w:sz w:val="28"/>
          <w:szCs w:val="28"/>
          <w:lang w:eastAsia="pl-PL"/>
        </w:rPr>
        <w:t> </w:t>
      </w:r>
      <w:r w:rsidRPr="0063592D">
        <w:rPr>
          <w:rFonts w:eastAsia="Times New Roman" w:cstheme="minorHAnsi"/>
          <w:sz w:val="28"/>
          <w:szCs w:val="28"/>
          <w:lang w:eastAsia="pl-PL"/>
        </w:rPr>
        <w:t xml:space="preserve">dnia 3 października 2008 r. o udostępnianiu informacji o środowisku i jego ochronie, udziale społeczeństwa w ochronie środowiska oraz o ocenach oddziaływania na środowisko </w:t>
      </w:r>
      <w:r w:rsidRPr="00BD5A34">
        <w:rPr>
          <w:rFonts w:eastAsia="Times New Roman" w:cstheme="minorHAnsi"/>
          <w:sz w:val="28"/>
          <w:szCs w:val="28"/>
          <w:lang w:eastAsia="pl-PL"/>
        </w:rPr>
        <w:t>(</w:t>
      </w:r>
      <w:r w:rsidR="00566AC2" w:rsidRPr="00566AC2">
        <w:rPr>
          <w:rFonts w:eastAsia="Times New Roman" w:cstheme="minorHAnsi"/>
          <w:sz w:val="28"/>
          <w:szCs w:val="28"/>
          <w:lang w:eastAsia="pl-PL"/>
        </w:rPr>
        <w:t xml:space="preserve">Dz. U. z </w:t>
      </w:r>
      <w:r w:rsidR="00C552DF">
        <w:rPr>
          <w:rFonts w:eastAsia="Times New Roman" w:cstheme="minorHAnsi"/>
          <w:sz w:val="28"/>
          <w:szCs w:val="28"/>
          <w:lang w:eastAsia="pl-PL"/>
        </w:rPr>
        <w:t>2024 r. poz. 1112</w:t>
      </w:r>
      <w:r w:rsidR="00116E81">
        <w:rPr>
          <w:rFonts w:eastAsia="Times New Roman" w:cstheme="minorHAnsi"/>
          <w:sz w:val="28"/>
          <w:szCs w:val="28"/>
          <w:lang w:eastAsia="pl-PL"/>
        </w:rPr>
        <w:t>, 1940 i 1881</w:t>
      </w:r>
      <w:r w:rsidRPr="00BD5A34">
        <w:rPr>
          <w:rFonts w:eastAsia="Times New Roman" w:cstheme="minorHAnsi"/>
          <w:sz w:val="28"/>
          <w:szCs w:val="28"/>
          <w:lang w:eastAsia="pl-PL"/>
        </w:rPr>
        <w:t>)</w:t>
      </w:r>
      <w:r w:rsidR="00DB7313">
        <w:rPr>
          <w:rFonts w:eastAsia="Times New Roman" w:cstheme="minorHAnsi"/>
          <w:sz w:val="28"/>
          <w:szCs w:val="28"/>
          <w:lang w:eastAsia="pl-PL"/>
        </w:rPr>
        <w:t>.</w:t>
      </w:r>
    </w:p>
    <w:p w14:paraId="0D525645" w14:textId="77777777" w:rsidR="00D0263E" w:rsidRPr="0063592D" w:rsidRDefault="00D0263E" w:rsidP="00F80DB4">
      <w:pPr>
        <w:spacing w:after="120" w:line="240" w:lineRule="auto"/>
        <w:ind w:firstLine="708"/>
        <w:rPr>
          <w:rFonts w:eastAsia="Times New Roman" w:cstheme="minorHAnsi"/>
          <w:sz w:val="28"/>
          <w:szCs w:val="28"/>
          <w:lang w:eastAsia="pl-PL"/>
        </w:rPr>
      </w:pPr>
    </w:p>
    <w:p w14:paraId="1B71D3CF" w14:textId="77777777" w:rsidR="00BD5A34" w:rsidRPr="0063592D" w:rsidRDefault="00BD5A34" w:rsidP="00BD5A34">
      <w:pPr>
        <w:rPr>
          <w:rFonts w:eastAsia="Times New Roman" w:cstheme="minorHAnsi"/>
          <w:bCs/>
          <w:sz w:val="28"/>
          <w:szCs w:val="28"/>
          <w:lang w:eastAsia="pl-PL"/>
        </w:rPr>
      </w:pPr>
      <w:r w:rsidRPr="0063592D">
        <w:rPr>
          <w:rFonts w:eastAsia="Times New Roman" w:cstheme="minorHAnsi"/>
          <w:bCs/>
          <w:sz w:val="28"/>
          <w:szCs w:val="28"/>
          <w:lang w:eastAsia="pl-PL"/>
        </w:rPr>
        <w:br w:type="page"/>
      </w:r>
    </w:p>
    <w:p w14:paraId="6469A0DA" w14:textId="77777777" w:rsidR="00826F62" w:rsidRPr="00826F62" w:rsidRDefault="00826F62" w:rsidP="00826F62">
      <w:pPr>
        <w:spacing w:after="0" w:line="240" w:lineRule="auto"/>
        <w:ind w:right="5810"/>
        <w:jc w:val="center"/>
        <w:rPr>
          <w:rFonts w:ascii="Calibri" w:eastAsia="Times New Roman" w:hAnsi="Calibri" w:cs="Calibri"/>
          <w:sz w:val="28"/>
          <w:szCs w:val="28"/>
          <w:lang w:eastAsia="pl-PL"/>
        </w:rPr>
      </w:pPr>
      <w:r w:rsidRPr="00826F62">
        <w:rPr>
          <w:rFonts w:ascii="Calibri" w:eastAsia="Times New Roman" w:hAnsi="Calibri" w:cs="Calibri"/>
          <w:sz w:val="28"/>
          <w:szCs w:val="28"/>
          <w:lang w:eastAsia="pl-PL"/>
        </w:rPr>
        <w:lastRenderedPageBreak/>
        <w:t>Burmistrz Śremu</w:t>
      </w:r>
    </w:p>
    <w:p w14:paraId="434CAB1B" w14:textId="77777777" w:rsidR="00826F62" w:rsidRPr="00826F62" w:rsidRDefault="00826F62" w:rsidP="00826F62">
      <w:pPr>
        <w:spacing w:after="0" w:line="240" w:lineRule="auto"/>
        <w:ind w:right="5810"/>
        <w:jc w:val="center"/>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ul. Plac 20 Października 1</w:t>
      </w:r>
    </w:p>
    <w:p w14:paraId="6F4CF177" w14:textId="77777777" w:rsidR="00826F62" w:rsidRPr="00826F62" w:rsidRDefault="00826F62" w:rsidP="00826F62">
      <w:pPr>
        <w:spacing w:after="0" w:line="240" w:lineRule="auto"/>
        <w:ind w:right="5810"/>
        <w:jc w:val="center"/>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63-100 Śrem</w:t>
      </w:r>
    </w:p>
    <w:p w14:paraId="75D84715" w14:textId="77777777" w:rsidR="00826F62" w:rsidRPr="00826F62" w:rsidRDefault="00826F62" w:rsidP="00826F62">
      <w:pPr>
        <w:spacing w:after="120" w:line="240" w:lineRule="auto"/>
        <w:jc w:val="right"/>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Śrem, 28 sierpnia 2025 r.</w:t>
      </w:r>
    </w:p>
    <w:p w14:paraId="052BDD5B" w14:textId="77777777" w:rsidR="00826F62" w:rsidRPr="00826F62" w:rsidRDefault="00826F62" w:rsidP="00826F62">
      <w:pPr>
        <w:spacing w:after="120" w:line="240" w:lineRule="auto"/>
        <w:jc w:val="both"/>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PPSOŚ.6220.11.2025.BM</w:t>
      </w:r>
    </w:p>
    <w:p w14:paraId="7ED78EBF" w14:textId="77777777" w:rsidR="00826F62" w:rsidRPr="00826F62" w:rsidRDefault="00826F62" w:rsidP="00826F62">
      <w:pPr>
        <w:spacing w:after="120" w:line="240" w:lineRule="auto"/>
        <w:jc w:val="center"/>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Decyzja</w:t>
      </w:r>
    </w:p>
    <w:p w14:paraId="2E8C3969" w14:textId="77777777" w:rsidR="00826F62" w:rsidRPr="00826F62" w:rsidRDefault="00826F62" w:rsidP="00826F62">
      <w:pPr>
        <w:spacing w:after="120" w:line="240" w:lineRule="auto"/>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ab/>
        <w:t>Na podstawie art. 71 ust. 2 pkt 2, art. 75 ust. 1 pkt 4, art. 82 ust. 1 pkt 1 lit. b, art. 82 ust. 1 pkt 2 lit. b, art. 84, art. 85 ust. 1 i ust. 2 pkt 2 ustawy z dnia 3 października 2008 r. o udostępnianiu informacji o środowisku i jego ochronie, udziale społeczeństwa w ochronie środowiska oraz o ocenach oddziaływania na środowisko (</w:t>
      </w:r>
      <w:r w:rsidRPr="00826F62">
        <w:rPr>
          <w:rFonts w:ascii="Calibri" w:eastAsia="Calibri" w:hAnsi="Calibri" w:cs="Calibri"/>
          <w:kern w:val="2"/>
          <w:sz w:val="28"/>
          <w:szCs w:val="28"/>
          <w14:ligatures w14:val="standardContextual"/>
        </w:rPr>
        <w:t>Dz. U. z 2024 r. poz. 1112, 1940 i 1881)</w:t>
      </w:r>
      <w:r w:rsidRPr="00826F62">
        <w:rPr>
          <w:rFonts w:ascii="Calibri" w:eastAsia="Times New Roman" w:hAnsi="Calibri" w:cs="Calibri"/>
          <w:sz w:val="28"/>
          <w:szCs w:val="28"/>
          <w:lang w:eastAsia="pl-PL"/>
        </w:rPr>
        <w:t xml:space="preserve">, zwanej dalej </w:t>
      </w:r>
      <w:proofErr w:type="spellStart"/>
      <w:r w:rsidRPr="00826F62">
        <w:rPr>
          <w:rFonts w:ascii="Calibri" w:eastAsia="Times New Roman" w:hAnsi="Calibri" w:cs="Calibri"/>
          <w:sz w:val="28"/>
          <w:szCs w:val="28"/>
          <w:lang w:eastAsia="pl-PL"/>
        </w:rPr>
        <w:t>u.o.o.ś</w:t>
      </w:r>
      <w:proofErr w:type="spellEnd"/>
      <w:r w:rsidRPr="00826F62">
        <w:rPr>
          <w:rFonts w:ascii="Calibri" w:eastAsia="Times New Roman" w:hAnsi="Calibri" w:cs="Calibri"/>
          <w:sz w:val="28"/>
          <w:szCs w:val="28"/>
          <w:lang w:eastAsia="pl-PL"/>
        </w:rPr>
        <w:t xml:space="preserve">., </w:t>
      </w:r>
      <w:r w:rsidRPr="00826F62">
        <w:rPr>
          <w:rFonts w:ascii="Calibri" w:eastAsia="Times New Roman" w:hAnsi="Calibri" w:cs="Calibri"/>
          <w:bCs/>
          <w:sz w:val="28"/>
          <w:szCs w:val="28"/>
          <w:lang w:eastAsia="pl-PL"/>
        </w:rPr>
        <w:t xml:space="preserve">§ 3 ust. 1 pkt 40 lit. a </w:t>
      </w:r>
      <w:proofErr w:type="spellStart"/>
      <w:r w:rsidRPr="00826F62">
        <w:rPr>
          <w:rFonts w:ascii="Calibri" w:eastAsia="Times New Roman" w:hAnsi="Calibri" w:cs="Calibri"/>
          <w:bCs/>
          <w:sz w:val="28"/>
          <w:szCs w:val="28"/>
          <w:lang w:eastAsia="pl-PL"/>
        </w:rPr>
        <w:t>tiret</w:t>
      </w:r>
      <w:proofErr w:type="spellEnd"/>
      <w:r w:rsidRPr="00826F62">
        <w:rPr>
          <w:rFonts w:ascii="Calibri" w:eastAsia="Times New Roman" w:hAnsi="Calibri" w:cs="Calibri"/>
          <w:bCs/>
          <w:sz w:val="28"/>
          <w:szCs w:val="28"/>
          <w:lang w:eastAsia="pl-PL"/>
        </w:rPr>
        <w:t xml:space="preserve"> trzecie, </w:t>
      </w:r>
      <w:proofErr w:type="spellStart"/>
      <w:r w:rsidRPr="00826F62">
        <w:rPr>
          <w:rFonts w:ascii="Calibri" w:eastAsia="Times New Roman" w:hAnsi="Calibri" w:cs="Calibri"/>
          <w:bCs/>
          <w:sz w:val="28"/>
          <w:szCs w:val="28"/>
          <w:lang w:eastAsia="pl-PL"/>
        </w:rPr>
        <w:t>tiret</w:t>
      </w:r>
      <w:proofErr w:type="spellEnd"/>
      <w:r w:rsidRPr="00826F62">
        <w:rPr>
          <w:rFonts w:ascii="Calibri" w:eastAsia="Times New Roman" w:hAnsi="Calibri" w:cs="Calibri"/>
          <w:bCs/>
          <w:sz w:val="28"/>
          <w:szCs w:val="28"/>
          <w:lang w:eastAsia="pl-PL"/>
        </w:rPr>
        <w:t xml:space="preserve"> piąte i </w:t>
      </w:r>
      <w:proofErr w:type="spellStart"/>
      <w:r w:rsidRPr="00826F62">
        <w:rPr>
          <w:rFonts w:ascii="Calibri" w:eastAsia="Times New Roman" w:hAnsi="Calibri" w:cs="Calibri"/>
          <w:bCs/>
          <w:sz w:val="28"/>
          <w:szCs w:val="28"/>
          <w:lang w:eastAsia="pl-PL"/>
        </w:rPr>
        <w:t>tiret</w:t>
      </w:r>
      <w:proofErr w:type="spellEnd"/>
      <w:r w:rsidRPr="00826F62">
        <w:rPr>
          <w:rFonts w:ascii="Calibri" w:eastAsia="Times New Roman" w:hAnsi="Calibri" w:cs="Calibri"/>
          <w:bCs/>
          <w:sz w:val="28"/>
          <w:szCs w:val="28"/>
          <w:lang w:eastAsia="pl-PL"/>
        </w:rPr>
        <w:t xml:space="preserve"> siódme rozporządzenia Rady Ministrów z dnia 10 września 2019 r. w sprawie przedsięwzięć mogących znacząco oddziaływać na środowisko (Dz. U. poz. 1839, z 2022 r. poz. 1071 i z 2023 r. poz. 1724) </w:t>
      </w:r>
      <w:r w:rsidRPr="00826F62">
        <w:rPr>
          <w:rFonts w:ascii="Calibri" w:eastAsia="Times New Roman" w:hAnsi="Calibri" w:cs="Calibri"/>
          <w:sz w:val="28"/>
          <w:szCs w:val="28"/>
          <w:lang w:eastAsia="pl-PL"/>
        </w:rPr>
        <w:t>oraz art. 104 ustawy z dnia 14 czerwca 1960 r. – Kodeks postępowania administracyjnego (Dz. U. z 2024 r. poz. 572 i z 2025 r. poz. 769), zwanej dalej K.p.a.,</w:t>
      </w:r>
    </w:p>
    <w:p w14:paraId="54834D15" w14:textId="77777777" w:rsidR="00826F62" w:rsidRPr="00826F62" w:rsidRDefault="00826F62" w:rsidP="00826F62">
      <w:pPr>
        <w:spacing w:after="120" w:line="240" w:lineRule="auto"/>
        <w:jc w:val="center"/>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po rozpatrzeniu</w:t>
      </w:r>
    </w:p>
    <w:p w14:paraId="4C30F399" w14:textId="77777777" w:rsidR="00826F62" w:rsidRPr="00826F62" w:rsidRDefault="00826F62" w:rsidP="00826F62">
      <w:pPr>
        <w:spacing w:after="120" w:line="240" w:lineRule="auto"/>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 xml:space="preserve">wniosku </w:t>
      </w:r>
      <w:r w:rsidRPr="00826F62">
        <w:rPr>
          <w:rFonts w:ascii="Calibri" w:eastAsia="Calibri" w:hAnsi="Calibri" w:cs="Calibri"/>
          <w:sz w:val="28"/>
          <w:szCs w:val="28"/>
        </w:rPr>
        <w:t>spółki Żwir-Kop Garby Spółka z ograniczoną odpowiedzialnością, Garby 22, 63-023 Sulęcinek</w:t>
      </w:r>
      <w:r w:rsidRPr="00826F62">
        <w:rPr>
          <w:rFonts w:ascii="Calibri" w:eastAsia="Times New Roman" w:hAnsi="Calibri" w:cs="Calibri"/>
          <w:sz w:val="28"/>
          <w:szCs w:val="28"/>
          <w:lang w:eastAsia="pl-PL"/>
        </w:rPr>
        <w:t xml:space="preserve">, </w:t>
      </w:r>
      <w:r w:rsidRPr="00826F62">
        <w:rPr>
          <w:rFonts w:ascii="Calibri" w:eastAsia="Calibri" w:hAnsi="Calibri" w:cs="Calibri"/>
          <w:sz w:val="28"/>
          <w:szCs w:val="28"/>
        </w:rPr>
        <w:t xml:space="preserve">o wydanie decyzji o środowiskowych uwarunkowaniach dla planowanego przedsięwzięcia polegającego na </w:t>
      </w:r>
      <w:r w:rsidRPr="00826F62">
        <w:rPr>
          <w:rFonts w:ascii="Calibri" w:eastAsia="Calibri" w:hAnsi="Calibri" w:cs="Calibri"/>
          <w:bCs/>
          <w:sz w:val="28"/>
          <w:szCs w:val="28"/>
        </w:rPr>
        <w:t xml:space="preserve">eksploatacji odkrywkowej złoża kruszywa naturalnego </w:t>
      </w:r>
      <w:bookmarkStart w:id="0" w:name="_Hlk207000222"/>
      <w:r w:rsidRPr="00826F62">
        <w:rPr>
          <w:rFonts w:ascii="Calibri" w:eastAsia="Calibri" w:hAnsi="Calibri" w:cs="Calibri"/>
          <w:bCs/>
          <w:sz w:val="28"/>
          <w:szCs w:val="28"/>
        </w:rPr>
        <w:t>„Luciny VII” na działkach o numerach ewidencyjnych 282/1 i 299/1, obręb Luciny</w:t>
      </w:r>
      <w:bookmarkEnd w:id="0"/>
      <w:r w:rsidRPr="00826F62">
        <w:rPr>
          <w:rFonts w:ascii="Calibri" w:eastAsia="Calibri" w:hAnsi="Calibri" w:cs="Calibri"/>
          <w:sz w:val="28"/>
          <w:szCs w:val="28"/>
        </w:rPr>
        <w:t xml:space="preserve">, </w:t>
      </w:r>
    </w:p>
    <w:p w14:paraId="0CFE0DAD" w14:textId="77777777" w:rsidR="00826F62" w:rsidRPr="00826F62" w:rsidRDefault="00826F62" w:rsidP="00826F62">
      <w:pPr>
        <w:spacing w:after="120" w:line="240" w:lineRule="auto"/>
        <w:jc w:val="center"/>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ustalam</w:t>
      </w:r>
    </w:p>
    <w:p w14:paraId="095F5834" w14:textId="77777777" w:rsidR="00826F62" w:rsidRPr="00826F62" w:rsidRDefault="00826F62" w:rsidP="00826F62">
      <w:pPr>
        <w:numPr>
          <w:ilvl w:val="0"/>
          <w:numId w:val="1"/>
        </w:numPr>
        <w:spacing w:after="120" w:line="240" w:lineRule="auto"/>
        <w:ind w:left="425" w:hanging="425"/>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 xml:space="preserve">Brak potrzeby przeprowadzenia oceny oddziaływania na środowisko dla planowanego przedsięwzięcia polegającego na </w:t>
      </w:r>
      <w:r w:rsidRPr="00826F62">
        <w:rPr>
          <w:rFonts w:ascii="Calibri" w:eastAsia="Calibri" w:hAnsi="Calibri" w:cs="Calibri"/>
          <w:bCs/>
          <w:sz w:val="28"/>
          <w:szCs w:val="28"/>
        </w:rPr>
        <w:t>eksploatacji odkrywkowej złoża kruszywa naturalnego „Luciny VII”, zwanego dalej złożem, na działkach o numerach ewidencyjnych 282/1 i 299/1, obręb Luciny</w:t>
      </w:r>
      <w:r w:rsidRPr="00826F62">
        <w:rPr>
          <w:rFonts w:ascii="Calibri" w:eastAsia="Calibri" w:hAnsi="Calibri" w:cs="Calibri"/>
          <w:sz w:val="28"/>
          <w:szCs w:val="28"/>
        </w:rPr>
        <w:t>.</w:t>
      </w:r>
    </w:p>
    <w:p w14:paraId="29C778C4" w14:textId="77777777" w:rsidR="00826F62" w:rsidRPr="00826F62" w:rsidRDefault="00826F62" w:rsidP="00826F62">
      <w:pPr>
        <w:numPr>
          <w:ilvl w:val="0"/>
          <w:numId w:val="1"/>
        </w:numPr>
        <w:spacing w:after="120" w:line="240" w:lineRule="auto"/>
        <w:ind w:left="426" w:hanging="426"/>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 xml:space="preserve">Istotne </w:t>
      </w:r>
      <w:bookmarkStart w:id="1" w:name="highlightHit_12"/>
      <w:bookmarkEnd w:id="1"/>
      <w:r w:rsidRPr="00826F62">
        <w:rPr>
          <w:rFonts w:ascii="Calibri" w:eastAsia="Times New Roman" w:hAnsi="Calibri" w:cs="Calibri"/>
          <w:sz w:val="28"/>
          <w:szCs w:val="28"/>
          <w:lang w:eastAsia="pl-PL"/>
        </w:rPr>
        <w:t>warunki korzystania ze środowiska w fazie realizacji i eksploatacji lub użytkowania przedsięwzięcia, ze szczególnym uwzględnieniem konieczności ochrony cennych wartości przyrodniczych, zasobów naturalnych i zabytków, ograniczenia uciążliwości dla terenów sąsiednich</w:t>
      </w:r>
      <w:r w:rsidRPr="00826F62">
        <w:rPr>
          <w:rFonts w:ascii="Calibri" w:eastAsia="Calibri" w:hAnsi="Calibri" w:cs="Calibri"/>
          <w:kern w:val="2"/>
          <w:sz w:val="28"/>
          <w:szCs w:val="28"/>
          <w14:ligatures w14:val="standardContextual"/>
        </w:rPr>
        <w:t xml:space="preserve"> oraz </w:t>
      </w:r>
      <w:r w:rsidRPr="00826F62">
        <w:rPr>
          <w:rFonts w:ascii="Calibri" w:eastAsia="Times New Roman" w:hAnsi="Calibri" w:cs="Calibri"/>
          <w:sz w:val="28"/>
          <w:szCs w:val="28"/>
          <w:lang w:eastAsia="pl-PL"/>
        </w:rPr>
        <w:t>unikania, zapobiegania i ograniczania oddziaływania przedsięwzięcia na środowisko:</w:t>
      </w:r>
    </w:p>
    <w:p w14:paraId="6470C1AE" w14:textId="77777777" w:rsidR="00826F62" w:rsidRPr="00826F62" w:rsidRDefault="00826F62" w:rsidP="00826F62">
      <w:pPr>
        <w:spacing w:after="0" w:line="240" w:lineRule="auto"/>
        <w:rPr>
          <w:rFonts w:ascii="Calibri" w:eastAsia="Times New Roman" w:hAnsi="Calibri" w:cs="Calibri"/>
          <w:sz w:val="28"/>
          <w:szCs w:val="28"/>
          <w:lang w:eastAsia="pl-PL"/>
        </w:rPr>
      </w:pPr>
      <w:r w:rsidRPr="00826F62">
        <w:rPr>
          <w:rFonts w:ascii="Calibri" w:eastAsia="Times New Roman" w:hAnsi="Calibri" w:cs="Calibri"/>
          <w:sz w:val="28"/>
          <w:szCs w:val="28"/>
          <w:lang w:eastAsia="pl-PL"/>
        </w:rPr>
        <w:br w:type="page"/>
      </w:r>
    </w:p>
    <w:p w14:paraId="54C31F2E" w14:textId="77777777" w:rsidR="00826F62" w:rsidRPr="00826F62" w:rsidRDefault="00826F62" w:rsidP="00826F62">
      <w:pPr>
        <w:numPr>
          <w:ilvl w:val="0"/>
          <w:numId w:val="5"/>
        </w:numPr>
        <w:spacing w:after="120" w:line="240" w:lineRule="auto"/>
        <w:ind w:left="851" w:hanging="284"/>
        <w:rPr>
          <w:rFonts w:ascii="Calibri" w:eastAsia="Times New Roman" w:hAnsi="Calibri" w:cs="Calibri"/>
          <w:sz w:val="28"/>
          <w:szCs w:val="28"/>
          <w:lang w:eastAsia="pl-PL"/>
        </w:rPr>
      </w:pPr>
      <w:r w:rsidRPr="00826F62">
        <w:rPr>
          <w:rFonts w:ascii="Calibri" w:eastAsia="Times New Roman" w:hAnsi="Calibri" w:cs="Calibri"/>
          <w:sz w:val="28"/>
          <w:szCs w:val="28"/>
          <w:lang w:eastAsia="pl-PL"/>
        </w:rPr>
        <w:lastRenderedPageBreak/>
        <w:t>zdejmowanie nadkładu, likwidowanie rowów melioracyjnych oraz rozpoczęcie prac eksploatacyjnych przeprowadzić w okresie od początku sierpnia do końca lutego;</w:t>
      </w:r>
    </w:p>
    <w:p w14:paraId="5C9001EC" w14:textId="77777777" w:rsidR="00826F62" w:rsidRPr="00826F62" w:rsidRDefault="00826F62" w:rsidP="00826F62">
      <w:pPr>
        <w:numPr>
          <w:ilvl w:val="0"/>
          <w:numId w:val="5"/>
        </w:numPr>
        <w:spacing w:after="120" w:line="240" w:lineRule="auto"/>
        <w:ind w:left="851" w:hanging="284"/>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pracę zakładu górniczego oraz transport kopaliny ograniczyć do pory dnia, to jest godzin od 6:00 do 22:00;</w:t>
      </w:r>
    </w:p>
    <w:p w14:paraId="1BA6AF40" w14:textId="77777777" w:rsidR="00826F62" w:rsidRPr="00826F62" w:rsidRDefault="00826F62" w:rsidP="00826F62">
      <w:pPr>
        <w:numPr>
          <w:ilvl w:val="0"/>
          <w:numId w:val="5"/>
        </w:numPr>
        <w:spacing w:after="120" w:line="240" w:lineRule="auto"/>
        <w:ind w:left="851" w:hanging="284"/>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nie prowadzić jednocześnie eksploatacji złoża oraz złóż kruszywa naturalnego „Luciny IV Pole 2 i „Luciny III”;</w:t>
      </w:r>
    </w:p>
    <w:p w14:paraId="649DEF08" w14:textId="77777777" w:rsidR="00826F62" w:rsidRPr="00826F62" w:rsidRDefault="00826F62" w:rsidP="00826F62">
      <w:pPr>
        <w:numPr>
          <w:ilvl w:val="0"/>
          <w:numId w:val="5"/>
        </w:numPr>
        <w:spacing w:after="120" w:line="240" w:lineRule="auto"/>
        <w:ind w:left="851" w:hanging="284"/>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nie odwadniać złoża;</w:t>
      </w:r>
    </w:p>
    <w:p w14:paraId="19E7FC5F" w14:textId="77777777" w:rsidR="00826F62" w:rsidRPr="00826F62" w:rsidRDefault="00826F62" w:rsidP="00826F62">
      <w:pPr>
        <w:numPr>
          <w:ilvl w:val="0"/>
          <w:numId w:val="5"/>
        </w:numPr>
        <w:spacing w:after="120" w:line="240" w:lineRule="auto"/>
        <w:ind w:left="851" w:hanging="284"/>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eksploatację złoża prowadzić bez przerobu kopaliny;</w:t>
      </w:r>
    </w:p>
    <w:p w14:paraId="73C982A7" w14:textId="77777777" w:rsidR="00826F62" w:rsidRPr="00826F62" w:rsidRDefault="00826F62" w:rsidP="00826F62">
      <w:pPr>
        <w:numPr>
          <w:ilvl w:val="0"/>
          <w:numId w:val="5"/>
        </w:numPr>
        <w:spacing w:after="120" w:line="240" w:lineRule="auto"/>
        <w:ind w:left="851" w:hanging="284"/>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tymczasowe zwałowiska nadkładu wykonać w pierwszej kolejności od strony najbliższych terenów chronionych akustycznie, o których mowa w przepisach szczegółowych;</w:t>
      </w:r>
    </w:p>
    <w:p w14:paraId="14A63F13" w14:textId="77777777" w:rsidR="00826F62" w:rsidRPr="00826F62" w:rsidRDefault="00826F62" w:rsidP="00826F62">
      <w:pPr>
        <w:numPr>
          <w:ilvl w:val="0"/>
          <w:numId w:val="5"/>
        </w:numPr>
        <w:spacing w:after="120" w:line="240" w:lineRule="auto"/>
        <w:ind w:left="851" w:hanging="284"/>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pojazdy transportujące kopalinę tankować poza terenem zakładu górniczego, w miejscach do tego przeznaczonych, w szczególności na stacjach paliw;</w:t>
      </w:r>
    </w:p>
    <w:p w14:paraId="48CE7FDD" w14:textId="77777777" w:rsidR="00826F62" w:rsidRPr="00826F62" w:rsidRDefault="00826F62" w:rsidP="00826F62">
      <w:pPr>
        <w:numPr>
          <w:ilvl w:val="0"/>
          <w:numId w:val="5"/>
        </w:numPr>
        <w:spacing w:after="120" w:line="240" w:lineRule="auto"/>
        <w:ind w:left="851" w:hanging="284"/>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tankowanie sprzętu wydobywczego prowadzić poza wyrobiskiem eksploatacyjnym, jedynie w miejscu do tego przeznaczonym i zabezpieczonym przed przedostaniem się zanieczyszczeń do środowiska gruntowo-wodnego;</w:t>
      </w:r>
    </w:p>
    <w:p w14:paraId="350C1176" w14:textId="77777777" w:rsidR="00826F62" w:rsidRPr="00826F62" w:rsidRDefault="00826F62" w:rsidP="00826F62">
      <w:pPr>
        <w:numPr>
          <w:ilvl w:val="0"/>
          <w:numId w:val="5"/>
        </w:numPr>
        <w:spacing w:after="120" w:line="240" w:lineRule="auto"/>
        <w:ind w:left="851" w:hanging="284"/>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wszelkie czynności związane z utrzymywaniem we właściwym stanie sprzętu wydobywczego i transportowego, obejmujące w szczególności naprawę lub wymianę części zużytych wskutek eksploatacji wykonywać poza terenem przedsięwzięcia w specjalistycznych warsztatach;</w:t>
      </w:r>
    </w:p>
    <w:p w14:paraId="2B069CFB" w14:textId="77777777" w:rsidR="00826F62" w:rsidRPr="00826F62" w:rsidRDefault="00826F62" w:rsidP="00826F62">
      <w:pPr>
        <w:numPr>
          <w:ilvl w:val="0"/>
          <w:numId w:val="5"/>
        </w:numPr>
        <w:spacing w:after="120" w:line="240" w:lineRule="auto"/>
        <w:ind w:left="851" w:hanging="425"/>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na terenie przedsięwzięcia nie przechowywać paliw i innych materiałów ropopochodnych;</w:t>
      </w:r>
    </w:p>
    <w:p w14:paraId="37C11D1B" w14:textId="77777777" w:rsidR="00826F62" w:rsidRPr="00826F62" w:rsidRDefault="00826F62" w:rsidP="00826F62">
      <w:pPr>
        <w:numPr>
          <w:ilvl w:val="0"/>
          <w:numId w:val="5"/>
        </w:numPr>
        <w:spacing w:after="120" w:line="240" w:lineRule="auto"/>
        <w:ind w:left="851" w:hanging="425"/>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zakład górniczy wyposażyć w sorbenty w ilościach niezbędnych do przechwytywania ewentualnie powstających wycieków substancji niebezpiecznych. Wycieki substancji mogących zanieczyścić środowisko gruntowo-wodne usuwać niezwłocznie z wykorzystaniem sorbentów</w:t>
      </w:r>
      <w:r w:rsidRPr="00826F62">
        <w:rPr>
          <w:rFonts w:ascii="Calibri" w:eastAsia="Calibri" w:hAnsi="Calibri" w:cs="Calibri"/>
          <w:sz w:val="28"/>
          <w:szCs w:val="28"/>
        </w:rPr>
        <w:t>;</w:t>
      </w:r>
    </w:p>
    <w:p w14:paraId="06865912" w14:textId="77777777" w:rsidR="00826F62" w:rsidRPr="00826F62" w:rsidRDefault="00826F62" w:rsidP="00826F62">
      <w:pPr>
        <w:numPr>
          <w:ilvl w:val="0"/>
          <w:numId w:val="5"/>
        </w:numPr>
        <w:spacing w:after="120" w:line="240" w:lineRule="auto"/>
        <w:ind w:left="851" w:hanging="425"/>
        <w:rPr>
          <w:rFonts w:ascii="Calibri" w:eastAsia="Times New Roman" w:hAnsi="Calibri" w:cs="Calibri"/>
          <w:sz w:val="28"/>
          <w:szCs w:val="28"/>
          <w:lang w:eastAsia="pl-PL"/>
        </w:rPr>
      </w:pPr>
      <w:r w:rsidRPr="00826F62">
        <w:rPr>
          <w:rFonts w:ascii="Calibri" w:eastAsia="Calibri" w:hAnsi="Calibri" w:cs="Calibri"/>
          <w:sz w:val="28"/>
          <w:szCs w:val="28"/>
        </w:rPr>
        <w:t>w przypadku przedostania się zanieczyszczeń do gruntu lub wód należy niezwłocznie podjąć działania zmierzające do usunięcia skutków i przyczyn awarii;</w:t>
      </w:r>
    </w:p>
    <w:p w14:paraId="6B13CD38" w14:textId="77777777" w:rsidR="00826F62" w:rsidRPr="00826F62" w:rsidRDefault="00826F62" w:rsidP="00826F62">
      <w:pPr>
        <w:numPr>
          <w:ilvl w:val="0"/>
          <w:numId w:val="5"/>
        </w:numPr>
        <w:spacing w:after="120" w:line="240" w:lineRule="auto"/>
        <w:ind w:left="851" w:hanging="425"/>
        <w:rPr>
          <w:rFonts w:ascii="Calibri" w:eastAsia="Times New Roman" w:hAnsi="Calibri" w:cs="Calibri"/>
          <w:sz w:val="28"/>
          <w:szCs w:val="28"/>
          <w:lang w:eastAsia="pl-PL"/>
        </w:rPr>
      </w:pPr>
      <w:r w:rsidRPr="00826F62">
        <w:rPr>
          <w:rFonts w:ascii="Calibri" w:eastAsia="Calibri" w:hAnsi="Calibri" w:cs="Calibri"/>
          <w:sz w:val="28"/>
          <w:szCs w:val="28"/>
        </w:rPr>
        <w:lastRenderedPageBreak/>
        <w:t xml:space="preserve">wzdłuż Kanału </w:t>
      </w:r>
      <w:proofErr w:type="spellStart"/>
      <w:r w:rsidRPr="00826F62">
        <w:rPr>
          <w:rFonts w:ascii="Calibri" w:eastAsia="Calibri" w:hAnsi="Calibri" w:cs="Calibri"/>
          <w:sz w:val="28"/>
          <w:szCs w:val="28"/>
        </w:rPr>
        <w:t>Tesiny</w:t>
      </w:r>
      <w:proofErr w:type="spellEnd"/>
      <w:r w:rsidRPr="00826F62">
        <w:rPr>
          <w:rFonts w:ascii="Calibri" w:eastAsia="Calibri" w:hAnsi="Calibri" w:cs="Calibri"/>
          <w:sz w:val="28"/>
          <w:szCs w:val="28"/>
        </w:rPr>
        <w:t>-Orkowo zachować pas ochronny o szerokości nie mniejszej niż 50 m;</w:t>
      </w:r>
    </w:p>
    <w:p w14:paraId="71B4DAB2" w14:textId="77777777" w:rsidR="00826F62" w:rsidRPr="00826F62" w:rsidRDefault="00826F62" w:rsidP="00826F62">
      <w:pPr>
        <w:numPr>
          <w:ilvl w:val="0"/>
          <w:numId w:val="5"/>
        </w:numPr>
        <w:spacing w:after="120" w:line="240" w:lineRule="auto"/>
        <w:ind w:left="851" w:hanging="425"/>
        <w:rPr>
          <w:rFonts w:ascii="Calibri" w:eastAsia="Times New Roman" w:hAnsi="Calibri" w:cs="Calibri"/>
          <w:sz w:val="28"/>
          <w:szCs w:val="28"/>
          <w:lang w:eastAsia="pl-PL"/>
        </w:rPr>
      </w:pPr>
      <w:r w:rsidRPr="00826F62">
        <w:rPr>
          <w:rFonts w:ascii="Calibri" w:eastAsia="Calibri" w:hAnsi="Calibri" w:cs="Calibri"/>
          <w:sz w:val="28"/>
          <w:szCs w:val="28"/>
        </w:rPr>
        <w:t>obszar górniczy zabezpieczyć przed dostępem zwierząt</w:t>
      </w:r>
      <w:r w:rsidRPr="00826F62">
        <w:rPr>
          <w:rFonts w:ascii="Calibri" w:eastAsia="Times New Roman" w:hAnsi="Calibri" w:cs="Calibri"/>
          <w:sz w:val="28"/>
          <w:szCs w:val="28"/>
          <w:lang w:eastAsia="pl-PL"/>
        </w:rPr>
        <w:t>;</w:t>
      </w:r>
    </w:p>
    <w:p w14:paraId="4236DA85" w14:textId="77777777" w:rsidR="00826F62" w:rsidRPr="00826F62" w:rsidRDefault="00826F62" w:rsidP="00826F62">
      <w:pPr>
        <w:numPr>
          <w:ilvl w:val="0"/>
          <w:numId w:val="5"/>
        </w:numPr>
        <w:spacing w:after="120" w:line="240" w:lineRule="auto"/>
        <w:ind w:left="851" w:hanging="425"/>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transportowane z kopalni kruszywo naturalne zabezpieczyć przed unosem pyłów.</w:t>
      </w:r>
    </w:p>
    <w:p w14:paraId="4D6A03E5" w14:textId="77777777" w:rsidR="00826F62" w:rsidRPr="00826F62" w:rsidRDefault="00826F62" w:rsidP="00826F62">
      <w:pPr>
        <w:numPr>
          <w:ilvl w:val="0"/>
          <w:numId w:val="1"/>
        </w:numPr>
        <w:spacing w:after="120" w:line="240" w:lineRule="auto"/>
        <w:ind w:left="426" w:hanging="426"/>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Integralną częścią decyzji jest charakterystyka przedsięwzięcia, stanowiąca załącznik nr 1 do decyzji.</w:t>
      </w:r>
    </w:p>
    <w:p w14:paraId="77245163" w14:textId="77777777" w:rsidR="00826F62" w:rsidRPr="00826F62" w:rsidRDefault="00826F62" w:rsidP="00826F62">
      <w:pPr>
        <w:spacing w:after="120" w:line="240" w:lineRule="auto"/>
        <w:jc w:val="center"/>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Uzasadnienie</w:t>
      </w:r>
    </w:p>
    <w:p w14:paraId="47534411" w14:textId="77777777" w:rsidR="00826F62" w:rsidRPr="00826F62" w:rsidRDefault="00826F62" w:rsidP="00826F62">
      <w:pPr>
        <w:spacing w:after="120" w:line="240" w:lineRule="auto"/>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ab/>
      </w:r>
      <w:r w:rsidRPr="00826F62">
        <w:rPr>
          <w:rFonts w:ascii="Calibri" w:eastAsia="Times New Roman" w:hAnsi="Calibri" w:cs="Calibri"/>
          <w:bCs/>
          <w:sz w:val="28"/>
          <w:szCs w:val="28"/>
          <w:lang w:eastAsia="pl-PL"/>
        </w:rPr>
        <w:t xml:space="preserve">13.06.2025 r. do Burmistrza Śremu wpłynął wniosek spółki Żwir-Kop Garby Spółka z ograniczoną odpowiedzialnością, Garby 22, 63-023 Sulęcinek </w:t>
      </w:r>
      <w:r w:rsidRPr="00826F62">
        <w:rPr>
          <w:rFonts w:ascii="Calibri" w:eastAsia="Times New Roman" w:hAnsi="Calibri" w:cs="Calibri"/>
          <w:sz w:val="28"/>
          <w:szCs w:val="28"/>
          <w:lang w:eastAsia="pl-PL"/>
        </w:rPr>
        <w:t xml:space="preserve">(KRS 0000499889), działającej przez pełnomocnika Pana Daniela Danielewskiego, o wydanie decyzji o środowiskowych uwarunkowaniach dla planowanego przedsięwzięcia polegającego na eksploatacji odkrywkowej złoża kruszywa naturalnego „Luciny VII” na działkach o numerach ewidencyjnych 282/1 i 299/1, obręb Luciny. </w:t>
      </w:r>
      <w:r w:rsidRPr="00826F62">
        <w:rPr>
          <w:rFonts w:ascii="Calibri" w:eastAsia="Calibri" w:hAnsi="Calibri" w:cs="Calibri"/>
          <w:sz w:val="28"/>
          <w:szCs w:val="28"/>
        </w:rPr>
        <w:t>Do wniosku załączona została karta informacyjna przedsięwzięcia wraz z wymaganymi załącznikami oraz pełnomocnictwo.</w:t>
      </w:r>
    </w:p>
    <w:p w14:paraId="606718D0" w14:textId="77777777" w:rsidR="00826F62" w:rsidRPr="00826F62" w:rsidRDefault="00826F62" w:rsidP="00826F62">
      <w:pPr>
        <w:spacing w:after="120" w:line="240" w:lineRule="auto"/>
        <w:ind w:firstLine="708"/>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 xml:space="preserve">Zgodnie z art. 73 ust. 1 </w:t>
      </w:r>
      <w:proofErr w:type="spellStart"/>
      <w:r w:rsidRPr="00826F62">
        <w:rPr>
          <w:rFonts w:ascii="Calibri" w:eastAsia="Times New Roman" w:hAnsi="Calibri" w:cs="Calibri"/>
          <w:sz w:val="28"/>
          <w:szCs w:val="28"/>
          <w:lang w:eastAsia="pl-PL"/>
        </w:rPr>
        <w:t>u.o.o.ś</w:t>
      </w:r>
      <w:proofErr w:type="spellEnd"/>
      <w:r w:rsidRPr="00826F62">
        <w:rPr>
          <w:rFonts w:ascii="Calibri" w:eastAsia="Times New Roman" w:hAnsi="Calibri" w:cs="Calibri"/>
          <w:sz w:val="28"/>
          <w:szCs w:val="28"/>
          <w:lang w:eastAsia="pl-PL"/>
        </w:rPr>
        <w:t>. postępowanie w sprawie wydania decyzji o środowiskowych uwarunkowaniach wszczyna się na wniosek podmiotu planującego podjęcie realizacji przedsięwzięcia.</w:t>
      </w:r>
    </w:p>
    <w:p w14:paraId="6E2FDF31" w14:textId="77777777" w:rsidR="00826F62" w:rsidRPr="00826F62" w:rsidRDefault="00826F62" w:rsidP="00826F62">
      <w:pPr>
        <w:spacing w:after="120" w:line="240" w:lineRule="auto"/>
        <w:ind w:firstLine="708"/>
        <w:rPr>
          <w:rFonts w:ascii="Calibri" w:eastAsia="Times New Roman" w:hAnsi="Calibri" w:cs="Calibri"/>
          <w:sz w:val="28"/>
          <w:szCs w:val="28"/>
          <w:lang w:eastAsia="pl-PL"/>
        </w:rPr>
      </w:pPr>
      <w:r w:rsidRPr="00826F62">
        <w:rPr>
          <w:rFonts w:ascii="Calibri" w:eastAsia="Calibri" w:hAnsi="Calibri" w:cs="Calibri"/>
          <w:sz w:val="28"/>
          <w:szCs w:val="28"/>
        </w:rPr>
        <w:t xml:space="preserve">Na podstawie art. 75 ust. 1 pkt 4 </w:t>
      </w:r>
      <w:proofErr w:type="spellStart"/>
      <w:r w:rsidRPr="00826F62">
        <w:rPr>
          <w:rFonts w:ascii="Calibri" w:eastAsia="Calibri" w:hAnsi="Calibri" w:cs="Calibri"/>
          <w:sz w:val="28"/>
          <w:szCs w:val="28"/>
        </w:rPr>
        <w:t>u.o.o.ś</w:t>
      </w:r>
      <w:proofErr w:type="spellEnd"/>
      <w:r w:rsidRPr="00826F62">
        <w:rPr>
          <w:rFonts w:ascii="Calibri" w:eastAsia="Calibri" w:hAnsi="Calibri" w:cs="Calibri"/>
          <w:sz w:val="28"/>
          <w:szCs w:val="28"/>
        </w:rPr>
        <w:t xml:space="preserve">. w przypadku przedmiotowego przedsięwzięcia, właściwym organem do wydania decyzji o środowiskowych uwarunkowaniach jest Burmistrz Śremu. </w:t>
      </w:r>
    </w:p>
    <w:p w14:paraId="3D924FC4" w14:textId="77777777" w:rsidR="00826F62" w:rsidRPr="00826F62" w:rsidRDefault="00826F62" w:rsidP="00826F62">
      <w:pPr>
        <w:spacing w:after="120" w:line="240" w:lineRule="auto"/>
        <w:ind w:firstLine="708"/>
        <w:rPr>
          <w:rFonts w:ascii="Calibri" w:eastAsia="Calibri" w:hAnsi="Calibri" w:cs="Calibri"/>
          <w:sz w:val="28"/>
          <w:szCs w:val="28"/>
        </w:rPr>
      </w:pPr>
      <w:r w:rsidRPr="00826F62">
        <w:rPr>
          <w:rFonts w:ascii="Calibri" w:eastAsia="Calibri" w:hAnsi="Calibri" w:cs="Calibri"/>
          <w:sz w:val="28"/>
          <w:szCs w:val="28"/>
        </w:rPr>
        <w:t>Planowane przedsięwzięcie będzie polegać na wydobywaniu kopaliny w postaci piasku ze złoża metodą odkrywkową, bez użycia materiałów wybuchowych. Całkowita powierzchnia udokumentowanego złoża wynosi 9,8340 ha, natomiast projektowany obszar górniczy złoża będzie mieć powierzchnię 9,5797 ha.</w:t>
      </w:r>
    </w:p>
    <w:p w14:paraId="310ADA83" w14:textId="77777777" w:rsidR="00826F62" w:rsidRPr="00826F62" w:rsidRDefault="00826F62" w:rsidP="00826F62">
      <w:pPr>
        <w:spacing w:after="120" w:line="240" w:lineRule="auto"/>
        <w:ind w:firstLine="708"/>
        <w:rPr>
          <w:rFonts w:ascii="Calibri" w:eastAsia="Calibri" w:hAnsi="Calibri" w:cs="Calibri"/>
          <w:sz w:val="28"/>
          <w:szCs w:val="28"/>
        </w:rPr>
      </w:pPr>
      <w:r w:rsidRPr="00826F62">
        <w:rPr>
          <w:rFonts w:ascii="Calibri" w:eastAsia="Calibri" w:hAnsi="Calibri" w:cs="Calibri"/>
          <w:sz w:val="28"/>
          <w:szCs w:val="28"/>
        </w:rPr>
        <w:t>Teren przedsięwzięcia znajduje się poza obszarami szczególnego zagrożenia powodzią i objętymi formami ochrony przyrody, o których mowa w art. 6 ust. 1 pkt 1 - 5, 8 i 9 ustawy z dnia 16 kwietnia 2004 r. o ochronie przyrody (Dz. U. z 2024 r. poz. 1478, 1940 i z 2025 r. poz. 884) oraz nie będzie znajdować się w otulinach form ochrony przyrody, o których mowa w art. 6 ust. 1 pkt 1 - 3 tej ustawy.</w:t>
      </w:r>
    </w:p>
    <w:p w14:paraId="086D91EF" w14:textId="77777777" w:rsidR="00826F62" w:rsidRPr="00826F62" w:rsidRDefault="00826F62" w:rsidP="00826F62">
      <w:pPr>
        <w:spacing w:after="120" w:line="240" w:lineRule="auto"/>
        <w:ind w:firstLine="708"/>
        <w:rPr>
          <w:rFonts w:ascii="Calibri" w:eastAsia="Calibri" w:hAnsi="Calibri" w:cs="Calibri"/>
          <w:sz w:val="28"/>
          <w:szCs w:val="28"/>
        </w:rPr>
      </w:pPr>
      <w:r w:rsidRPr="00826F62">
        <w:rPr>
          <w:rFonts w:ascii="Calibri" w:eastAsia="Times New Roman" w:hAnsi="Calibri" w:cs="Calibri"/>
          <w:sz w:val="28"/>
          <w:szCs w:val="28"/>
          <w:lang w:eastAsia="pl-PL"/>
        </w:rPr>
        <w:lastRenderedPageBreak/>
        <w:t>W bezpośrednim sąsiedztwie projektowanego obszaru górniczego znajdują się tereny leśne oraz inne obszary górnicze, ustanowione dla wydobywania kopalin metodą odkrywkową</w:t>
      </w:r>
      <w:r w:rsidRPr="00826F62">
        <w:rPr>
          <w:rFonts w:ascii="Calibri" w:eastAsia="Calibri" w:hAnsi="Calibri" w:cs="Calibri"/>
          <w:sz w:val="28"/>
          <w:szCs w:val="28"/>
        </w:rPr>
        <w:t xml:space="preserve">. </w:t>
      </w:r>
    </w:p>
    <w:p w14:paraId="6E843618" w14:textId="77777777" w:rsidR="00826F62" w:rsidRPr="00826F62" w:rsidRDefault="00826F62" w:rsidP="00826F62">
      <w:pPr>
        <w:spacing w:after="120" w:line="240" w:lineRule="auto"/>
        <w:ind w:firstLine="708"/>
        <w:rPr>
          <w:rFonts w:ascii="Calibri" w:eastAsia="Calibri" w:hAnsi="Calibri" w:cs="Calibri"/>
          <w:sz w:val="28"/>
          <w:szCs w:val="28"/>
        </w:rPr>
      </w:pPr>
      <w:bookmarkStart w:id="2" w:name="_Hlk198794752"/>
      <w:r w:rsidRPr="00826F62">
        <w:rPr>
          <w:rFonts w:ascii="Calibri" w:eastAsia="Times New Roman" w:hAnsi="Calibri" w:cs="Calibri"/>
          <w:b/>
          <w:bCs/>
          <w:sz w:val="28"/>
          <w:szCs w:val="28"/>
          <w:lang w:eastAsia="pl-PL"/>
        </w:rPr>
        <w:t>Przedmiotowe przedsięwzięcie zakwalifikowano do</w:t>
      </w:r>
      <w:r w:rsidRPr="00826F62">
        <w:rPr>
          <w:rFonts w:ascii="Calibri" w:eastAsia="Times New Roman" w:hAnsi="Calibri" w:cs="Calibri"/>
          <w:sz w:val="28"/>
          <w:szCs w:val="28"/>
          <w:lang w:eastAsia="pl-PL"/>
        </w:rPr>
        <w:t xml:space="preserve"> przedsięwzięć mogących potencjalnie znacząco oddziaływać na środowisko</w:t>
      </w:r>
      <w:bookmarkEnd w:id="2"/>
      <w:r w:rsidRPr="00826F62">
        <w:rPr>
          <w:rFonts w:ascii="Calibri" w:eastAsia="Times New Roman" w:hAnsi="Calibri" w:cs="Calibri"/>
          <w:sz w:val="28"/>
          <w:szCs w:val="28"/>
          <w:lang w:eastAsia="pl-PL"/>
        </w:rPr>
        <w:t xml:space="preserve">, dla których obowiązek przeprowadzenia oceny oddziaływania na środowisko może być stwierdzony, wymienionych w rozporządzeniu Rady Ministrów z dnia 10 września 2019 r. w sprawie przedsięwzięć mogących znacząco oddziaływać na środowisko w </w:t>
      </w:r>
      <w:r w:rsidRPr="00826F62">
        <w:rPr>
          <w:rFonts w:ascii="Calibri" w:eastAsia="Times New Roman" w:hAnsi="Calibri" w:cs="Calibri"/>
          <w:b/>
          <w:bCs/>
          <w:sz w:val="28"/>
          <w:szCs w:val="28"/>
          <w:lang w:eastAsia="pl-PL"/>
        </w:rPr>
        <w:t xml:space="preserve">§ 3 ust. 1 pkt 40 lit. a </w:t>
      </w:r>
      <w:proofErr w:type="spellStart"/>
      <w:r w:rsidRPr="00826F62">
        <w:rPr>
          <w:rFonts w:ascii="Calibri" w:eastAsia="Times New Roman" w:hAnsi="Calibri" w:cs="Calibri"/>
          <w:b/>
          <w:bCs/>
          <w:sz w:val="28"/>
          <w:szCs w:val="28"/>
          <w:lang w:eastAsia="pl-PL"/>
        </w:rPr>
        <w:t>tiret</w:t>
      </w:r>
      <w:proofErr w:type="spellEnd"/>
      <w:r w:rsidRPr="00826F62">
        <w:rPr>
          <w:rFonts w:ascii="Calibri" w:eastAsia="Times New Roman" w:hAnsi="Calibri" w:cs="Calibri"/>
          <w:b/>
          <w:bCs/>
          <w:sz w:val="28"/>
          <w:szCs w:val="28"/>
          <w:lang w:eastAsia="pl-PL"/>
        </w:rPr>
        <w:t xml:space="preserve"> trzecie, </w:t>
      </w:r>
      <w:proofErr w:type="spellStart"/>
      <w:r w:rsidRPr="00826F62">
        <w:rPr>
          <w:rFonts w:ascii="Calibri" w:eastAsia="Times New Roman" w:hAnsi="Calibri" w:cs="Calibri"/>
          <w:b/>
          <w:bCs/>
          <w:sz w:val="28"/>
          <w:szCs w:val="28"/>
          <w:lang w:eastAsia="pl-PL"/>
        </w:rPr>
        <w:t>tiret</w:t>
      </w:r>
      <w:proofErr w:type="spellEnd"/>
      <w:r w:rsidRPr="00826F62">
        <w:rPr>
          <w:rFonts w:ascii="Calibri" w:eastAsia="Times New Roman" w:hAnsi="Calibri" w:cs="Calibri"/>
          <w:b/>
          <w:bCs/>
          <w:sz w:val="28"/>
          <w:szCs w:val="28"/>
          <w:lang w:eastAsia="pl-PL"/>
        </w:rPr>
        <w:t xml:space="preserve"> piąte i </w:t>
      </w:r>
      <w:proofErr w:type="spellStart"/>
      <w:r w:rsidRPr="00826F62">
        <w:rPr>
          <w:rFonts w:ascii="Calibri" w:eastAsia="Times New Roman" w:hAnsi="Calibri" w:cs="Calibri"/>
          <w:b/>
          <w:bCs/>
          <w:sz w:val="28"/>
          <w:szCs w:val="28"/>
          <w:lang w:eastAsia="pl-PL"/>
        </w:rPr>
        <w:t>tiret</w:t>
      </w:r>
      <w:proofErr w:type="spellEnd"/>
      <w:r w:rsidRPr="00826F62">
        <w:rPr>
          <w:rFonts w:ascii="Calibri" w:eastAsia="Times New Roman" w:hAnsi="Calibri" w:cs="Calibri"/>
          <w:b/>
          <w:bCs/>
          <w:sz w:val="28"/>
          <w:szCs w:val="28"/>
          <w:lang w:eastAsia="pl-PL"/>
        </w:rPr>
        <w:t xml:space="preserve"> siódme</w:t>
      </w:r>
      <w:r w:rsidRPr="00826F62">
        <w:rPr>
          <w:rFonts w:ascii="Calibri" w:eastAsia="Times New Roman" w:hAnsi="Calibri" w:cs="Calibri"/>
          <w:sz w:val="28"/>
          <w:szCs w:val="28"/>
          <w:lang w:eastAsia="pl-PL"/>
        </w:rPr>
        <w:t>: „</w:t>
      </w:r>
      <w:r w:rsidRPr="00826F62">
        <w:rPr>
          <w:rFonts w:ascii="Calibri" w:eastAsia="Calibri" w:hAnsi="Calibri" w:cs="Calibri"/>
          <w:sz w:val="28"/>
          <w:szCs w:val="28"/>
        </w:rPr>
        <w:t>wydobywanie kopalin ze złoża metodą odkrywkową inne niż wymienione w § 2 ust. 1 pkt 27 lit. a</w:t>
      </w:r>
      <w:r w:rsidRPr="00826F62">
        <w:rPr>
          <w:rFonts w:ascii="Calibri" w:eastAsia="Calibri" w:hAnsi="Calibri" w:cs="Calibri"/>
          <w:sz w:val="28"/>
          <w:szCs w:val="28"/>
          <w:vertAlign w:val="superscript"/>
        </w:rPr>
        <w:footnoteReference w:id="1"/>
      </w:r>
      <w:r w:rsidRPr="00826F62">
        <w:rPr>
          <w:rFonts w:ascii="Calibri" w:eastAsia="Calibri" w:hAnsi="Calibri" w:cs="Calibri"/>
          <w:sz w:val="28"/>
          <w:szCs w:val="28"/>
        </w:rPr>
        <w:t xml:space="preserve"> bez względu na powierzchnię obszaru górniczego: na terenie gruntów leśnych lub w odległości nie większej niż 100 m od nich; w odległości nie większej niż 250 m od terenów, o których mowa w art. 113 ust. 2 pkt 1 ustawy z dnia 27 kwietnia 2001 r. – Prawo ochrony środowiska; jeżeli w odległości nie większej niż 0,5 km od miejsca planowanego wydobywania kopalin metodą odkrywkową znajduje się inny obszar górniczy ustanowiony dla wydobywania kopalin metodą odkrywkową.”.</w:t>
      </w:r>
    </w:p>
    <w:p w14:paraId="611C205E" w14:textId="77777777" w:rsidR="00826F62" w:rsidRPr="00826F62" w:rsidRDefault="00826F62" w:rsidP="00826F62">
      <w:pPr>
        <w:spacing w:after="120" w:line="240" w:lineRule="auto"/>
        <w:ind w:firstLine="708"/>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 xml:space="preserve">Stosownie do art. 74 ust. 3a </w:t>
      </w:r>
      <w:proofErr w:type="spellStart"/>
      <w:r w:rsidRPr="00826F62">
        <w:rPr>
          <w:rFonts w:ascii="Calibri" w:eastAsia="Times New Roman" w:hAnsi="Calibri" w:cs="Calibri"/>
          <w:sz w:val="28"/>
          <w:szCs w:val="28"/>
          <w:lang w:eastAsia="pl-PL"/>
        </w:rPr>
        <w:t>u.o.o.ś</w:t>
      </w:r>
      <w:proofErr w:type="spellEnd"/>
      <w:r w:rsidRPr="00826F62">
        <w:rPr>
          <w:rFonts w:ascii="Calibri" w:eastAsia="Times New Roman" w:hAnsi="Calibri" w:cs="Calibri"/>
          <w:sz w:val="28"/>
          <w:szCs w:val="28"/>
          <w:lang w:eastAsia="pl-PL"/>
        </w:rPr>
        <w:t>. Burmistrz Śremu ustalił krąg podmiotów, którym przysługuje przymiot strony. Przymiot strony postępowania otrzymali: wnioskodawca, właściciele terenu, na którym realizowane będzie przedsięwzięcie (działki o numerach ewidencyjnych: 282/1 i 299/1, obręb Luciny) oraz podmioty, którym przysługuje prawo rzeczowe do nieruchomości znajdujących się w obszarze wyznaczonym w odległości 100 m od granic terenu przedsięwzięcia. Obszar ten objął więc działki o numerach ewidencyjnych: 300; 322/1; 305; 322/2; 322/7; 324/15; 301; 306; 282/2; 282/3; 299/2; 324/16; 282/1; 283; 284; 299/1; 296; 297; 298; 302; 323; 279; 322/4; 322/6; 281; 307; 280, obręb Luciny.</w:t>
      </w:r>
    </w:p>
    <w:p w14:paraId="0F12947D" w14:textId="77777777" w:rsidR="00826F62" w:rsidRPr="00826F62" w:rsidRDefault="00826F62" w:rsidP="00826F62">
      <w:pPr>
        <w:spacing w:after="120" w:line="240" w:lineRule="auto"/>
        <w:ind w:firstLine="708"/>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 xml:space="preserve">Zgodnie z art. 74 ust. 3 </w:t>
      </w:r>
      <w:proofErr w:type="spellStart"/>
      <w:r w:rsidRPr="00826F62">
        <w:rPr>
          <w:rFonts w:ascii="Calibri" w:eastAsia="Times New Roman" w:hAnsi="Calibri" w:cs="Calibri"/>
          <w:sz w:val="28"/>
          <w:szCs w:val="28"/>
          <w:lang w:eastAsia="pl-PL"/>
        </w:rPr>
        <w:t>u.o.o.ś</w:t>
      </w:r>
      <w:proofErr w:type="spellEnd"/>
      <w:r w:rsidRPr="00826F62">
        <w:rPr>
          <w:rFonts w:ascii="Calibri" w:eastAsia="Times New Roman" w:hAnsi="Calibri" w:cs="Calibri"/>
          <w:sz w:val="28"/>
          <w:szCs w:val="28"/>
          <w:lang w:eastAsia="pl-PL"/>
        </w:rPr>
        <w:t>. strony postępowania zostały powiadomione o wszczęciu postępowania w formie obwieszczenia z 27.06.2025 r. Obwieszczenie zamieszczono w Biuletynie Informacji Publicznej Urzędu Miejskiego w Śremie (</w:t>
      </w:r>
      <w:hyperlink r:id="rId9" w:history="1">
        <w:r w:rsidRPr="00826F62">
          <w:rPr>
            <w:rFonts w:ascii="Calibri" w:eastAsia="Calibri" w:hAnsi="Calibri" w:cs="Calibri"/>
            <w:color w:val="0563C1"/>
            <w:sz w:val="28"/>
            <w:szCs w:val="28"/>
            <w:u w:val="single"/>
          </w:rPr>
          <w:t>https://bip.srem.pl/public/?id=236037</w:t>
        </w:r>
      </w:hyperlink>
      <w:r w:rsidRPr="00826F62">
        <w:rPr>
          <w:rFonts w:ascii="Calibri" w:eastAsia="Times New Roman" w:hAnsi="Calibri" w:cs="Calibri"/>
          <w:sz w:val="28"/>
          <w:szCs w:val="28"/>
          <w:lang w:eastAsia="pl-PL"/>
        </w:rPr>
        <w:t>), w gablotach informacyjnych Urzędu oraz na tablicy ogłoszeniowej w Lucinach.</w:t>
      </w:r>
    </w:p>
    <w:p w14:paraId="56D726D2" w14:textId="77777777" w:rsidR="00826F62" w:rsidRPr="00826F62" w:rsidRDefault="00826F62" w:rsidP="00826F62">
      <w:pPr>
        <w:spacing w:after="0" w:line="240" w:lineRule="auto"/>
        <w:jc w:val="both"/>
        <w:rPr>
          <w:rFonts w:ascii="Calibri" w:eastAsia="Times New Roman" w:hAnsi="Calibri" w:cs="Calibri"/>
          <w:sz w:val="28"/>
          <w:szCs w:val="28"/>
          <w:lang w:eastAsia="pl-PL"/>
        </w:rPr>
      </w:pPr>
      <w:r w:rsidRPr="00826F62">
        <w:rPr>
          <w:rFonts w:ascii="Calibri" w:eastAsia="Times New Roman" w:hAnsi="Calibri" w:cs="Calibri"/>
          <w:sz w:val="28"/>
          <w:szCs w:val="28"/>
          <w:lang w:eastAsia="pl-PL"/>
        </w:rPr>
        <w:br w:type="page"/>
      </w:r>
    </w:p>
    <w:p w14:paraId="16F934F6" w14:textId="77777777" w:rsidR="00826F62" w:rsidRPr="00826F62" w:rsidRDefault="00826F62" w:rsidP="00826F62">
      <w:pPr>
        <w:spacing w:after="120" w:line="240" w:lineRule="auto"/>
        <w:ind w:firstLine="708"/>
        <w:rPr>
          <w:rFonts w:ascii="Calibri" w:eastAsia="Times New Roman" w:hAnsi="Calibri" w:cs="Calibri"/>
          <w:sz w:val="28"/>
          <w:szCs w:val="28"/>
          <w:lang w:eastAsia="pl-PL"/>
        </w:rPr>
      </w:pPr>
      <w:r w:rsidRPr="00826F62">
        <w:rPr>
          <w:rFonts w:ascii="Calibri" w:eastAsia="Times New Roman" w:hAnsi="Calibri" w:cs="Calibri"/>
          <w:sz w:val="28"/>
          <w:szCs w:val="28"/>
          <w:lang w:eastAsia="pl-PL"/>
        </w:rPr>
        <w:lastRenderedPageBreak/>
        <w:t xml:space="preserve">Zgodnie z art. 64 ust. 1 pkt 1 i pkt 4 </w:t>
      </w:r>
      <w:proofErr w:type="spellStart"/>
      <w:r w:rsidRPr="00826F62">
        <w:rPr>
          <w:rFonts w:ascii="Calibri" w:eastAsia="Times New Roman" w:hAnsi="Calibri" w:cs="Calibri"/>
          <w:sz w:val="28"/>
          <w:szCs w:val="28"/>
          <w:lang w:eastAsia="pl-PL"/>
        </w:rPr>
        <w:t>u.o.o.ś</w:t>
      </w:r>
      <w:proofErr w:type="spellEnd"/>
      <w:r w:rsidRPr="00826F62">
        <w:rPr>
          <w:rFonts w:ascii="Calibri" w:eastAsia="Times New Roman" w:hAnsi="Calibri" w:cs="Calibri"/>
          <w:sz w:val="28"/>
          <w:szCs w:val="28"/>
          <w:lang w:eastAsia="pl-PL"/>
        </w:rPr>
        <w:t xml:space="preserve">. Burmistrz Śremu, pismem z 27.06.2025 r., wystąpił do Regionalnego Dyrektora Ochrony Środowiska w Poznaniu oraz Dyrektora Zarządu Zlewni Państwowego Gospodarstwa Wodnego Wody Polskie w Poznaniu, o opinię w sprawie obowiązku przeprowadzenia oceny oddziaływania przedmiotowego przedsięwzięcia na środowisko i określenia zakresu ewentualnego raportu. </w:t>
      </w:r>
    </w:p>
    <w:p w14:paraId="71717FB4" w14:textId="77777777" w:rsidR="00826F62" w:rsidRPr="00826F62" w:rsidRDefault="00826F62" w:rsidP="00826F62">
      <w:pPr>
        <w:spacing w:after="0" w:line="240" w:lineRule="auto"/>
        <w:ind w:firstLine="709"/>
        <w:rPr>
          <w:rFonts w:ascii="Calibri" w:eastAsia="Times New Roman" w:hAnsi="Calibri" w:cs="Calibri"/>
          <w:sz w:val="28"/>
          <w:szCs w:val="28"/>
          <w:lang w:eastAsia="pl-PL"/>
        </w:rPr>
      </w:pPr>
      <w:r w:rsidRPr="00826F62">
        <w:rPr>
          <w:rFonts w:ascii="Calibri" w:eastAsia="Times New Roman" w:hAnsi="Calibri" w:cs="Calibri"/>
          <w:b/>
          <w:bCs/>
          <w:sz w:val="28"/>
          <w:szCs w:val="28"/>
          <w:lang w:eastAsia="pl-PL"/>
        </w:rPr>
        <w:t>Dyrektor Zarządu Zlewni Państwowego Gospodarstwa Wodnego Wody Polskie w Poznaniu</w:t>
      </w:r>
      <w:r w:rsidRPr="00826F62">
        <w:rPr>
          <w:rFonts w:ascii="Calibri" w:eastAsia="Times New Roman" w:hAnsi="Calibri" w:cs="Calibri"/>
          <w:sz w:val="28"/>
          <w:szCs w:val="28"/>
          <w:lang w:eastAsia="pl-PL"/>
        </w:rPr>
        <w:t xml:space="preserve">, w piśmie z 17.07.2025 r. znak PO.ZZŚ.4901.289.2025.JNG.1, </w:t>
      </w:r>
      <w:r w:rsidRPr="00826F62">
        <w:rPr>
          <w:rFonts w:ascii="Calibri" w:eastAsia="Times New Roman" w:hAnsi="Calibri" w:cs="Calibri"/>
          <w:b/>
          <w:bCs/>
          <w:sz w:val="28"/>
          <w:szCs w:val="28"/>
          <w:lang w:eastAsia="pl-PL"/>
        </w:rPr>
        <w:t>nie stwierdził potrzeby przeprowadzenia oceny oddziaływania</w:t>
      </w:r>
      <w:r w:rsidRPr="00826F62">
        <w:rPr>
          <w:rFonts w:ascii="Calibri" w:eastAsia="Times New Roman" w:hAnsi="Calibri" w:cs="Calibri"/>
          <w:sz w:val="28"/>
          <w:szCs w:val="28"/>
          <w:lang w:eastAsia="pl-PL"/>
        </w:rPr>
        <w:t xml:space="preserve"> planowanego przedsięwzięcia na środowisko i wskazał na konieczność określenia w decyzji o środowiskowych uwarunkowaniach następujących wymagań:</w:t>
      </w:r>
    </w:p>
    <w:p w14:paraId="2A3D2164" w14:textId="77777777" w:rsidR="00826F62" w:rsidRPr="00826F62" w:rsidRDefault="00826F62" w:rsidP="00826F62">
      <w:pPr>
        <w:spacing w:after="0" w:line="240" w:lineRule="auto"/>
        <w:ind w:left="426" w:hanging="426"/>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„1. naprawę maszyn pracujących w zakładzie górniczym należy prowadzić poza zakładem górniczym;</w:t>
      </w:r>
    </w:p>
    <w:p w14:paraId="0636BCB1" w14:textId="77777777" w:rsidR="00826F62" w:rsidRPr="00826F62" w:rsidRDefault="00826F62" w:rsidP="00826F62">
      <w:pPr>
        <w:spacing w:after="0" w:line="240" w:lineRule="auto"/>
        <w:ind w:left="284" w:hanging="284"/>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2. tankowanie maszyn pracujących w zakładzie górniczym należy zorganizować poza terenem złoża na powierzchni dodatkowo uszczelnionej, tak aby zabezpieczyć grunt przed ewentualnym zanieczyszczeniem substancjami niebezpiecznymi (ropopochodnymi);</w:t>
      </w:r>
    </w:p>
    <w:p w14:paraId="7CF19116" w14:textId="77777777" w:rsidR="00826F62" w:rsidRPr="00826F62" w:rsidRDefault="00826F62" w:rsidP="00826F62">
      <w:pPr>
        <w:spacing w:after="0" w:line="240" w:lineRule="auto"/>
        <w:ind w:left="284" w:hanging="284"/>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3. na terenie zakładu górniczego należy zapewnić dostępność sorbentów, właściwych w zakresie ilości i rodzaju do potencjalnego zagrożenia mogącego wystąpić w następstwie sytuacji awaryjnych;</w:t>
      </w:r>
    </w:p>
    <w:p w14:paraId="5A58016F" w14:textId="77777777" w:rsidR="00826F62" w:rsidRPr="00826F62" w:rsidRDefault="00826F62" w:rsidP="00826F62">
      <w:pPr>
        <w:spacing w:after="0" w:line="240" w:lineRule="auto"/>
        <w:ind w:left="284" w:hanging="284"/>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4. w przypadku przedostania się zanieczyszczeń do gruntu lub wód należy bezzwłocznie podjąć działania zmierzające do usunięcia skutków i przyczyn awarii;</w:t>
      </w:r>
    </w:p>
    <w:p w14:paraId="7D3BF6AE" w14:textId="77777777" w:rsidR="00826F62" w:rsidRPr="00826F62" w:rsidRDefault="00826F62" w:rsidP="00826F62">
      <w:pPr>
        <w:spacing w:after="0" w:line="240" w:lineRule="auto"/>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5. nie odwadniać złoża;</w:t>
      </w:r>
    </w:p>
    <w:p w14:paraId="00737EFB" w14:textId="77777777" w:rsidR="00826F62" w:rsidRPr="00826F62" w:rsidRDefault="00826F62" w:rsidP="00826F62">
      <w:pPr>
        <w:spacing w:after="120" w:line="240" w:lineRule="auto"/>
        <w:ind w:left="284" w:hanging="284"/>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 xml:space="preserve">6. wzdłuż Kanału </w:t>
      </w:r>
      <w:proofErr w:type="spellStart"/>
      <w:r w:rsidRPr="00826F62">
        <w:rPr>
          <w:rFonts w:ascii="Calibri" w:eastAsia="Times New Roman" w:hAnsi="Calibri" w:cs="Calibri"/>
          <w:sz w:val="28"/>
          <w:szCs w:val="28"/>
          <w:lang w:eastAsia="pl-PL"/>
        </w:rPr>
        <w:t>Tesiny</w:t>
      </w:r>
      <w:proofErr w:type="spellEnd"/>
      <w:r w:rsidRPr="00826F62">
        <w:rPr>
          <w:rFonts w:ascii="Calibri" w:eastAsia="Times New Roman" w:hAnsi="Calibri" w:cs="Calibri"/>
          <w:sz w:val="28"/>
          <w:szCs w:val="28"/>
          <w:lang w:eastAsia="pl-PL"/>
        </w:rPr>
        <w:t>-Orkowo należy zachować pas ochronny o szerokości nie mniejszej niż 50 m.”.</w:t>
      </w:r>
    </w:p>
    <w:p w14:paraId="69DB09C5" w14:textId="77777777" w:rsidR="00826F62" w:rsidRPr="00826F62" w:rsidRDefault="00826F62" w:rsidP="00826F62">
      <w:pPr>
        <w:spacing w:after="120" w:line="240" w:lineRule="auto"/>
        <w:ind w:firstLine="709"/>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 xml:space="preserve">W uzasadnieniu Organ opiniujący wskazał między innymi, że </w:t>
      </w:r>
      <w:r w:rsidRPr="00826F62">
        <w:rPr>
          <w:rFonts w:ascii="Calibri" w:eastAsia="Times New Roman" w:hAnsi="Calibri" w:cs="Calibri"/>
          <w:b/>
          <w:bCs/>
          <w:sz w:val="28"/>
          <w:szCs w:val="28"/>
          <w:lang w:eastAsia="pl-PL"/>
        </w:rPr>
        <w:t>nie wystąpi negatywne oddziaływanie przedsięwzięcia na stan jednolitych części wód</w:t>
      </w:r>
      <w:r w:rsidRPr="00826F62">
        <w:rPr>
          <w:rFonts w:ascii="Calibri" w:eastAsia="Times New Roman" w:hAnsi="Calibri" w:cs="Calibri"/>
          <w:b/>
          <w:bCs/>
          <w:sz w:val="28"/>
          <w:szCs w:val="28"/>
          <w:vertAlign w:val="superscript"/>
          <w:lang w:eastAsia="pl-PL"/>
        </w:rPr>
        <w:footnoteReference w:id="2"/>
      </w:r>
      <w:r w:rsidRPr="00826F62">
        <w:rPr>
          <w:rFonts w:ascii="Calibri" w:eastAsia="Times New Roman" w:hAnsi="Calibri" w:cs="Calibri"/>
          <w:b/>
          <w:bCs/>
          <w:sz w:val="28"/>
          <w:szCs w:val="28"/>
          <w:lang w:eastAsia="pl-PL"/>
        </w:rPr>
        <w:t xml:space="preserve"> ani na realizację określonych dla nich celów środowiskowych</w:t>
      </w:r>
      <w:r w:rsidRPr="00826F62">
        <w:rPr>
          <w:rFonts w:ascii="Calibri" w:eastAsia="Times New Roman" w:hAnsi="Calibri" w:cs="Calibri"/>
          <w:sz w:val="28"/>
          <w:szCs w:val="28"/>
          <w:lang w:eastAsia="pl-PL"/>
        </w:rPr>
        <w:t xml:space="preserve"> w „Planie gospodarowania wodami w obszarze dorzecza Odry”</w:t>
      </w:r>
      <w:r w:rsidRPr="00826F62">
        <w:rPr>
          <w:rFonts w:ascii="Calibri" w:eastAsia="Times New Roman" w:hAnsi="Calibri" w:cs="Calibri"/>
          <w:sz w:val="28"/>
          <w:szCs w:val="28"/>
          <w:vertAlign w:val="superscript"/>
          <w:lang w:eastAsia="pl-PL"/>
        </w:rPr>
        <w:footnoteReference w:id="3"/>
      </w:r>
      <w:r w:rsidRPr="00826F62">
        <w:rPr>
          <w:rFonts w:ascii="Calibri" w:eastAsia="Times New Roman" w:hAnsi="Calibri" w:cs="Calibri"/>
          <w:sz w:val="28"/>
          <w:szCs w:val="28"/>
          <w:lang w:eastAsia="pl-PL"/>
        </w:rPr>
        <w:t>.</w:t>
      </w:r>
    </w:p>
    <w:p w14:paraId="1312B951" w14:textId="77777777" w:rsidR="00826F62" w:rsidRPr="00826F62" w:rsidRDefault="00826F62" w:rsidP="00826F62">
      <w:pPr>
        <w:spacing w:after="0" w:line="240" w:lineRule="auto"/>
        <w:ind w:firstLine="708"/>
        <w:rPr>
          <w:rFonts w:ascii="Calibri" w:eastAsia="Times New Roman" w:hAnsi="Calibri" w:cs="Calibri"/>
          <w:sz w:val="28"/>
          <w:szCs w:val="28"/>
          <w:lang w:eastAsia="pl-PL"/>
        </w:rPr>
      </w:pPr>
      <w:r w:rsidRPr="00826F62">
        <w:rPr>
          <w:rFonts w:ascii="Calibri" w:eastAsia="Times New Roman" w:hAnsi="Calibri" w:cs="Calibri"/>
          <w:b/>
          <w:bCs/>
          <w:sz w:val="28"/>
          <w:szCs w:val="28"/>
          <w:lang w:eastAsia="pl-PL"/>
        </w:rPr>
        <w:lastRenderedPageBreak/>
        <w:t>Regionalny Dyrektor Ochrony Środowiska w Poznaniu,</w:t>
      </w:r>
      <w:r w:rsidRPr="00826F62">
        <w:rPr>
          <w:rFonts w:ascii="Calibri" w:eastAsia="Times New Roman" w:hAnsi="Calibri" w:cs="Calibri"/>
          <w:sz w:val="28"/>
          <w:szCs w:val="28"/>
          <w:lang w:eastAsia="pl-PL"/>
        </w:rPr>
        <w:t xml:space="preserve"> w postanowieniu z 01.08.2025 r. znak WOO-IV.4220.1031.2025.SS.3, wyraził opinię, że dla planowanego przedsięwzięcia </w:t>
      </w:r>
      <w:r w:rsidRPr="00826F62">
        <w:rPr>
          <w:rFonts w:ascii="Calibri" w:eastAsia="Times New Roman" w:hAnsi="Calibri" w:cs="Calibri"/>
          <w:b/>
          <w:bCs/>
          <w:sz w:val="28"/>
          <w:szCs w:val="28"/>
          <w:lang w:eastAsia="pl-PL"/>
        </w:rPr>
        <w:t>nie ma potrzeby przeprowadzenia oceny oddziaływania na środowisko</w:t>
      </w:r>
      <w:r w:rsidRPr="00826F62">
        <w:rPr>
          <w:rFonts w:ascii="Calibri" w:eastAsia="Times New Roman" w:hAnsi="Calibri" w:cs="Calibri"/>
          <w:sz w:val="28"/>
          <w:szCs w:val="28"/>
          <w:lang w:eastAsia="pl-PL"/>
        </w:rPr>
        <w:t xml:space="preserve"> oraz wskazał na konieczność uwzględnienia w decyzji o środowiskowych uwarunkowaniach następujących warunków i wymagań:</w:t>
      </w:r>
    </w:p>
    <w:p w14:paraId="505C02D6" w14:textId="77777777" w:rsidR="00826F62" w:rsidRPr="00826F62" w:rsidRDefault="00826F62" w:rsidP="00826F62">
      <w:pPr>
        <w:spacing w:after="0" w:line="240" w:lineRule="auto"/>
        <w:ind w:left="426" w:hanging="426"/>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„1.</w:t>
      </w:r>
      <w:r w:rsidRPr="00826F62">
        <w:rPr>
          <w:rFonts w:ascii="Calibri" w:eastAsia="Times New Roman" w:hAnsi="Calibri" w:cs="Calibri"/>
          <w:sz w:val="28"/>
          <w:szCs w:val="28"/>
          <w:lang w:eastAsia="pl-PL"/>
        </w:rPr>
        <w:tab/>
        <w:t xml:space="preserve">Zdejmowanie nadkładu oraz rozpoczęcie prac eksploatacyjnych przeprowadzić w okresie od początku sierpnia do końca lutego. </w:t>
      </w:r>
    </w:p>
    <w:p w14:paraId="74E59E3C" w14:textId="77777777" w:rsidR="00826F62" w:rsidRPr="00826F62" w:rsidRDefault="00826F62" w:rsidP="00826F62">
      <w:pPr>
        <w:tabs>
          <w:tab w:val="left" w:pos="284"/>
        </w:tabs>
        <w:spacing w:after="0" w:line="240" w:lineRule="auto"/>
        <w:ind w:left="284" w:hanging="284"/>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2.</w:t>
      </w:r>
      <w:r w:rsidRPr="00826F62">
        <w:rPr>
          <w:rFonts w:ascii="Calibri" w:eastAsia="Times New Roman" w:hAnsi="Calibri" w:cs="Calibri"/>
          <w:sz w:val="28"/>
          <w:szCs w:val="28"/>
          <w:lang w:eastAsia="pl-PL"/>
        </w:rPr>
        <w:tab/>
        <w:t xml:space="preserve">Pracę zakładu górniczego oraz transport kopaliny ograniczyć do pory dnia, to jest godzin 6:00 – 22:00. </w:t>
      </w:r>
    </w:p>
    <w:p w14:paraId="27F4637A" w14:textId="77777777" w:rsidR="00826F62" w:rsidRPr="00826F62" w:rsidRDefault="00826F62" w:rsidP="00826F62">
      <w:pPr>
        <w:spacing w:after="0" w:line="240" w:lineRule="auto"/>
        <w:ind w:left="284" w:hanging="284"/>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3.</w:t>
      </w:r>
      <w:r w:rsidRPr="00826F62">
        <w:rPr>
          <w:rFonts w:ascii="Calibri" w:eastAsia="Times New Roman" w:hAnsi="Calibri" w:cs="Calibri"/>
          <w:sz w:val="28"/>
          <w:szCs w:val="28"/>
          <w:lang w:eastAsia="pl-PL"/>
        </w:rPr>
        <w:tab/>
        <w:t xml:space="preserve">Nie prowadzić jednocześnie eksploatacji złóż Luciny VII, Luciny IV Pole 2 oraz Luciny III. </w:t>
      </w:r>
    </w:p>
    <w:p w14:paraId="65990693" w14:textId="77777777" w:rsidR="00826F62" w:rsidRPr="00826F62" w:rsidRDefault="00826F62" w:rsidP="00826F62">
      <w:pPr>
        <w:spacing w:after="0" w:line="240" w:lineRule="auto"/>
        <w:ind w:left="284" w:hanging="284"/>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4.</w:t>
      </w:r>
      <w:r w:rsidRPr="00826F62">
        <w:rPr>
          <w:rFonts w:ascii="Calibri" w:eastAsia="Times New Roman" w:hAnsi="Calibri" w:cs="Calibri"/>
          <w:sz w:val="28"/>
          <w:szCs w:val="28"/>
          <w:lang w:eastAsia="pl-PL"/>
        </w:rPr>
        <w:tab/>
        <w:t>Nie odwadniać złoża Luciny VII.</w:t>
      </w:r>
    </w:p>
    <w:p w14:paraId="3A9E2BA4" w14:textId="77777777" w:rsidR="00826F62" w:rsidRPr="00826F62" w:rsidRDefault="00826F62" w:rsidP="00826F62">
      <w:pPr>
        <w:spacing w:after="0" w:line="240" w:lineRule="auto"/>
        <w:ind w:left="284" w:hanging="284"/>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5.</w:t>
      </w:r>
      <w:r w:rsidRPr="00826F62">
        <w:rPr>
          <w:rFonts w:ascii="Calibri" w:eastAsia="Times New Roman" w:hAnsi="Calibri" w:cs="Calibri"/>
          <w:sz w:val="28"/>
          <w:szCs w:val="28"/>
          <w:lang w:eastAsia="pl-PL"/>
        </w:rPr>
        <w:tab/>
        <w:t xml:space="preserve">Eksploatację złoża prowadzić bez przerobu kopaliny. </w:t>
      </w:r>
    </w:p>
    <w:p w14:paraId="60FCFE2E" w14:textId="77777777" w:rsidR="00826F62" w:rsidRPr="00826F62" w:rsidRDefault="00826F62" w:rsidP="00826F62">
      <w:pPr>
        <w:spacing w:after="0" w:line="240" w:lineRule="auto"/>
        <w:ind w:left="284" w:hanging="284"/>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6.</w:t>
      </w:r>
      <w:r w:rsidRPr="00826F62">
        <w:rPr>
          <w:rFonts w:ascii="Calibri" w:eastAsia="Times New Roman" w:hAnsi="Calibri" w:cs="Calibri"/>
          <w:sz w:val="28"/>
          <w:szCs w:val="28"/>
          <w:lang w:eastAsia="pl-PL"/>
        </w:rPr>
        <w:tab/>
        <w:t>Tymczasowe zwałowiska nadkładu wykonać w pierwszej kolejności od strony najbliższych terenów chronionych akustycznie, o których mowa w przepisach szczegółowych.</w:t>
      </w:r>
    </w:p>
    <w:p w14:paraId="64B00F1D" w14:textId="77777777" w:rsidR="00826F62" w:rsidRPr="00826F62" w:rsidRDefault="00826F62" w:rsidP="00826F62">
      <w:pPr>
        <w:spacing w:after="0" w:line="240" w:lineRule="auto"/>
        <w:ind w:left="284" w:hanging="284"/>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7.</w:t>
      </w:r>
      <w:r w:rsidRPr="00826F62">
        <w:rPr>
          <w:rFonts w:ascii="Calibri" w:eastAsia="Times New Roman" w:hAnsi="Calibri" w:cs="Calibri"/>
          <w:sz w:val="28"/>
          <w:szCs w:val="28"/>
          <w:lang w:eastAsia="pl-PL"/>
        </w:rPr>
        <w:tab/>
        <w:t xml:space="preserve">Pojazdy transportujące kopalinę tankować poza terenem zakładu górniczego, w miejscach do tego przeznaczonych, w szczególności na stacjach paliw. </w:t>
      </w:r>
    </w:p>
    <w:p w14:paraId="5140B4A9" w14:textId="77777777" w:rsidR="00826F62" w:rsidRPr="00826F62" w:rsidRDefault="00826F62" w:rsidP="00826F62">
      <w:pPr>
        <w:spacing w:after="0" w:line="240" w:lineRule="auto"/>
        <w:ind w:left="284" w:hanging="284"/>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8.</w:t>
      </w:r>
      <w:r w:rsidRPr="00826F62">
        <w:rPr>
          <w:rFonts w:ascii="Calibri" w:eastAsia="Times New Roman" w:hAnsi="Calibri" w:cs="Calibri"/>
          <w:sz w:val="28"/>
          <w:szCs w:val="28"/>
          <w:lang w:eastAsia="pl-PL"/>
        </w:rPr>
        <w:tab/>
        <w:t>Tankowanie sprzętu wydobywczego prowadzić poza wyrobiskiem eksploatacyjnym, jedynie w miejscu do tego przeznaczonym i zabezpieczonym przed przedostaniem się zanieczyszczeń do środowiska gruntowo-wodnego.</w:t>
      </w:r>
    </w:p>
    <w:p w14:paraId="3A5F8B2A" w14:textId="77777777" w:rsidR="00826F62" w:rsidRPr="00826F62" w:rsidRDefault="00826F62" w:rsidP="00826F62">
      <w:pPr>
        <w:spacing w:after="0" w:line="240" w:lineRule="auto"/>
        <w:ind w:left="284" w:hanging="284"/>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9.</w:t>
      </w:r>
      <w:r w:rsidRPr="00826F62">
        <w:rPr>
          <w:rFonts w:ascii="Calibri" w:eastAsia="Times New Roman" w:hAnsi="Calibri" w:cs="Calibri"/>
          <w:sz w:val="28"/>
          <w:szCs w:val="28"/>
          <w:lang w:eastAsia="pl-PL"/>
        </w:rPr>
        <w:tab/>
        <w:t xml:space="preserve">Wszelkie czynności związane z utrzymywaniem we właściwym stanie sprzętu wydobywczego i transportowego, obejmujące w szczególności naprawę lub wymianę części zużytych wskutek eksploatacji wykonywać poza terenem przedsięwzięcia w specjalistycznych warsztatach. </w:t>
      </w:r>
    </w:p>
    <w:p w14:paraId="7E6AA6F1" w14:textId="77777777" w:rsidR="00826F62" w:rsidRPr="00826F62" w:rsidRDefault="00826F62" w:rsidP="00826F62">
      <w:pPr>
        <w:spacing w:after="0" w:line="240" w:lineRule="auto"/>
        <w:ind w:left="426" w:hanging="426"/>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10.</w:t>
      </w:r>
      <w:r w:rsidRPr="00826F62">
        <w:rPr>
          <w:rFonts w:ascii="Calibri" w:eastAsia="Times New Roman" w:hAnsi="Calibri" w:cs="Calibri"/>
          <w:sz w:val="28"/>
          <w:szCs w:val="28"/>
          <w:lang w:eastAsia="pl-PL"/>
        </w:rPr>
        <w:tab/>
        <w:t xml:space="preserve">Na terenie przedsięwzięcia nie przechowywać paliw i innych materiałów ropopochodnych. </w:t>
      </w:r>
    </w:p>
    <w:p w14:paraId="5C935FD7" w14:textId="77777777" w:rsidR="00826F62" w:rsidRPr="00826F62" w:rsidRDefault="00826F62" w:rsidP="00826F62">
      <w:pPr>
        <w:spacing w:after="120" w:line="240" w:lineRule="auto"/>
        <w:ind w:left="426" w:hanging="426"/>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11.</w:t>
      </w:r>
      <w:r w:rsidRPr="00826F62">
        <w:rPr>
          <w:rFonts w:ascii="Calibri" w:eastAsia="Times New Roman" w:hAnsi="Calibri" w:cs="Calibri"/>
          <w:sz w:val="28"/>
          <w:szCs w:val="28"/>
          <w:lang w:eastAsia="pl-PL"/>
        </w:rPr>
        <w:tab/>
        <w:t>Zakład górniczy wyposażyć w sorbenty w ilościach niezbędnych do przechwytywania ewentualnie powstających wycieków substancji niebezpiecznych. Wycieki substancji mogących zanieczyścić środowisko gruntowo-wodne usuwać niezwłocznie z wykorzystaniem sorbentów.”.</w:t>
      </w:r>
    </w:p>
    <w:p w14:paraId="1CD0915A" w14:textId="77777777" w:rsidR="00826F62" w:rsidRPr="00826F62" w:rsidRDefault="00826F62" w:rsidP="00826F62">
      <w:pPr>
        <w:spacing w:after="120" w:line="240" w:lineRule="auto"/>
        <w:ind w:firstLine="708"/>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 xml:space="preserve">W uzasadnieniu Organ opiniujący stwierdził między innymi, że </w:t>
      </w:r>
      <w:r w:rsidRPr="00826F62">
        <w:rPr>
          <w:rFonts w:ascii="Calibri" w:eastAsia="Times New Roman" w:hAnsi="Calibri" w:cs="Calibri"/>
          <w:b/>
          <w:bCs/>
          <w:sz w:val="28"/>
          <w:szCs w:val="28"/>
          <w:lang w:eastAsia="pl-PL"/>
        </w:rPr>
        <w:t>przedsięwzięcie nie będzie znacząco negatywnie oddziaływać na środowisko gruntowo-wodne ani nie przewiduje się przekroczenia standardów jakości środowiska</w:t>
      </w:r>
      <w:r w:rsidRPr="00826F62">
        <w:rPr>
          <w:rFonts w:ascii="Calibri" w:eastAsia="Times New Roman" w:hAnsi="Calibri" w:cs="Calibri"/>
          <w:sz w:val="28"/>
          <w:szCs w:val="28"/>
          <w:lang w:eastAsia="pl-PL"/>
        </w:rPr>
        <w:t xml:space="preserve">. </w:t>
      </w:r>
    </w:p>
    <w:p w14:paraId="0864DFCC" w14:textId="77777777" w:rsidR="00826F62" w:rsidRPr="00826F62" w:rsidRDefault="00826F62" w:rsidP="00826F62">
      <w:pPr>
        <w:spacing w:after="120" w:line="240" w:lineRule="auto"/>
        <w:ind w:firstLine="708"/>
        <w:rPr>
          <w:rFonts w:ascii="Calibri" w:eastAsia="Times New Roman" w:hAnsi="Calibri" w:cs="Calibri"/>
          <w:sz w:val="28"/>
          <w:szCs w:val="28"/>
          <w:lang w:eastAsia="pl-PL"/>
        </w:rPr>
      </w:pPr>
      <w:r w:rsidRPr="00826F62">
        <w:rPr>
          <w:rFonts w:ascii="Calibri" w:eastAsia="Times New Roman" w:hAnsi="Calibri" w:cs="Calibri"/>
          <w:sz w:val="28"/>
          <w:szCs w:val="28"/>
          <w:lang w:eastAsia="pl-PL"/>
        </w:rPr>
        <w:lastRenderedPageBreak/>
        <w:t xml:space="preserve">Zgodnie z art. 74 ust. 3 </w:t>
      </w:r>
      <w:proofErr w:type="spellStart"/>
      <w:r w:rsidRPr="00826F62">
        <w:rPr>
          <w:rFonts w:ascii="Calibri" w:eastAsia="Times New Roman" w:hAnsi="Calibri" w:cs="Calibri"/>
          <w:sz w:val="28"/>
          <w:szCs w:val="28"/>
          <w:lang w:eastAsia="pl-PL"/>
        </w:rPr>
        <w:t>u.o.o.ś</w:t>
      </w:r>
      <w:proofErr w:type="spellEnd"/>
      <w:r w:rsidRPr="00826F62">
        <w:rPr>
          <w:rFonts w:ascii="Calibri" w:eastAsia="Times New Roman" w:hAnsi="Calibri" w:cs="Calibri"/>
          <w:sz w:val="28"/>
          <w:szCs w:val="28"/>
          <w:lang w:eastAsia="pl-PL"/>
        </w:rPr>
        <w:t>. strony postępowania zostały powiadomione, w formie obwieszczenia z 04.08.2025 r., o możliwości zapoznania się i wypowiedzenia co do zebranych dowodów i materiałów oraz zgłoszonych żądań w sprawie, w terminie pięciu dni od dnia dokonania zawiadomienia. Obwieszczenie zamieszczono w Biuletynie Informacji Publicznej Urzędu Miejskiego w Śremie (</w:t>
      </w:r>
      <w:hyperlink r:id="rId10" w:history="1">
        <w:r w:rsidRPr="00826F62">
          <w:rPr>
            <w:rFonts w:ascii="Calibri" w:eastAsia="Calibri" w:hAnsi="Calibri" w:cs="Calibri"/>
            <w:color w:val="0563C1"/>
            <w:sz w:val="28"/>
            <w:szCs w:val="28"/>
            <w:u w:val="single"/>
          </w:rPr>
          <w:t>https://bip.srem.pl/public/?id=236037</w:t>
        </w:r>
      </w:hyperlink>
      <w:r w:rsidRPr="00826F62">
        <w:rPr>
          <w:rFonts w:ascii="Calibri" w:eastAsia="Times New Roman" w:hAnsi="Calibri" w:cs="Calibri"/>
          <w:sz w:val="28"/>
          <w:szCs w:val="28"/>
          <w:lang w:eastAsia="pl-PL"/>
        </w:rPr>
        <w:t xml:space="preserve">), w gablotach informacyjnych Urzędu oraz na tablicy ogłoszeniowej w Lucinach. Żadna ze stron postępowania nie skorzystała z przysługującego jej prawa. </w:t>
      </w:r>
    </w:p>
    <w:p w14:paraId="20EA4E22" w14:textId="77777777" w:rsidR="00826F62" w:rsidRPr="00826F62" w:rsidRDefault="00826F62" w:rsidP="00826F62">
      <w:pPr>
        <w:spacing w:after="120" w:line="240" w:lineRule="auto"/>
        <w:ind w:firstLine="708"/>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 xml:space="preserve">Stosownie do art. 63 ust. 1 i art. 65 </w:t>
      </w:r>
      <w:proofErr w:type="spellStart"/>
      <w:r w:rsidRPr="00826F62">
        <w:rPr>
          <w:rFonts w:ascii="Calibri" w:eastAsia="Times New Roman" w:hAnsi="Calibri" w:cs="Calibri"/>
          <w:sz w:val="28"/>
          <w:szCs w:val="28"/>
          <w:lang w:eastAsia="pl-PL"/>
        </w:rPr>
        <w:t>u.o.o.ś</w:t>
      </w:r>
      <w:proofErr w:type="spellEnd"/>
      <w:r w:rsidRPr="00826F62">
        <w:rPr>
          <w:rFonts w:ascii="Calibri" w:eastAsia="Times New Roman" w:hAnsi="Calibri" w:cs="Calibri"/>
          <w:sz w:val="28"/>
          <w:szCs w:val="28"/>
          <w:lang w:eastAsia="pl-PL"/>
        </w:rPr>
        <w:t xml:space="preserve">. właściwy organ do wydania decyzji o środowiskowych uwarunkowaniach, po zasięgnięciu opinii organów współdziałających wymienionych w art. 64 ust. 1 </w:t>
      </w:r>
      <w:proofErr w:type="spellStart"/>
      <w:r w:rsidRPr="00826F62">
        <w:rPr>
          <w:rFonts w:ascii="Calibri" w:eastAsia="Times New Roman" w:hAnsi="Calibri" w:cs="Calibri"/>
          <w:sz w:val="28"/>
          <w:szCs w:val="28"/>
          <w:lang w:eastAsia="pl-PL"/>
        </w:rPr>
        <w:t>u.o.o.ś</w:t>
      </w:r>
      <w:proofErr w:type="spellEnd"/>
      <w:r w:rsidRPr="00826F62">
        <w:rPr>
          <w:rFonts w:ascii="Calibri" w:eastAsia="Times New Roman" w:hAnsi="Calibri" w:cs="Calibri"/>
          <w:sz w:val="28"/>
          <w:szCs w:val="28"/>
          <w:lang w:eastAsia="pl-PL"/>
        </w:rPr>
        <w:t>., wydaje postanowienie o</w:t>
      </w:r>
      <w:bookmarkStart w:id="3" w:name="mip53179001"/>
      <w:bookmarkEnd w:id="3"/>
      <w:r w:rsidRPr="00826F62">
        <w:rPr>
          <w:rFonts w:ascii="Calibri" w:eastAsia="Times New Roman" w:hAnsi="Calibri" w:cs="Calibri"/>
          <w:sz w:val="28"/>
          <w:szCs w:val="28"/>
          <w:lang w:eastAsia="pl-PL"/>
        </w:rPr>
        <w:t xml:space="preserve"> obowiązku przeprowadzenia oceny oddziaływania przedsięwzięcia na środowisko dla planowanego przedsięwzięcia mogącego potencjalnie znacząco oddziaływać na środowisko i określa jednocześnie zakres raportu o oddziaływaniu przedsięwzięcia na środowiskom, zgodnie z art. 63 ust. 4 </w:t>
      </w:r>
      <w:proofErr w:type="spellStart"/>
      <w:r w:rsidRPr="00826F62">
        <w:rPr>
          <w:rFonts w:ascii="Calibri" w:eastAsia="Times New Roman" w:hAnsi="Calibri" w:cs="Calibri"/>
          <w:sz w:val="28"/>
          <w:szCs w:val="28"/>
          <w:lang w:eastAsia="pl-PL"/>
        </w:rPr>
        <w:t>u.o.o.ś</w:t>
      </w:r>
      <w:proofErr w:type="spellEnd"/>
      <w:r w:rsidRPr="00826F62">
        <w:rPr>
          <w:rFonts w:ascii="Calibri" w:eastAsia="Times New Roman" w:hAnsi="Calibri" w:cs="Calibri"/>
          <w:sz w:val="28"/>
          <w:szCs w:val="28"/>
          <w:lang w:eastAsia="pl-PL"/>
        </w:rPr>
        <w:t xml:space="preserve">. </w:t>
      </w:r>
    </w:p>
    <w:p w14:paraId="57C42A98" w14:textId="77777777" w:rsidR="00826F62" w:rsidRPr="00826F62" w:rsidRDefault="00826F62" w:rsidP="00826F62">
      <w:pPr>
        <w:spacing w:after="120" w:line="240" w:lineRule="auto"/>
        <w:ind w:firstLine="708"/>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 xml:space="preserve">Natomiast zgodnie z art. 84 ust. 1 </w:t>
      </w:r>
      <w:proofErr w:type="spellStart"/>
      <w:r w:rsidRPr="00826F62">
        <w:rPr>
          <w:rFonts w:ascii="Calibri" w:eastAsia="Times New Roman" w:hAnsi="Calibri" w:cs="Calibri"/>
          <w:sz w:val="28"/>
          <w:szCs w:val="28"/>
          <w:lang w:eastAsia="pl-PL"/>
        </w:rPr>
        <w:t>u.o.o.ś</w:t>
      </w:r>
      <w:proofErr w:type="spellEnd"/>
      <w:r w:rsidRPr="00826F62">
        <w:rPr>
          <w:rFonts w:ascii="Calibri" w:eastAsia="Times New Roman" w:hAnsi="Calibri" w:cs="Calibri"/>
          <w:sz w:val="28"/>
          <w:szCs w:val="28"/>
          <w:lang w:eastAsia="pl-PL"/>
        </w:rPr>
        <w:t xml:space="preserve">., w przypadku gdy nie została przeprowadzona ocena oddziaływania przedsięwzięcia na środowisko, </w:t>
      </w:r>
      <w:bookmarkStart w:id="4" w:name="mip53179366"/>
      <w:bookmarkEnd w:id="4"/>
      <w:r w:rsidRPr="00826F62">
        <w:rPr>
          <w:rFonts w:ascii="Calibri" w:eastAsia="Times New Roman" w:hAnsi="Calibri" w:cs="Calibri"/>
          <w:sz w:val="28"/>
          <w:szCs w:val="28"/>
          <w:lang w:eastAsia="pl-PL"/>
        </w:rPr>
        <w:t xml:space="preserve">w decyzji o środowiskowych uwarunkowaniach właściwy organ stwierdza brak potrzeby przeprowadzenia oceny oddziaływania przedsięwzięcia na środowisko. </w:t>
      </w:r>
    </w:p>
    <w:p w14:paraId="1BA2E48F" w14:textId="77777777" w:rsidR="00826F62" w:rsidRPr="00826F62" w:rsidRDefault="00826F62" w:rsidP="00826F62">
      <w:pPr>
        <w:spacing w:after="120" w:line="240" w:lineRule="auto"/>
        <w:ind w:firstLine="708"/>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 xml:space="preserve">Po przeanalizowaniu stanowisk Organów opiniujących, informacji zawartych w karcie informacyjnej przedsięwzięcia oraz uwzględniając łącznie kryteria wskazane w art. 63 ust. 1 </w:t>
      </w:r>
      <w:proofErr w:type="spellStart"/>
      <w:r w:rsidRPr="00826F62">
        <w:rPr>
          <w:rFonts w:ascii="Calibri" w:eastAsia="Times New Roman" w:hAnsi="Calibri" w:cs="Calibri"/>
          <w:sz w:val="28"/>
          <w:szCs w:val="28"/>
          <w:lang w:eastAsia="pl-PL"/>
        </w:rPr>
        <w:t>u.o.o.ś</w:t>
      </w:r>
      <w:proofErr w:type="spellEnd"/>
      <w:r w:rsidRPr="00826F62">
        <w:rPr>
          <w:rFonts w:ascii="Calibri" w:eastAsia="Times New Roman" w:hAnsi="Calibri" w:cs="Calibri"/>
          <w:sz w:val="28"/>
          <w:szCs w:val="28"/>
          <w:lang w:eastAsia="pl-PL"/>
        </w:rPr>
        <w:t xml:space="preserve">., zgodnie z art. 84 ust. 1 </w:t>
      </w:r>
      <w:proofErr w:type="spellStart"/>
      <w:r w:rsidRPr="00826F62">
        <w:rPr>
          <w:rFonts w:ascii="Calibri" w:eastAsia="Times New Roman" w:hAnsi="Calibri" w:cs="Calibri"/>
          <w:sz w:val="28"/>
          <w:szCs w:val="28"/>
          <w:lang w:eastAsia="pl-PL"/>
        </w:rPr>
        <w:t>u.o.o.ś</w:t>
      </w:r>
      <w:proofErr w:type="spellEnd"/>
      <w:r w:rsidRPr="00826F62">
        <w:rPr>
          <w:rFonts w:ascii="Calibri" w:eastAsia="Times New Roman" w:hAnsi="Calibri" w:cs="Calibri"/>
          <w:sz w:val="28"/>
          <w:szCs w:val="28"/>
          <w:lang w:eastAsia="pl-PL"/>
        </w:rPr>
        <w:t xml:space="preserve">., w decyzji Burmistrz Śremu stwierdził brak potrzeby przeprowadzenia oceny oddziaływania przedsięwzięcia na środowisko. </w:t>
      </w:r>
    </w:p>
    <w:p w14:paraId="53270589" w14:textId="77777777" w:rsidR="00826F62" w:rsidRPr="00826F62" w:rsidRDefault="00826F62" w:rsidP="00826F62">
      <w:pPr>
        <w:spacing w:after="120" w:line="240" w:lineRule="auto"/>
        <w:ind w:firstLine="708"/>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 xml:space="preserve">Jednocześnie zgodnie z art. 84 ust. 1a </w:t>
      </w:r>
      <w:proofErr w:type="spellStart"/>
      <w:r w:rsidRPr="00826F62">
        <w:rPr>
          <w:rFonts w:ascii="Calibri" w:eastAsia="Times New Roman" w:hAnsi="Calibri" w:cs="Calibri"/>
          <w:sz w:val="28"/>
          <w:szCs w:val="28"/>
          <w:lang w:eastAsia="pl-PL"/>
        </w:rPr>
        <w:t>u.o.o.ś</w:t>
      </w:r>
      <w:proofErr w:type="spellEnd"/>
      <w:r w:rsidRPr="00826F62">
        <w:rPr>
          <w:rFonts w:ascii="Calibri" w:eastAsia="Times New Roman" w:hAnsi="Calibri" w:cs="Calibri"/>
          <w:sz w:val="28"/>
          <w:szCs w:val="28"/>
          <w:lang w:eastAsia="pl-PL"/>
        </w:rPr>
        <w:t>. Burmistrz Śremu określił warunki i wymagania konieczne do spełnienia przez Wnioskodawcę w fazie realizacji, eksploatacji lub użytkowania przedsięwzięcia, wskazane przez Regionalnego Dyrektora Ochrony Środowiska w Poznaniu oraz Dyrektora Zarządu Zlewni Państwowego Gospodarstwa Wodnego Wody Polskie w Poznaniu.</w:t>
      </w:r>
    </w:p>
    <w:p w14:paraId="1B0C2C78" w14:textId="77777777" w:rsidR="00826F62" w:rsidRPr="00826F62" w:rsidRDefault="00826F62" w:rsidP="00826F62">
      <w:pPr>
        <w:spacing w:after="120" w:line="240" w:lineRule="auto"/>
        <w:ind w:firstLine="708"/>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 xml:space="preserve">Zgodnie z art. 84 ust. 2 </w:t>
      </w:r>
      <w:proofErr w:type="spellStart"/>
      <w:r w:rsidRPr="00826F62">
        <w:rPr>
          <w:rFonts w:ascii="Calibri" w:eastAsia="Times New Roman" w:hAnsi="Calibri" w:cs="Calibri"/>
          <w:sz w:val="28"/>
          <w:szCs w:val="28"/>
          <w:lang w:eastAsia="pl-PL"/>
        </w:rPr>
        <w:t>u.o.o.ś</w:t>
      </w:r>
      <w:proofErr w:type="spellEnd"/>
      <w:r w:rsidRPr="00826F62">
        <w:rPr>
          <w:rFonts w:ascii="Calibri" w:eastAsia="Times New Roman" w:hAnsi="Calibri" w:cs="Calibri"/>
          <w:sz w:val="28"/>
          <w:szCs w:val="28"/>
          <w:lang w:eastAsia="pl-PL"/>
        </w:rPr>
        <w:t xml:space="preserve">. charakterystyka przedsięwzięcia stanowi załącznik do decyzji o środowiskowych uwarunkowaniach. </w:t>
      </w:r>
    </w:p>
    <w:p w14:paraId="3D12A6F3" w14:textId="77777777" w:rsidR="00826F62" w:rsidRPr="00826F62" w:rsidRDefault="00826F62" w:rsidP="00826F62">
      <w:pPr>
        <w:spacing w:after="0" w:line="240" w:lineRule="auto"/>
        <w:jc w:val="both"/>
        <w:rPr>
          <w:rFonts w:ascii="Calibri" w:eastAsia="Times New Roman" w:hAnsi="Calibri" w:cs="Calibri"/>
          <w:sz w:val="28"/>
          <w:szCs w:val="28"/>
          <w:lang w:eastAsia="pl-PL"/>
        </w:rPr>
      </w:pPr>
      <w:r w:rsidRPr="00826F62">
        <w:rPr>
          <w:rFonts w:ascii="Calibri" w:eastAsia="Times New Roman" w:hAnsi="Calibri" w:cs="Calibri"/>
          <w:sz w:val="28"/>
          <w:szCs w:val="28"/>
          <w:lang w:eastAsia="pl-PL"/>
        </w:rPr>
        <w:br w:type="page"/>
      </w:r>
    </w:p>
    <w:p w14:paraId="0F9B8A54" w14:textId="77777777" w:rsidR="00826F62" w:rsidRPr="00826F62" w:rsidRDefault="00826F62" w:rsidP="00826F62">
      <w:pPr>
        <w:spacing w:after="120" w:line="240" w:lineRule="auto"/>
        <w:ind w:firstLine="708"/>
        <w:rPr>
          <w:rFonts w:ascii="Calibri" w:eastAsia="Times New Roman" w:hAnsi="Calibri" w:cs="Calibri"/>
          <w:sz w:val="28"/>
          <w:szCs w:val="28"/>
          <w:lang w:eastAsia="pl-PL"/>
        </w:rPr>
      </w:pPr>
      <w:r w:rsidRPr="00826F62">
        <w:rPr>
          <w:rFonts w:ascii="Calibri" w:eastAsia="Times New Roman" w:hAnsi="Calibri" w:cs="Calibri"/>
          <w:sz w:val="28"/>
          <w:szCs w:val="28"/>
          <w:lang w:eastAsia="pl-PL"/>
        </w:rPr>
        <w:lastRenderedPageBreak/>
        <w:t xml:space="preserve">Biorąc pod uwagę informacje przedstawione w karcie informacyjnej przedsięwzięcia, w niniejszej sprawie nie zachodzi konieczność nałożenia obowiązku przeprowadzenia oceny oddziaływania na środowisko, na mocy art. 63 ust. 3 pkt 1 i 2 </w:t>
      </w:r>
      <w:proofErr w:type="spellStart"/>
      <w:r w:rsidRPr="00826F62">
        <w:rPr>
          <w:rFonts w:ascii="Calibri" w:eastAsia="Times New Roman" w:hAnsi="Calibri" w:cs="Calibri"/>
          <w:sz w:val="28"/>
          <w:szCs w:val="28"/>
          <w:lang w:eastAsia="pl-PL"/>
        </w:rPr>
        <w:t>u.o.o.ś</w:t>
      </w:r>
      <w:proofErr w:type="spellEnd"/>
      <w:r w:rsidRPr="00826F62">
        <w:rPr>
          <w:rFonts w:ascii="Calibri" w:eastAsia="Times New Roman" w:hAnsi="Calibri" w:cs="Calibri"/>
          <w:sz w:val="28"/>
          <w:szCs w:val="28"/>
          <w:lang w:eastAsia="pl-PL"/>
        </w:rPr>
        <w:t>.</w:t>
      </w:r>
    </w:p>
    <w:p w14:paraId="5D166805" w14:textId="77777777" w:rsidR="00826F62" w:rsidRPr="00826F62" w:rsidRDefault="00826F62" w:rsidP="00826F62">
      <w:pPr>
        <w:spacing w:after="120" w:line="240" w:lineRule="auto"/>
        <w:ind w:firstLine="708"/>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 xml:space="preserve">Zgodnie z art. 85 ust. 2 pkt 2 </w:t>
      </w:r>
      <w:proofErr w:type="spellStart"/>
      <w:r w:rsidRPr="00826F62">
        <w:rPr>
          <w:rFonts w:ascii="Calibri" w:eastAsia="Times New Roman" w:hAnsi="Calibri" w:cs="Calibri"/>
          <w:sz w:val="28"/>
          <w:szCs w:val="28"/>
          <w:lang w:eastAsia="pl-PL"/>
        </w:rPr>
        <w:t>u.o.o.ś</w:t>
      </w:r>
      <w:proofErr w:type="spellEnd"/>
      <w:r w:rsidRPr="00826F62">
        <w:rPr>
          <w:rFonts w:ascii="Calibri" w:eastAsia="Times New Roman" w:hAnsi="Calibri" w:cs="Calibri"/>
          <w:sz w:val="28"/>
          <w:szCs w:val="28"/>
          <w:lang w:eastAsia="pl-PL"/>
        </w:rPr>
        <w:t>., w przypadku gdy nie została przeprowadzona ocena oddziaływania przedsięwzięcia na środowisko, uzasadnienie decyzji o środowiskowych uwarunkowaniach powinno zawierać informacje o uwarunkowaniach, o których mowa w art. 63 ust. 1, uwzględnionych przy stwierdzaniu braku potrzeby przeprowadzenia oceny oddziaływania przedsięwzięcia na środowisko.</w:t>
      </w:r>
    </w:p>
    <w:p w14:paraId="3FA167CD" w14:textId="77777777" w:rsidR="00826F62" w:rsidRPr="00826F62" w:rsidRDefault="00826F62" w:rsidP="00826F62">
      <w:pPr>
        <w:spacing w:after="120" w:line="240" w:lineRule="auto"/>
        <w:ind w:firstLine="708"/>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 xml:space="preserve">Wobec powyższego na podstawie karty informacyjnej przedsięwzięcia oraz posiadanych przez Urząd materiałów kartograficznych, w związku z art. 63 ust. 1 </w:t>
      </w:r>
      <w:proofErr w:type="spellStart"/>
      <w:r w:rsidRPr="00826F62">
        <w:rPr>
          <w:rFonts w:ascii="Calibri" w:eastAsia="SimSun" w:hAnsi="Calibri" w:cs="Calibri"/>
          <w:kern w:val="1"/>
          <w:sz w:val="28"/>
          <w:szCs w:val="28"/>
          <w:lang w:eastAsia="hi-IN" w:bidi="hi-IN"/>
        </w:rPr>
        <w:t>u.o.o.ś</w:t>
      </w:r>
      <w:proofErr w:type="spellEnd"/>
      <w:r w:rsidRPr="00826F62">
        <w:rPr>
          <w:rFonts w:ascii="Calibri" w:eastAsia="SimSun" w:hAnsi="Calibri" w:cs="Calibri"/>
          <w:kern w:val="1"/>
          <w:sz w:val="28"/>
          <w:szCs w:val="28"/>
          <w:lang w:eastAsia="hi-IN" w:bidi="hi-IN"/>
        </w:rPr>
        <w:t>.,</w:t>
      </w:r>
      <w:r w:rsidRPr="00826F62">
        <w:rPr>
          <w:rFonts w:ascii="Calibri" w:eastAsia="Times New Roman" w:hAnsi="Calibri" w:cs="Calibri"/>
          <w:sz w:val="28"/>
          <w:szCs w:val="28"/>
          <w:lang w:eastAsia="pl-PL"/>
        </w:rPr>
        <w:t xml:space="preserve"> przedstawia się co następuje:</w:t>
      </w:r>
    </w:p>
    <w:p w14:paraId="2E17F11A" w14:textId="77777777" w:rsidR="00826F62" w:rsidRPr="00826F62" w:rsidRDefault="00826F62" w:rsidP="00826F62">
      <w:pPr>
        <w:numPr>
          <w:ilvl w:val="0"/>
          <w:numId w:val="6"/>
        </w:numPr>
        <w:spacing w:after="120" w:line="240" w:lineRule="auto"/>
        <w:ind w:left="284" w:hanging="284"/>
        <w:rPr>
          <w:rFonts w:ascii="Calibri" w:eastAsia="Times New Roman" w:hAnsi="Calibri" w:cs="Calibri"/>
          <w:sz w:val="28"/>
          <w:szCs w:val="28"/>
          <w:shd w:val="clear" w:color="auto" w:fill="FFFFFF"/>
          <w:lang w:eastAsia="pl-PL"/>
        </w:rPr>
      </w:pPr>
      <w:r w:rsidRPr="00826F62">
        <w:rPr>
          <w:rFonts w:ascii="Calibri" w:eastAsia="Times New Roman" w:hAnsi="Calibri" w:cs="Calibri"/>
          <w:sz w:val="28"/>
          <w:szCs w:val="28"/>
          <w:lang w:eastAsia="pl-PL"/>
        </w:rPr>
        <w:t>rodzaj i charakterystyka przedsięwzięcia, z uwzględnieniem skali przedsięwzięcia i wielkości zajmowanego terenu oraz ich wzajemnych proporcji, a także istotnych rozwiązań charakteryzujących przedsięwzięcie</w:t>
      </w:r>
      <w:r w:rsidRPr="00826F62">
        <w:rPr>
          <w:rFonts w:ascii="Calibri" w:eastAsia="SimSun" w:hAnsi="Calibri" w:cs="Calibri"/>
          <w:kern w:val="1"/>
          <w:sz w:val="28"/>
          <w:szCs w:val="28"/>
          <w:lang w:eastAsia="hi-IN" w:bidi="hi-IN"/>
        </w:rPr>
        <w:t xml:space="preserve">: </w:t>
      </w:r>
    </w:p>
    <w:p w14:paraId="67892CD0" w14:textId="77777777" w:rsidR="00826F62" w:rsidRPr="00826F62" w:rsidRDefault="00826F62" w:rsidP="00826F62">
      <w:pPr>
        <w:spacing w:after="120" w:line="240" w:lineRule="auto"/>
        <w:ind w:left="284"/>
        <w:rPr>
          <w:rFonts w:ascii="Calibri" w:eastAsia="SimSun" w:hAnsi="Calibri" w:cs="Calibri"/>
          <w:kern w:val="1"/>
          <w:sz w:val="28"/>
          <w:szCs w:val="28"/>
          <w:lang w:eastAsia="hi-IN" w:bidi="hi-IN"/>
        </w:rPr>
      </w:pPr>
      <w:r w:rsidRPr="00826F62">
        <w:rPr>
          <w:rFonts w:ascii="Calibri" w:eastAsia="SimSun" w:hAnsi="Calibri" w:cs="Calibri"/>
          <w:kern w:val="1"/>
          <w:sz w:val="28"/>
          <w:szCs w:val="28"/>
          <w:lang w:eastAsia="hi-IN" w:bidi="hi-IN"/>
        </w:rPr>
        <w:t>planowane przedsięwzięcie będzie polegać na wydobyciu piasku ze złoża kruszywa naturalnego „Luciny VII” metodą odkrywkową. Dla złoża została wydana decyzja Marszałka Województwa Wielkopolskiego z 20.10.2023 r. znak DSK-V.7427.62.2023, zatwierdzająca dokumentację geologiczną złoża kruszywa naturalnego "Luciny VII". Złoże zlokalizowane jest na działkach o numerach ewidencyjnych 282/1 i 299/1, obręb Luciny. Całkowita jego powierzchnia wynosi 9,834 ha, natomiast powierzchnia projektowanego obszaru górniczego 9,5797 ha. Złoże stanowią osady piaszczyste (piaski drobno, średnioziarniste, piaski pylaste oraz pospółka pylasta) o miąższości 14,7 m – 14,9 m (średnio 14,85 m) i średnim punkcie piaskowym wynoszącym 92,14 %. Nad złożem zalega nadkład o średniej grubości 0,15 m. Zasoby geologiczne złoża wynoszą 2 599 421 Mg. Planowane wydobycie roczne wyniesie nie więcej niż 400 000 m</w:t>
      </w:r>
      <w:r w:rsidRPr="00826F62">
        <w:rPr>
          <w:rFonts w:ascii="Calibri" w:eastAsia="SimSun" w:hAnsi="Calibri" w:cs="Calibri"/>
          <w:kern w:val="1"/>
          <w:sz w:val="28"/>
          <w:szCs w:val="28"/>
          <w:vertAlign w:val="superscript"/>
          <w:lang w:eastAsia="hi-IN" w:bidi="hi-IN"/>
        </w:rPr>
        <w:t>3</w:t>
      </w:r>
      <w:r w:rsidRPr="00826F62">
        <w:rPr>
          <w:rFonts w:ascii="Calibri" w:eastAsia="SimSun" w:hAnsi="Calibri" w:cs="Calibri"/>
          <w:kern w:val="1"/>
          <w:sz w:val="28"/>
          <w:szCs w:val="28"/>
          <w:lang w:eastAsia="hi-IN" w:bidi="hi-IN"/>
        </w:rPr>
        <w:t xml:space="preserve">. Złoże jest częściowo zawodnione. Eksploatacja złoża będzie prowadzona metodą odkrywkową, systemem przedsiębiernym i podsiębiernym maksymalnie trzema piętrami eksploatacyjnymi, przy wykorzystaniu koparki hydraulicznej lub koparko-ładowarki, ładowarki oraz koparki pływającej (refulera). Złoże zawodnione eksploatowane będzie koparką pływającą pracującą na lustrze wody lub koparką podsiębierną. W ramach przedsięwzięcia nie będzie prowadzony przerób kopaliny. Nadkład po usunięciu będzie hałdowany na tymczasowych zwałowiskach położonych w granicach obszaru górniczego i będzie przeznaczony w całości do celów rekultywacji terenu. </w:t>
      </w:r>
    </w:p>
    <w:p w14:paraId="14891483" w14:textId="77777777" w:rsidR="00826F62" w:rsidRPr="00826F62" w:rsidRDefault="00826F62" w:rsidP="00826F62">
      <w:pPr>
        <w:spacing w:after="120" w:line="240" w:lineRule="auto"/>
        <w:ind w:left="284"/>
        <w:rPr>
          <w:rFonts w:ascii="Calibri" w:eastAsia="SimSun" w:hAnsi="Calibri" w:cs="Calibri"/>
          <w:kern w:val="1"/>
          <w:sz w:val="28"/>
          <w:szCs w:val="28"/>
          <w:lang w:eastAsia="hi-IN" w:bidi="hi-IN"/>
        </w:rPr>
      </w:pPr>
      <w:r w:rsidRPr="00826F62">
        <w:rPr>
          <w:rFonts w:ascii="Calibri" w:eastAsia="SimSun" w:hAnsi="Calibri" w:cs="Calibri"/>
          <w:kern w:val="1"/>
          <w:sz w:val="28"/>
          <w:szCs w:val="28"/>
          <w:lang w:eastAsia="hi-IN" w:bidi="hi-IN"/>
        </w:rPr>
        <w:lastRenderedPageBreak/>
        <w:t>Wnioskodawca wskazał, że z uwagi na przyjęty system eksploatacji nie przewiduje odwadniania złoża. Powyższe, celem ochrony zasobów wodnych, wskazano w warunkach decyzji, zgodnie z postanowieniem Regionalnego Dyrektora Ochrony Środowiska w Poznaniu i opinią Dyrektora Zarządu Zlewni Państwowego Gospodarstwa Wodnego Wody Polskie w Poznaniu. Po zakończeniu eksploatacji złoża wnioskodawca przewiduje rekultywację terenu poeksploatacyjnego w kierunku rolnym, ze zbiornikiem wodnym</w:t>
      </w:r>
      <w:r w:rsidRPr="00826F62">
        <w:rPr>
          <w:rFonts w:ascii="Calibri" w:eastAsia="Times New Roman" w:hAnsi="Calibri" w:cs="Calibri"/>
          <w:sz w:val="28"/>
          <w:szCs w:val="28"/>
          <w:lang w:eastAsia="pl-PL"/>
        </w:rPr>
        <w:t xml:space="preserve">; </w:t>
      </w:r>
    </w:p>
    <w:p w14:paraId="69E49D1C" w14:textId="77777777" w:rsidR="00826F62" w:rsidRPr="00826F62" w:rsidRDefault="00826F62" w:rsidP="00826F62">
      <w:pPr>
        <w:numPr>
          <w:ilvl w:val="0"/>
          <w:numId w:val="6"/>
        </w:numPr>
        <w:spacing w:after="120" w:line="240" w:lineRule="auto"/>
        <w:ind w:left="284" w:hanging="284"/>
        <w:rPr>
          <w:rFonts w:ascii="Calibri" w:eastAsia="Times New Roman" w:hAnsi="Calibri" w:cs="Calibri"/>
          <w:sz w:val="28"/>
          <w:szCs w:val="28"/>
          <w:lang w:eastAsia="zh-CN"/>
        </w:rPr>
      </w:pPr>
      <w:r w:rsidRPr="00826F62">
        <w:rPr>
          <w:rFonts w:ascii="Calibri" w:eastAsia="Times New Roman" w:hAnsi="Calibri" w:cs="Calibri"/>
          <w:sz w:val="28"/>
          <w:szCs w:val="28"/>
          <w:lang w:eastAsia="pl-PL"/>
        </w:rPr>
        <w:t>rodzaj i charakterystyka przedsięwzięcia oraz rodzaj, cechy i skala możliwego oddziaływania rozważanego w odniesieniu do kryteriów wymienionych w art. 63 ust. 1 pkt 1 i 2 oraz w art. 62 ust. 1 pkt 1, z uwzględnieniem oraz wynikające z powiązań z innymi przedsięwzięciami, w szczególności kumulowania się oddziaływań przedsięwzięć realizowanych i zrealizowanych, dla których została wydana decyzja o środowiskowych uwarunkowaniach, znajdujących się na terenie, na którym planuje się realizację przedsięwzięcia, oraz w obszarze oddziaływania przedsięwzięcia lub których oddziaływania mieszczą się w obszarze oddziaływania planowanego przedsięwzięcia w zakresie, w jakim ich oddziaływania mogą prowadzić do skumulowania oddziaływań z planowanym przedsięwzięciem:</w:t>
      </w:r>
    </w:p>
    <w:p w14:paraId="026C2BDE" w14:textId="77777777" w:rsidR="00826F62" w:rsidRPr="00826F62" w:rsidRDefault="00826F62" w:rsidP="00826F62">
      <w:pPr>
        <w:spacing w:after="120" w:line="240" w:lineRule="auto"/>
        <w:ind w:left="284"/>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w bezpośrednim sąsiedztwie, w kierunku południowym od terenu przedsięwzięcia, znajduje się inny eksploatowany obszar górniczy „Luciny III”, a od strony wschodniej planowane do eksploatacji złoże kruszywa naturalnego „Luciny IV Pole 2”, należące do wnioskodawcy. Wnioskodawca w karcie informacyjnej przedsięwzięcia jednoznacznie wskazał, że złoża te eksploatowane będą tymi samymi maszynami. Proces wydobycia prowadzony będzie naprzemiennie. Zgodnie z postanowieniem Regionalnego Dyrektora Ochrony Środowiska w Poznaniu, celem ograniczenia oddziaływania skumulowanego, w decyzji wskazano, aby nie eksploatować jednocześnie złóż. Ponadto od wschodu znajdują się zawodnione poeksploatacyjne wyrobiska innych odkrywkowych kopalni kruszywa naturalnego. Planowane do eksploatacji złoże oraz powyższe tereny górnicze mogą być postrzegane w krajobrazie jako jedno duże przedsięwzięcie. Mając na względzie powyższe założenia, w tym rodzaj i zakres prac związanych z eksploatacją złoża, etapowy jego charakter oraz realizację zgodnie z warunkami wskazanymi w decyzji, nie dojdzie do ponadnormatywnego kumulowania oddziaływań planowanego przedsięwzięcia z innymi przedsięwzięciami o podobnym charakterze;</w:t>
      </w:r>
    </w:p>
    <w:p w14:paraId="0ADB9E52" w14:textId="77777777" w:rsidR="00826F62" w:rsidRPr="00826F62" w:rsidRDefault="00826F62" w:rsidP="00826F62">
      <w:pPr>
        <w:numPr>
          <w:ilvl w:val="0"/>
          <w:numId w:val="6"/>
        </w:numPr>
        <w:spacing w:after="120" w:line="240" w:lineRule="auto"/>
        <w:ind w:left="284" w:hanging="284"/>
        <w:rPr>
          <w:rFonts w:ascii="Calibri" w:eastAsia="Times New Roman" w:hAnsi="Calibri" w:cs="Calibri"/>
          <w:sz w:val="28"/>
          <w:szCs w:val="28"/>
          <w:lang w:eastAsia="zh-CN"/>
        </w:rPr>
      </w:pPr>
      <w:r w:rsidRPr="00826F62">
        <w:rPr>
          <w:rFonts w:ascii="Calibri" w:eastAsia="Times New Roman" w:hAnsi="Calibri" w:cs="Calibri"/>
          <w:sz w:val="28"/>
          <w:szCs w:val="28"/>
          <w:lang w:eastAsia="zh-CN"/>
        </w:rPr>
        <w:lastRenderedPageBreak/>
        <w:t xml:space="preserve">rodzaj i charakterystyka przedsięwzięcia z uwzględnieniem </w:t>
      </w:r>
      <w:r w:rsidRPr="00826F62">
        <w:rPr>
          <w:rFonts w:ascii="Calibri" w:eastAsia="Times New Roman" w:hAnsi="Calibri" w:cs="Calibri"/>
          <w:sz w:val="28"/>
          <w:szCs w:val="28"/>
          <w:lang w:eastAsia="pl-PL"/>
        </w:rPr>
        <w:t>różnorodności biologicznej, wykorzystywania zasobów naturalnych, w tym gleby, wody i powierzchni ziemi:</w:t>
      </w:r>
      <w:r w:rsidRPr="00826F62">
        <w:rPr>
          <w:rFonts w:ascii="Calibri" w:eastAsia="Times New Roman" w:hAnsi="Calibri" w:cs="Calibri"/>
          <w:sz w:val="28"/>
          <w:szCs w:val="28"/>
          <w:lang w:eastAsia="zh-CN"/>
        </w:rPr>
        <w:t xml:space="preserve"> </w:t>
      </w:r>
    </w:p>
    <w:p w14:paraId="26556BE3" w14:textId="77777777" w:rsidR="00826F62" w:rsidRPr="00826F62" w:rsidRDefault="00826F62" w:rsidP="00826F62">
      <w:pPr>
        <w:spacing w:after="120" w:line="240" w:lineRule="auto"/>
        <w:ind w:left="284"/>
        <w:rPr>
          <w:rFonts w:ascii="Calibri" w:eastAsia="Times New Roman" w:hAnsi="Calibri" w:cs="Calibri"/>
          <w:sz w:val="28"/>
          <w:szCs w:val="28"/>
          <w:lang w:eastAsia="zh-CN"/>
        </w:rPr>
      </w:pPr>
      <w:r w:rsidRPr="00826F62">
        <w:rPr>
          <w:rFonts w:ascii="Calibri" w:eastAsia="Times New Roman" w:hAnsi="Calibri" w:cs="Calibri"/>
          <w:sz w:val="28"/>
          <w:szCs w:val="28"/>
          <w:lang w:eastAsia="zh-CN"/>
        </w:rPr>
        <w:t xml:space="preserve">eksploatacja przedsięwzięcia będzie wiązała się z wykorzystaniem zasobów naturalnych w postaci piasku. W karcie informacyjnej przedsięwzięcia wskazano, że obszar odkrywki nie wykazuje szczególnych walorów przyrodniczych. W sąsiedztwie terenu przedsięwzięcia znajduje się las. W związku z powyższym na terenie kopalni mogą pojawiać się okresowo gatunki popularnych zwierząt łownych takich jak: sarny, jelenie, dziki, lisy, zające. Mając powyższe na uwadze, w decyzji wskazano warunek zabezpieczenia obszaru górniczego przed dostępem zwierząt; </w:t>
      </w:r>
    </w:p>
    <w:p w14:paraId="3618A17F" w14:textId="77777777" w:rsidR="00826F62" w:rsidRPr="00826F62" w:rsidRDefault="00826F62" w:rsidP="00826F62">
      <w:pPr>
        <w:numPr>
          <w:ilvl w:val="0"/>
          <w:numId w:val="6"/>
        </w:numPr>
        <w:spacing w:after="120" w:line="240" w:lineRule="auto"/>
        <w:ind w:left="284" w:hanging="284"/>
        <w:rPr>
          <w:rFonts w:ascii="Calibri" w:eastAsia="Andale Sans UI" w:hAnsi="Calibri" w:cs="Calibri"/>
          <w:kern w:val="1"/>
          <w:sz w:val="28"/>
          <w:szCs w:val="28"/>
          <w:lang w:eastAsia="hi-IN" w:bidi="hi-IN"/>
        </w:rPr>
      </w:pPr>
      <w:r w:rsidRPr="00826F62">
        <w:rPr>
          <w:rFonts w:ascii="Calibri" w:eastAsia="Andale Sans UI" w:hAnsi="Calibri" w:cs="Calibri"/>
          <w:kern w:val="1"/>
          <w:sz w:val="28"/>
          <w:szCs w:val="28"/>
          <w:lang w:eastAsia="hi-IN" w:bidi="hi-IN"/>
        </w:rPr>
        <w:t xml:space="preserve">rodzaj i charakterystyka przedsięwzięcia z uwzględnieniem: emisji i występowania innych uciążliwości; zagrożenia dla zdrowia ludzi, w tym wynikającego z emisji oraz </w:t>
      </w:r>
      <w:r w:rsidRPr="00826F62">
        <w:rPr>
          <w:rFonts w:ascii="Calibri" w:eastAsia="Times New Roman" w:hAnsi="Calibri" w:cs="Calibri"/>
          <w:sz w:val="28"/>
          <w:szCs w:val="28"/>
          <w:lang w:eastAsia="pl-PL"/>
        </w:rPr>
        <w:t>rodzaj, cechy i skala możliwego oddziaływania rozważanego w odniesieniu do kryteriów wymienionych w art. 63 ust. 1 pkt 1 i 2 oraz w art. 62 ust. 1 pkt 1, wynikające z: zasięgu oddziaływania - obszaru geograficznego i liczby ludności, na którą przedsięwzięcie może oddziaływać; charakteru, wielkości, intensywności i złożoności oddziaływania, z uwzględnieniem obciążenia istniejącej infrastruktury technicznej oraz przewidywanego momentu rozpoczęcia oddziaływania; prawdopodobieństwa oddziaływania; czasu trwania, częstotliwości i odwracalności oddziaływania; możliwości ograniczenia oddziaływania</w:t>
      </w:r>
      <w:r w:rsidRPr="00826F62">
        <w:rPr>
          <w:rFonts w:ascii="Calibri" w:eastAsia="Andale Sans UI" w:hAnsi="Calibri" w:cs="Calibri"/>
          <w:kern w:val="1"/>
          <w:sz w:val="28"/>
          <w:szCs w:val="28"/>
          <w:lang w:eastAsia="hi-IN" w:bidi="hi-IN"/>
        </w:rPr>
        <w:t>:</w:t>
      </w:r>
    </w:p>
    <w:p w14:paraId="69F85F03" w14:textId="77777777" w:rsidR="00826F62" w:rsidRPr="00826F62" w:rsidRDefault="00826F62" w:rsidP="00826F62">
      <w:pPr>
        <w:spacing w:after="120" w:line="240" w:lineRule="auto"/>
        <w:ind w:left="284"/>
        <w:rPr>
          <w:rFonts w:ascii="Calibri" w:eastAsia="Andale Sans UI" w:hAnsi="Calibri" w:cs="Calibri"/>
          <w:kern w:val="1"/>
          <w:sz w:val="28"/>
          <w:szCs w:val="28"/>
          <w:lang w:eastAsia="hi-IN" w:bidi="hi-IN"/>
        </w:rPr>
      </w:pPr>
      <w:bookmarkStart w:id="5" w:name="_Hlk82517200"/>
      <w:r w:rsidRPr="00826F62">
        <w:rPr>
          <w:rFonts w:ascii="Calibri" w:eastAsia="Andale Sans UI" w:hAnsi="Calibri" w:cs="Calibri"/>
          <w:kern w:val="1"/>
          <w:sz w:val="28"/>
          <w:szCs w:val="28"/>
          <w:lang w:eastAsia="hi-IN" w:bidi="hi-IN"/>
        </w:rPr>
        <w:t xml:space="preserve">w związku z realizacją i eksploatacją przedsięwzięcia nie przewiduje się poboru wód ani konieczności stosowania nośników energii, w tym energii cieplnej, poza paliwami niezbędnymi do napędu maszyn wydobywających kopalinę oraz środków transportu. Wnioskodawca wskazał, że naprawy sprzętu wydobywczego i transportowego będą odbywały się poza terenem złoża. W razie niemożliwości samodzielnego przejazdu maszyn przewożone one będą do warsztatu przy użyciu specjalistycznego sprzętu. Tankowanie maszyn będzie przeprowadzane poza wyrobiskiem eksploatacyjnym, a na czas tankowania teren pod urządzeniami (beczka z paliwem, pompa, zbiornik maszyny) będzie zabezpieczony folią PE ułożoną w sposób uniemożliwiający spływ paliwa poza jej obręb. Zakład górniczy będzie wyposażony w odpowiednią ilość sorbentu do przechwytywania ewentualnie powstających wycieków substancji niebezpiecznych. </w:t>
      </w:r>
    </w:p>
    <w:p w14:paraId="7861DE63" w14:textId="77777777" w:rsidR="00826F62" w:rsidRPr="00826F62" w:rsidRDefault="00826F62" w:rsidP="00826F62">
      <w:pPr>
        <w:spacing w:after="0" w:line="240" w:lineRule="auto"/>
        <w:jc w:val="both"/>
        <w:rPr>
          <w:rFonts w:ascii="Calibri" w:eastAsia="Andale Sans UI" w:hAnsi="Calibri" w:cs="Calibri"/>
          <w:kern w:val="1"/>
          <w:sz w:val="28"/>
          <w:szCs w:val="28"/>
          <w:lang w:eastAsia="hi-IN" w:bidi="hi-IN"/>
        </w:rPr>
      </w:pPr>
      <w:r w:rsidRPr="00826F62">
        <w:rPr>
          <w:rFonts w:ascii="Calibri" w:eastAsia="Andale Sans UI" w:hAnsi="Calibri" w:cs="Calibri"/>
          <w:kern w:val="1"/>
          <w:sz w:val="28"/>
          <w:szCs w:val="28"/>
          <w:lang w:eastAsia="hi-IN" w:bidi="hi-IN"/>
        </w:rPr>
        <w:br w:type="page"/>
      </w:r>
    </w:p>
    <w:p w14:paraId="5D9D762C" w14:textId="77777777" w:rsidR="00826F62" w:rsidRPr="00826F62" w:rsidRDefault="00826F62" w:rsidP="00826F62">
      <w:pPr>
        <w:spacing w:after="120" w:line="240" w:lineRule="auto"/>
        <w:ind w:left="284"/>
        <w:rPr>
          <w:rFonts w:ascii="Calibri" w:eastAsia="Andale Sans UI" w:hAnsi="Calibri" w:cs="Calibri"/>
          <w:kern w:val="1"/>
          <w:sz w:val="28"/>
          <w:szCs w:val="28"/>
          <w:lang w:eastAsia="hi-IN" w:bidi="hi-IN"/>
        </w:rPr>
      </w:pPr>
      <w:r w:rsidRPr="00826F62">
        <w:rPr>
          <w:rFonts w:ascii="Calibri" w:eastAsia="Andale Sans UI" w:hAnsi="Calibri" w:cs="Calibri"/>
          <w:kern w:val="1"/>
          <w:sz w:val="28"/>
          <w:szCs w:val="28"/>
          <w:lang w:eastAsia="hi-IN" w:bidi="hi-IN"/>
        </w:rPr>
        <w:lastRenderedPageBreak/>
        <w:t xml:space="preserve">Celem ochrony środowiska wodnego, powyższe założenia wskazano w warunkach decyzji, zgodnie z postanowieniem Regionalnego Dyrektora Ochrony Środowiska w Poznaniu i opinią Dyrektora Zarządu Zlewni Państwowego Gospodarstwa Wodnego Wody Polskie w Poznaniu. Zgodnie z opinią Dyrektora Zarządu Zlewni w decyzji wskazano również, aby w przypadku przedostania się zanieczyszczeń do gruntu lub wód bezzwłocznie podjąć działania zmierzające do usunięcia skutków i przyczyn awarii. Ponadto, zgodnie z postanowieniem Regionalnego Dyrektora Ochrony Środowiska w Poznaniu, w decyzji wskazano warunek, aby nie przechowywać paliw i innych materiałów ropopochodnych na terenie przedsięwzięcia oraz aby pojazdy transportujące wydobyte kruszywo tankowane były poza terenem zakładu górniczego, w miejscach do tego przeznaczonych, w szczególności na stacjach paliw. Pracownicy kopalni będą korzystali z przenośnej toalety wyposażonej w bezodpływowy zbiornik na ścieki bytowe. Wody opadowe i roztopowe nie będą ujmowane w systemy kanalizacyjne, lecz będą naturalnie infiltrować w grunt. Biorąc powyższe pod uwagę stwierdzono, że przy zastosowaniu wyżej wymienionych rozwiązań, </w:t>
      </w:r>
      <w:r w:rsidRPr="00826F62">
        <w:rPr>
          <w:rFonts w:ascii="Calibri" w:eastAsia="Andale Sans UI" w:hAnsi="Calibri" w:cs="Calibri"/>
          <w:b/>
          <w:bCs/>
          <w:kern w:val="1"/>
          <w:sz w:val="28"/>
          <w:szCs w:val="28"/>
          <w:lang w:eastAsia="hi-IN" w:bidi="hi-IN"/>
        </w:rPr>
        <w:t>przedsięwzięcie nie będzie znacząco negatywne oddziaływać na środowisko gruntowo-wodne</w:t>
      </w:r>
      <w:r w:rsidRPr="00826F62">
        <w:rPr>
          <w:rFonts w:ascii="Calibri" w:eastAsia="Andale Sans UI" w:hAnsi="Calibri" w:cs="Calibri"/>
          <w:kern w:val="1"/>
          <w:sz w:val="28"/>
          <w:szCs w:val="28"/>
          <w:lang w:eastAsia="hi-IN" w:bidi="hi-IN"/>
        </w:rPr>
        <w:t xml:space="preserve">. </w:t>
      </w:r>
      <w:bookmarkStart w:id="6" w:name="_Hlk197408987"/>
      <w:r w:rsidRPr="00826F62">
        <w:rPr>
          <w:rFonts w:ascii="Calibri" w:eastAsia="Andale Sans UI" w:hAnsi="Calibri" w:cs="Calibri"/>
          <w:kern w:val="1"/>
          <w:sz w:val="28"/>
          <w:szCs w:val="28"/>
          <w:lang w:eastAsia="hi-IN" w:bidi="hi-IN"/>
        </w:rPr>
        <w:t xml:space="preserve">Najbliższe tereny chronione akustycznie, to jest zabudowa mieszkaniowa jednorodzinna (działki o numerach ewidencyjnych 336/1 i 336/2, obręb Luciny) oddalone są od przedsięwzięcia o 210 m w kierunku zachodnim. Wnioskodawca wskazał, że źródłem hałasu na etapie funkcjonowania przedsięwzięcia będą maszyny urabiające kopalinę to jest koparka, ładowarka, koparka pływająca (refuler) zasilana energią elektryczną oraz pojazdy transportujące kopalinę (nie więcej niż 50 pojazdów w ciągu ośmiu najmniej korzystnych godzin pory dnia) i pojazdy osobowe (nie więcej niż 10 pojazdów w ciągu doby). Zgodnie z kartą informacyjną przedsięwzięcia dojazd do terenu kopalni oraz transport urobku prowadzony będzie od strony południowej poprzez teren eksploatowanego złoża kruszywa naturalnego „Luciny III” do drogi wojewódzkiej nr 432. Wnioskodawca przyjmując powyższe założenia dokonał oceny oddziaływania przedsięwzięcia na klimat akustyczny otoczenia na etapie jego funkcjonowania. Przedstawione przez wnioskodawcę wyniki analizy akustycznej dowodzą, że </w:t>
      </w:r>
      <w:r w:rsidRPr="00826F62">
        <w:rPr>
          <w:rFonts w:ascii="Calibri" w:eastAsia="Andale Sans UI" w:hAnsi="Calibri" w:cs="Calibri"/>
          <w:b/>
          <w:bCs/>
          <w:kern w:val="1"/>
          <w:sz w:val="28"/>
          <w:szCs w:val="28"/>
          <w:lang w:eastAsia="hi-IN" w:bidi="hi-IN"/>
        </w:rPr>
        <w:t>w związku z eksploatacją przedsięwzięcia nie dojdzie do przekroczenia dopuszczalnych poziomów hałasu na granicy najbliższych terenów chronionych akustycznie</w:t>
      </w:r>
      <w:r w:rsidRPr="00826F62">
        <w:rPr>
          <w:rFonts w:ascii="Calibri" w:eastAsia="Andale Sans UI" w:hAnsi="Calibri" w:cs="Calibri"/>
          <w:kern w:val="1"/>
          <w:sz w:val="28"/>
          <w:szCs w:val="28"/>
          <w:lang w:eastAsia="hi-IN" w:bidi="hi-IN"/>
        </w:rPr>
        <w:t xml:space="preserve">. Wnioskodawca wskazał, że nadkład hałdowany będzie na tymczasowych zwałowiskach nie wyższych niż 3 m, zlokalizowanych na powierzchni wyznaczonych pasów ochronnych. </w:t>
      </w:r>
    </w:p>
    <w:p w14:paraId="7CCB59B6" w14:textId="77777777" w:rsidR="00826F62" w:rsidRPr="00826F62" w:rsidRDefault="00826F62" w:rsidP="00826F62">
      <w:pPr>
        <w:spacing w:after="120" w:line="240" w:lineRule="auto"/>
        <w:ind w:left="284"/>
        <w:rPr>
          <w:rFonts w:ascii="Calibri" w:eastAsia="Andale Sans UI" w:hAnsi="Calibri" w:cs="Calibri"/>
          <w:kern w:val="1"/>
          <w:sz w:val="28"/>
          <w:szCs w:val="28"/>
          <w:lang w:eastAsia="hi-IN" w:bidi="hi-IN"/>
        </w:rPr>
      </w:pPr>
      <w:r w:rsidRPr="00826F62">
        <w:rPr>
          <w:rFonts w:ascii="Calibri" w:eastAsia="Andale Sans UI" w:hAnsi="Calibri" w:cs="Calibri"/>
          <w:kern w:val="1"/>
          <w:sz w:val="28"/>
          <w:szCs w:val="28"/>
          <w:lang w:eastAsia="hi-IN" w:bidi="hi-IN"/>
        </w:rPr>
        <w:lastRenderedPageBreak/>
        <w:t xml:space="preserve">Powyższe zwałowiska stanowić będą ekran akustyczny ograniczający oddziaływanie przedsięwzięcia na klimat akustyczny terenów sąsiadujących. Biorąc pod uwagę powyższe, zgodnie z postanowieniem Regionalnego Dyrektora Ochrony Środowiska w Poznaniu, w celu ograniczenia uciążliwości akustycznych w decyzji wskazano, aby tymczasowe zwałowiska nadkładu wykonać w pierwszej kolejności od strony najbliższych terenów chronionych akustycznie. Zgodnie z kartą informacyjną przedsięwzięcia praca zakładu górniczego oraz transport urobku będą ograniczone do pory dnia, co uwzględniono w warunkach decyzji, zgodnie z postanowieniem Regionalnego Dyrektora. Biorąc pod uwagę cechy i skalę przedsięwzięcia, jego lokalizację, odległości od terenów objętych ochroną akustyczną, realizację przedsięwzięcia zgodnie z warunkami określonymi w decyzji, </w:t>
      </w:r>
      <w:r w:rsidRPr="00826F62">
        <w:rPr>
          <w:rFonts w:ascii="Calibri" w:eastAsia="Andale Sans UI" w:hAnsi="Calibri" w:cs="Calibri"/>
          <w:b/>
          <w:bCs/>
          <w:kern w:val="1"/>
          <w:sz w:val="28"/>
          <w:szCs w:val="28"/>
          <w:lang w:eastAsia="hi-IN" w:bidi="hi-IN"/>
        </w:rPr>
        <w:t>nie przewiduje się przekroczenia dopuszczalnych poziomów hałasu w środowisku</w:t>
      </w:r>
      <w:r w:rsidRPr="00826F62">
        <w:rPr>
          <w:rFonts w:ascii="Calibri" w:eastAsia="Andale Sans UI" w:hAnsi="Calibri" w:cs="Calibri"/>
          <w:kern w:val="1"/>
          <w:sz w:val="28"/>
          <w:szCs w:val="28"/>
          <w:lang w:eastAsia="hi-IN" w:bidi="hi-IN"/>
        </w:rPr>
        <w:t xml:space="preserve">, określonych w rozporządzeniu Ministra Środowiska z dnia 14 czerwca 2007 r. w sprawie dopuszczalnych poziomów hałasu w środowisku (Dz. U. z 2014 r. poz. 112). Źródłem emisji substancji do powietrza będą procesy spalania paliw w silnikach sprzętu stosowanego do eksploatacji złoża oraz w silnikach pojazdów ciężarowych transportujących kopalinę i pojazdów osobowych związanych z dojazdem pracowników. Pojazdy transportujące kopalinę zostaną wyposażone w elementy zabezpieczające przed emisją niezorganizowaną pyłów z przewożonego ładunku. Powyższe rozwiązanie wskazano w warunkach decyzji. Mając powyższe na względzie, w tym skalę i cechy przedmiotowego przedsięwzięcia, głównie niezorganizowany charakter emisji zanieczyszczeń do powietrza, jak również liczbę maszyn i pojazdów wykorzystywanych na terenie kopalni, </w:t>
      </w:r>
      <w:r w:rsidRPr="00826F62">
        <w:rPr>
          <w:rFonts w:ascii="Calibri" w:eastAsia="Andale Sans UI" w:hAnsi="Calibri" w:cs="Calibri"/>
          <w:b/>
          <w:bCs/>
          <w:kern w:val="1"/>
          <w:sz w:val="28"/>
          <w:szCs w:val="28"/>
          <w:lang w:eastAsia="hi-IN" w:bidi="hi-IN"/>
        </w:rPr>
        <w:t>nie przewiduje się ponadnormatywnego oddziaływania planowanego przedsięwzięcia na stan powietrza atmosferycznego w rejonie przedsięwzięcia</w:t>
      </w:r>
      <w:bookmarkEnd w:id="5"/>
      <w:bookmarkEnd w:id="6"/>
      <w:r w:rsidRPr="00826F62">
        <w:rPr>
          <w:rFonts w:ascii="Calibri" w:eastAsia="Times New Roman" w:hAnsi="Calibri" w:cs="Calibri"/>
          <w:sz w:val="28"/>
          <w:szCs w:val="28"/>
          <w:lang w:eastAsia="zh-CN"/>
        </w:rPr>
        <w:t>;</w:t>
      </w:r>
    </w:p>
    <w:p w14:paraId="203D9241" w14:textId="77777777" w:rsidR="00826F62" w:rsidRPr="00826F62" w:rsidRDefault="00826F62" w:rsidP="00826F62">
      <w:pPr>
        <w:numPr>
          <w:ilvl w:val="0"/>
          <w:numId w:val="6"/>
        </w:numPr>
        <w:spacing w:after="120" w:line="240" w:lineRule="auto"/>
        <w:ind w:left="284" w:hanging="284"/>
        <w:rPr>
          <w:rFonts w:ascii="Calibri" w:eastAsia="Times New Roman" w:hAnsi="Calibri" w:cs="Calibri"/>
          <w:sz w:val="28"/>
          <w:szCs w:val="28"/>
          <w:lang w:eastAsia="zh-CN"/>
        </w:rPr>
      </w:pPr>
      <w:r w:rsidRPr="00826F62">
        <w:rPr>
          <w:rFonts w:ascii="Calibri" w:eastAsia="Times New Roman" w:hAnsi="Calibri" w:cs="Calibri"/>
          <w:sz w:val="28"/>
          <w:szCs w:val="28"/>
          <w:lang w:eastAsia="zh-CN"/>
        </w:rPr>
        <w:t xml:space="preserve">rodzaj i charakterystyka przedsięwzięcia z uwzględnieniem </w:t>
      </w:r>
      <w:r w:rsidRPr="00826F62">
        <w:rPr>
          <w:rFonts w:ascii="Calibri" w:eastAsia="Times New Roman" w:hAnsi="Calibri" w:cs="Calibri"/>
          <w:sz w:val="28"/>
          <w:szCs w:val="28"/>
          <w:lang w:eastAsia="pl-PL"/>
        </w:rPr>
        <w:t>ocenionego w oparciu o wiedzę naukową ryzyka wystąpienia poważnych awarii lub katastrof naturalnych i budowlanych, przy uwzględnieniu używanych substancji i stosowanych technologii, w tym ryzyka związanego ze zmianą klimatu</w:t>
      </w:r>
      <w:r w:rsidRPr="00826F62">
        <w:rPr>
          <w:rFonts w:ascii="Calibri" w:eastAsia="Times New Roman" w:hAnsi="Calibri" w:cs="Calibri"/>
          <w:sz w:val="28"/>
          <w:szCs w:val="28"/>
          <w:lang w:eastAsia="zh-CN"/>
        </w:rPr>
        <w:t xml:space="preserve">: </w:t>
      </w:r>
    </w:p>
    <w:p w14:paraId="75209A42" w14:textId="77777777" w:rsidR="00826F62" w:rsidRPr="00826F62" w:rsidRDefault="00826F62" w:rsidP="00826F62">
      <w:pPr>
        <w:spacing w:after="120" w:line="240" w:lineRule="auto"/>
        <w:ind w:left="284"/>
        <w:rPr>
          <w:rFonts w:ascii="Calibri" w:eastAsia="Times New Roman" w:hAnsi="Calibri" w:cs="Calibri"/>
          <w:sz w:val="28"/>
          <w:szCs w:val="28"/>
          <w:lang w:eastAsia="zh-CN"/>
        </w:rPr>
      </w:pPr>
      <w:r w:rsidRPr="00826F62">
        <w:rPr>
          <w:rFonts w:ascii="Calibri" w:eastAsia="Times New Roman" w:hAnsi="Calibri" w:cs="Calibri"/>
          <w:sz w:val="28"/>
          <w:szCs w:val="28"/>
          <w:lang w:eastAsia="zh-CN"/>
        </w:rPr>
        <w:t xml:space="preserve">planowane przedsięwzięcie nie należy do zakładów o dużym ani zwiększonym ryzyku wystąpienia poważnej awarii wskazanych w rozporządzeniu Ministra Rozwoju z dnia 29 stycznia 2016 r. (Dz. U. poz. 138) w sprawie rodzajów i ilości znajdujących się w zakładzie substancji niebezpiecznych, decydujących o zaliczeniu zakładu do zakładu o zwiększonym lub dużym ryzyku wystąpienia poważnej awarii </w:t>
      </w:r>
      <w:r w:rsidRPr="00826F62">
        <w:rPr>
          <w:rFonts w:ascii="Calibri" w:eastAsia="Times New Roman" w:hAnsi="Calibri" w:cs="Calibri"/>
          <w:sz w:val="28"/>
          <w:szCs w:val="28"/>
          <w:lang w:eastAsia="zh-CN"/>
        </w:rPr>
        <w:lastRenderedPageBreak/>
        <w:t xml:space="preserve">przemysłowej. W związku z eksploatacją przedsięwzięcia, przy uwzględnieniu używanych substancji (na terenie kopalni nie będą wytwarzane ani składowane odpady i substancje niebezpieczne, toksyczne i tym podobne) i stosowanych technologii (bez wykorzystywania materiałów wybuchowych) oraz realizacji zgodnie z obowiązującymi przepisami i normami, ryzyko katastrofy budowlanej będzie ograniczone. Ze względu na położenie geograficzne przedsięwzięcie nie jest zagrożone ryzykiem katastrofy naturalnej, w szczególności w wyniku wystąpienia trzęsień ziemi i powodzi. Przedsięwzięcie może być narażone na występowanie osuwisk, w związku z czym skarpy wyrobiska eksploatacyjnego kształtowane będą zgodnie z zasadami wynikającymi z norm geologicznych i górniczych, aby zapobiec zagrożeniom osuwiskowym. Biorąc pod uwagę rodzaj przedsięwzięcia oraz zakres i skalę, nie przewiduje się jego znaczącego wpływu na zmiany klimatu na etapie realizacji, eksploatacji i likwidacji. Przedsięwzięcie z uwagi na charakter, odporne będzie także na zmiany klimatu (w tym na opady deszczu, upał). W sezonie zimowym zapotrzebowanie na kruszywo naturalne jest niewielkie, w związku z czym wnioskodawca może dostosować wydobycie kopaliny w tym czasie do panujących warunków klimatycznych; </w:t>
      </w:r>
    </w:p>
    <w:p w14:paraId="7ECABD39" w14:textId="77777777" w:rsidR="00826F62" w:rsidRPr="00826F62" w:rsidRDefault="00826F62" w:rsidP="00826F62">
      <w:pPr>
        <w:numPr>
          <w:ilvl w:val="0"/>
          <w:numId w:val="6"/>
        </w:numPr>
        <w:spacing w:after="120" w:line="240" w:lineRule="auto"/>
        <w:ind w:left="284" w:hanging="284"/>
        <w:rPr>
          <w:rFonts w:ascii="Calibri" w:eastAsia="Times New Roman" w:hAnsi="Calibri" w:cs="Calibri"/>
          <w:sz w:val="28"/>
          <w:szCs w:val="28"/>
          <w:lang w:eastAsia="zh-CN"/>
        </w:rPr>
      </w:pPr>
      <w:r w:rsidRPr="00826F62">
        <w:rPr>
          <w:rFonts w:ascii="Calibri" w:eastAsia="Times New Roman" w:hAnsi="Calibri" w:cs="Calibri"/>
          <w:sz w:val="28"/>
          <w:szCs w:val="28"/>
          <w:lang w:eastAsia="zh-CN"/>
        </w:rPr>
        <w:t xml:space="preserve">rodzaj i charakterystyka przedsięwzięcia z uwzględnieniem </w:t>
      </w:r>
      <w:r w:rsidRPr="00826F62">
        <w:rPr>
          <w:rFonts w:ascii="Calibri" w:eastAsia="Times New Roman" w:hAnsi="Calibri" w:cs="Calibri"/>
          <w:sz w:val="28"/>
          <w:szCs w:val="28"/>
          <w:lang w:eastAsia="pl-PL"/>
        </w:rPr>
        <w:t>przewidywanych ilości i rodzaju wytwarzanych odpadów oraz ich wpływu na środowisko, w przypadkach gdy planuje się ich powstawanie</w:t>
      </w:r>
      <w:r w:rsidRPr="00826F62">
        <w:rPr>
          <w:rFonts w:ascii="Calibri" w:eastAsia="Times New Roman" w:hAnsi="Calibri" w:cs="Calibri"/>
          <w:sz w:val="28"/>
          <w:szCs w:val="28"/>
          <w:lang w:eastAsia="zh-CN"/>
        </w:rPr>
        <w:t xml:space="preserve">: </w:t>
      </w:r>
    </w:p>
    <w:p w14:paraId="42CA3F99" w14:textId="77777777" w:rsidR="00826F62" w:rsidRPr="00826F62" w:rsidRDefault="00826F62" w:rsidP="00826F62">
      <w:pPr>
        <w:spacing w:after="120" w:line="240" w:lineRule="auto"/>
        <w:ind w:left="284"/>
        <w:rPr>
          <w:rFonts w:ascii="Calibri" w:eastAsia="Times New Roman" w:hAnsi="Calibri" w:cs="Calibri"/>
          <w:sz w:val="28"/>
          <w:szCs w:val="28"/>
          <w:lang w:eastAsia="zh-CN"/>
        </w:rPr>
      </w:pPr>
      <w:r w:rsidRPr="00826F62">
        <w:rPr>
          <w:rFonts w:ascii="Calibri" w:eastAsia="Times New Roman" w:hAnsi="Calibri" w:cs="Calibri"/>
          <w:sz w:val="28"/>
          <w:szCs w:val="28"/>
          <w:lang w:eastAsia="zh-CN"/>
        </w:rPr>
        <w:t xml:space="preserve">na etapie eksploatacji przedsięwzięcia będą powstawać odpady komunalne wytwarzane przez pracowników kopalni oraz sorbenty wykorzystane do usuwania ewentualnie powstałych zanieczyszczeń substancjami niebezpiecznymi. Odpady będą gromadzone selektywnie w szczelnych pojemnikach lub kontenerach, w wyznaczonym do tego celu miejscu na terenie przedsięwzięcia, a następnie przekazywane uprawnionym podmiotom do dalszego zagospodarowania. Nadkład po odspojeniu od złoża nie będzie stanowił odpadu, będzie przemieszczany na tymczasowe zwałowiska na terenie przedsięwzięcia. Po zakończeniu eksploatacji złoża zostanie on w całości wykorzystany do rekultywacji terenów poeksploatacyjnych. Biorąc powyższe pod uwagę stwierdzono, że przy zastosowaniu wyżej wymienionych rozwiązań, </w:t>
      </w:r>
      <w:r w:rsidRPr="00826F62">
        <w:rPr>
          <w:rFonts w:ascii="Calibri" w:eastAsia="Times New Roman" w:hAnsi="Calibri" w:cs="Calibri"/>
          <w:b/>
          <w:bCs/>
          <w:sz w:val="28"/>
          <w:szCs w:val="28"/>
          <w:lang w:eastAsia="zh-CN"/>
        </w:rPr>
        <w:t>przedsięwzięcie nie będzie znacząco negatywne oddziaływać na środowisko gruntowo-wodne</w:t>
      </w:r>
      <w:r w:rsidRPr="00826F62">
        <w:rPr>
          <w:rFonts w:ascii="Calibri" w:eastAsia="Times New Roman" w:hAnsi="Calibri" w:cs="Calibri"/>
          <w:sz w:val="28"/>
          <w:szCs w:val="28"/>
          <w:lang w:eastAsia="zh-CN"/>
        </w:rPr>
        <w:t>;</w:t>
      </w:r>
    </w:p>
    <w:p w14:paraId="63F6AF37" w14:textId="77777777" w:rsidR="00826F62" w:rsidRPr="00826F62" w:rsidRDefault="00826F62" w:rsidP="00826F62">
      <w:pPr>
        <w:spacing w:after="0" w:line="240" w:lineRule="auto"/>
        <w:jc w:val="both"/>
        <w:rPr>
          <w:rFonts w:ascii="Calibri" w:eastAsia="SimSun" w:hAnsi="Calibri" w:cs="Calibri"/>
          <w:kern w:val="1"/>
          <w:sz w:val="28"/>
          <w:szCs w:val="28"/>
          <w:lang w:eastAsia="hi-IN" w:bidi="hi-IN"/>
        </w:rPr>
      </w:pPr>
      <w:r w:rsidRPr="00826F62">
        <w:rPr>
          <w:rFonts w:ascii="Calibri" w:eastAsia="SimSun" w:hAnsi="Calibri" w:cs="Calibri"/>
          <w:kern w:val="1"/>
          <w:sz w:val="28"/>
          <w:szCs w:val="28"/>
          <w:lang w:eastAsia="hi-IN" w:bidi="hi-IN"/>
        </w:rPr>
        <w:br w:type="page"/>
      </w:r>
    </w:p>
    <w:p w14:paraId="09ACBAA2" w14:textId="77777777" w:rsidR="00826F62" w:rsidRPr="00826F62" w:rsidRDefault="00826F62" w:rsidP="00826F62">
      <w:pPr>
        <w:numPr>
          <w:ilvl w:val="0"/>
          <w:numId w:val="6"/>
        </w:numPr>
        <w:spacing w:after="120" w:line="240" w:lineRule="auto"/>
        <w:ind w:left="284" w:hanging="284"/>
        <w:rPr>
          <w:rFonts w:ascii="Calibri" w:eastAsia="SimSun" w:hAnsi="Calibri" w:cs="Calibri"/>
          <w:kern w:val="1"/>
          <w:sz w:val="28"/>
          <w:szCs w:val="28"/>
          <w:lang w:eastAsia="hi-IN" w:bidi="hi-IN"/>
        </w:rPr>
      </w:pPr>
      <w:r w:rsidRPr="00826F62">
        <w:rPr>
          <w:rFonts w:ascii="Calibri" w:eastAsia="SimSun" w:hAnsi="Calibri" w:cs="Calibri"/>
          <w:kern w:val="1"/>
          <w:sz w:val="28"/>
          <w:szCs w:val="28"/>
          <w:lang w:eastAsia="hi-IN" w:bidi="hi-IN"/>
        </w:rPr>
        <w:lastRenderedPageBreak/>
        <w:t xml:space="preserve">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 </w:t>
      </w:r>
      <w:r w:rsidRPr="00826F62">
        <w:rPr>
          <w:rFonts w:ascii="Calibri" w:eastAsia="Times New Roman" w:hAnsi="Calibri" w:cs="Calibri"/>
          <w:sz w:val="28"/>
          <w:szCs w:val="28"/>
          <w:lang w:eastAsia="pl-PL"/>
        </w:rPr>
        <w:t>obszary wodno-błotne, inne obszary o płytkim zaleganiu wód podziemnych, w tym siedliska łęgowe oraz ujścia rzek, obszary wybrzeży i środowisko morskie, obszary górskie lub leśne,</w:t>
      </w:r>
      <w:r w:rsidRPr="00826F62">
        <w:rPr>
          <w:rFonts w:ascii="Calibri" w:eastAsia="SimSun" w:hAnsi="Calibri" w:cs="Calibri"/>
          <w:kern w:val="1"/>
          <w:sz w:val="28"/>
          <w:szCs w:val="28"/>
          <w:lang w:eastAsia="hi-IN" w:bidi="hi-IN"/>
        </w:rPr>
        <w:t xml:space="preserve"> </w:t>
      </w:r>
      <w:r w:rsidRPr="00826F62">
        <w:rPr>
          <w:rFonts w:ascii="Calibri" w:eastAsia="Times New Roman" w:hAnsi="Calibri" w:cs="Calibri"/>
          <w:sz w:val="28"/>
          <w:szCs w:val="28"/>
          <w:lang w:eastAsia="pl-PL"/>
        </w:rPr>
        <w:t>obszary objęte ochroną, w tym strefy ochronne ujęć wód i obszary ochronne zbiorników wód śródlądowych, obszary, na których standardy jakości środowiska zostały przekroczone lub istnieje prawdopodobieństwo ich przekroczenia, obszary o krajobrazie mającym znaczenie historyczne, kulturowe lub archeologiczne, gęstość zaludnienia, obszary przylegające do jezior, uzdrowiska i obszary ochrony uzdrowiskowej:</w:t>
      </w:r>
      <w:r w:rsidRPr="00826F62">
        <w:rPr>
          <w:rFonts w:ascii="Calibri" w:eastAsia="SimSun" w:hAnsi="Calibri" w:cs="Calibri"/>
          <w:kern w:val="1"/>
          <w:sz w:val="28"/>
          <w:szCs w:val="28"/>
          <w:lang w:eastAsia="hi-IN" w:bidi="hi-IN"/>
        </w:rPr>
        <w:t xml:space="preserve"> </w:t>
      </w:r>
    </w:p>
    <w:p w14:paraId="428090AC" w14:textId="77777777" w:rsidR="00826F62" w:rsidRPr="00826F62" w:rsidRDefault="00826F62" w:rsidP="00826F62">
      <w:pPr>
        <w:spacing w:after="120" w:line="240" w:lineRule="auto"/>
        <w:ind w:left="284"/>
        <w:rPr>
          <w:rFonts w:ascii="Calibri" w:eastAsia="SimSun" w:hAnsi="Calibri" w:cs="Calibri"/>
          <w:kern w:val="1"/>
          <w:sz w:val="28"/>
          <w:szCs w:val="28"/>
          <w:lang w:eastAsia="hi-IN" w:bidi="hi-IN"/>
        </w:rPr>
      </w:pPr>
      <w:r w:rsidRPr="00826F62">
        <w:rPr>
          <w:rFonts w:ascii="Calibri" w:eastAsia="SimSun" w:hAnsi="Calibri" w:cs="Calibri"/>
          <w:kern w:val="1"/>
          <w:sz w:val="28"/>
          <w:szCs w:val="28"/>
          <w:lang w:eastAsia="hi-IN" w:bidi="hi-IN"/>
        </w:rPr>
        <w:t xml:space="preserve">złoże zlokalizowane jest na obszarze Głównego Zbiornika Wód Podziemnych (GZWP) 150 Pradolina Warszawa - Berlin. Teren przedsięwzięcia nie znajduje się na obszarach wodno-błotnych i innych obszarach o płytkim zaleganiu wód podziemnych oraz obszarach ochronnych zbiorników wód śródlądowych i strefach ochronnych ujęć wód podziemnych. Najbliższe ujęcie wód podziemnych zlokalizowane jest w Dąbrowie w odległości około 3,9 km w kierunku południowo-wschodnim od przedsięwzięcia. Złoże znajduje się poza obszarami wybrzeży i środowiska morskiego, obszarami górskimi oraz obszarami przylegającymi do jezior. W sąsiedztwie przedsięwzięcia znajduje się las. Wzdłuż zachodniej granicy działek przebiega Kanał </w:t>
      </w:r>
      <w:proofErr w:type="spellStart"/>
      <w:r w:rsidRPr="00826F62">
        <w:rPr>
          <w:rFonts w:ascii="Calibri" w:eastAsia="SimSun" w:hAnsi="Calibri" w:cs="Calibri"/>
          <w:kern w:val="1"/>
          <w:sz w:val="28"/>
          <w:szCs w:val="28"/>
          <w:lang w:eastAsia="hi-IN" w:bidi="hi-IN"/>
        </w:rPr>
        <w:t>Tesiny</w:t>
      </w:r>
      <w:proofErr w:type="spellEnd"/>
      <w:r w:rsidRPr="00826F62">
        <w:rPr>
          <w:rFonts w:ascii="Calibri" w:eastAsia="SimSun" w:hAnsi="Calibri" w:cs="Calibri"/>
          <w:kern w:val="1"/>
          <w:sz w:val="28"/>
          <w:szCs w:val="28"/>
          <w:lang w:eastAsia="hi-IN" w:bidi="hi-IN"/>
        </w:rPr>
        <w:t xml:space="preserve">-Orkowo. Wnioskodawca wskazał, że pas ochronny od Kanału </w:t>
      </w:r>
      <w:proofErr w:type="spellStart"/>
      <w:r w:rsidRPr="00826F62">
        <w:rPr>
          <w:rFonts w:ascii="Calibri" w:eastAsia="SimSun" w:hAnsi="Calibri" w:cs="Calibri"/>
          <w:kern w:val="1"/>
          <w:sz w:val="28"/>
          <w:szCs w:val="28"/>
          <w:lang w:eastAsia="hi-IN" w:bidi="hi-IN"/>
        </w:rPr>
        <w:t>Tesiny</w:t>
      </w:r>
      <w:proofErr w:type="spellEnd"/>
      <w:r w:rsidRPr="00826F62">
        <w:rPr>
          <w:rFonts w:ascii="Calibri" w:eastAsia="SimSun" w:hAnsi="Calibri" w:cs="Calibri"/>
          <w:kern w:val="1"/>
          <w:sz w:val="28"/>
          <w:szCs w:val="28"/>
          <w:lang w:eastAsia="hi-IN" w:bidi="hi-IN"/>
        </w:rPr>
        <w:t xml:space="preserve">-Orkowo będzie wynosić co najmniej 50 m. Powyższe znalazło swoje odzwierciedlenie w warunkach decyzji, zgodnie z opinią Dyrektora Zarządu Zlewni Państwowego Gospodarstwa Wodnego Wody Polskie w Poznaniu. Przedsięwzięcie nie jest zlokalizowane na obszarach o krajobrazie mającym znaczenie historyczne, kulturowe oraz archeologiczne. Przedsięwzięcie nie będzie zlokalizowane również na obszarach o dużej gęstości zaludnienia oraz nie będzie zlokalizowane na obszarach uzdrowiskowych i ochrony uzdrowiskowej. W związku z realizacją planowanego przedsięwzięcia przy uwzględnieniu planowanych rozwiązań i eksploatacji zgodnie ze wskazanymi w decyzji warunkami </w:t>
      </w:r>
      <w:r w:rsidRPr="00826F62">
        <w:rPr>
          <w:rFonts w:ascii="Calibri" w:eastAsia="SimSun" w:hAnsi="Calibri" w:cs="Calibri"/>
          <w:b/>
          <w:bCs/>
          <w:kern w:val="1"/>
          <w:sz w:val="28"/>
          <w:szCs w:val="28"/>
          <w:lang w:eastAsia="hi-IN" w:bidi="hi-IN"/>
        </w:rPr>
        <w:t>nie przewiduje się przekroczenia standardów jakości środowiska</w:t>
      </w:r>
      <w:r w:rsidRPr="00826F62">
        <w:rPr>
          <w:rFonts w:ascii="Calibri" w:eastAsia="SimSun" w:hAnsi="Calibri" w:cs="Calibri"/>
          <w:kern w:val="1"/>
          <w:sz w:val="28"/>
          <w:szCs w:val="28"/>
          <w:lang w:eastAsia="hi-IN" w:bidi="hi-IN"/>
        </w:rPr>
        <w:t>;</w:t>
      </w:r>
    </w:p>
    <w:p w14:paraId="593AFCAF" w14:textId="77777777" w:rsidR="00826F62" w:rsidRPr="00826F62" w:rsidRDefault="00826F62" w:rsidP="00826F62">
      <w:pPr>
        <w:spacing w:after="0" w:line="240" w:lineRule="auto"/>
        <w:jc w:val="both"/>
        <w:rPr>
          <w:rFonts w:ascii="Calibri" w:eastAsia="SimSun" w:hAnsi="Calibri" w:cs="Calibri"/>
          <w:kern w:val="1"/>
          <w:sz w:val="28"/>
          <w:szCs w:val="28"/>
          <w:lang w:eastAsia="hi-IN" w:bidi="hi-IN"/>
        </w:rPr>
      </w:pPr>
      <w:r w:rsidRPr="00826F62">
        <w:rPr>
          <w:rFonts w:ascii="Calibri" w:eastAsia="SimSun" w:hAnsi="Calibri" w:cs="Calibri"/>
          <w:kern w:val="1"/>
          <w:sz w:val="28"/>
          <w:szCs w:val="28"/>
          <w:lang w:eastAsia="hi-IN" w:bidi="hi-IN"/>
        </w:rPr>
        <w:br w:type="page"/>
      </w:r>
    </w:p>
    <w:p w14:paraId="46FCBC7C" w14:textId="77777777" w:rsidR="00826F62" w:rsidRPr="00826F62" w:rsidRDefault="00826F62" w:rsidP="00826F62">
      <w:pPr>
        <w:numPr>
          <w:ilvl w:val="0"/>
          <w:numId w:val="6"/>
        </w:numPr>
        <w:spacing w:after="120" w:line="240" w:lineRule="auto"/>
        <w:ind w:left="284" w:hanging="284"/>
        <w:rPr>
          <w:rFonts w:ascii="Calibri" w:eastAsia="Times New Roman" w:hAnsi="Calibri" w:cs="Calibri"/>
          <w:sz w:val="28"/>
          <w:szCs w:val="28"/>
          <w:lang w:eastAsia="zh-CN"/>
        </w:rPr>
      </w:pPr>
      <w:r w:rsidRPr="00826F62">
        <w:rPr>
          <w:rFonts w:ascii="Calibri" w:eastAsia="SimSun" w:hAnsi="Calibri" w:cs="Calibri"/>
          <w:kern w:val="1"/>
          <w:sz w:val="28"/>
          <w:szCs w:val="28"/>
          <w:lang w:eastAsia="hi-IN" w:bidi="hi-IN"/>
        </w:rPr>
        <w:lastRenderedPageBreak/>
        <w:t>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w:t>
      </w:r>
      <w:r w:rsidRPr="00826F62">
        <w:rPr>
          <w:rFonts w:ascii="Calibri" w:eastAsia="Times New Roman" w:hAnsi="Calibri" w:cs="Calibri"/>
          <w:sz w:val="28"/>
          <w:szCs w:val="28"/>
          <w:lang w:eastAsia="pl-PL"/>
        </w:rPr>
        <w:t xml:space="preserve"> obszary wymagające specjalnej ochrony ze względu na występowanie gatunków roślin, grzybów i zwierząt lub ich siedlisk lub siedlisk przyrodniczych objętych ochroną, w tym obszary Natura 2000, oraz pozostałe formy ochrony przyrody:</w:t>
      </w:r>
      <w:r w:rsidRPr="00826F62">
        <w:rPr>
          <w:rFonts w:ascii="Calibri" w:eastAsia="SimSun" w:hAnsi="Calibri" w:cs="Calibri"/>
          <w:kern w:val="1"/>
          <w:sz w:val="28"/>
          <w:szCs w:val="28"/>
          <w:lang w:eastAsia="hi-IN" w:bidi="hi-IN"/>
        </w:rPr>
        <w:t xml:space="preserve"> </w:t>
      </w:r>
      <w:bookmarkStart w:id="7" w:name="_Hlk82517539"/>
    </w:p>
    <w:bookmarkEnd w:id="7"/>
    <w:p w14:paraId="68D7C500" w14:textId="77777777" w:rsidR="00826F62" w:rsidRPr="00826F62" w:rsidRDefault="00826F62" w:rsidP="00826F62">
      <w:pPr>
        <w:spacing w:after="120" w:line="240" w:lineRule="auto"/>
        <w:ind w:left="284"/>
        <w:rPr>
          <w:rFonts w:ascii="Calibri" w:eastAsia="Times New Roman" w:hAnsi="Calibri" w:cs="Calibri"/>
          <w:sz w:val="28"/>
          <w:szCs w:val="28"/>
          <w:lang w:eastAsia="zh-CN"/>
        </w:rPr>
      </w:pPr>
      <w:r w:rsidRPr="00826F62">
        <w:rPr>
          <w:rFonts w:ascii="Calibri" w:eastAsia="Times New Roman" w:hAnsi="Calibri" w:cs="Calibri"/>
          <w:sz w:val="28"/>
          <w:szCs w:val="28"/>
          <w:lang w:eastAsia="zh-CN"/>
        </w:rPr>
        <w:t xml:space="preserve">teren przeznaczony pod przedsięwzięcie zlokalizowany jest poza obszarami chronionymi na podstawie ustawy z dnia 16 kwietnia 2004 r. o ochronie przyrody. Najbliżej położonymi obszarami Natura 2000 są: specjalny obszar ochrony siedlisk Rogalińska Dolina Warty PLH300012 i obszar specjalnej ochrony ptaków Ostoja Rogalińska PLB300017 oddalone o 2,4 km od przedsięwzięcia. Ponadto przedsięwzięcie położone jest na ponadregionalnym korytarzu ekologicznym KPnC-22A Dolina Warty. Teren przedsięwzięcia to grunt orny i rowy melioracyjne. W karcie informacyjnej przedsięwzięcia wskazano, że w trakcie przeprowadzonej wizji terenowej nie stwierdzono obecności rzadkich i chronionych gatunków roślin. Zgodnie z postanowieniem Regionalnego Dyrektora Ochrony Środowiska w Poznaniu, w celu ochrony ptaków lęgowych i płazów, nałożono w decyzji warunek zdejmowania nadkładu, likwidowania rowów melioracyjnych oraz rozpoczęcia prac eksploatacyjnych na tych gruntach poza okresem lęgowym ptaków. Dla większości ptaków krajobrazu rolniczego okres lęgowy przypada przeciętnie od 1 marca do 31 lipca. Mając na względzie lokalizację przedsięwzięcia poza obszarami chronionymi, brak konieczności wycinki drzew i krzewów oraz realizację przedsięwzięcia zgodnie z nałożonymi w decyzji warunkami, </w:t>
      </w:r>
      <w:r w:rsidRPr="00826F62">
        <w:rPr>
          <w:rFonts w:ascii="Calibri" w:eastAsia="Times New Roman" w:hAnsi="Calibri" w:cs="Calibri"/>
          <w:b/>
          <w:bCs/>
          <w:sz w:val="28"/>
          <w:szCs w:val="28"/>
          <w:lang w:eastAsia="zh-CN"/>
        </w:rPr>
        <w:t>nie przewiduje się znaczącego negatywnego oddziaływania przedsięwzięcia na środowisko przyrodnicze</w:t>
      </w:r>
      <w:r w:rsidRPr="00826F62">
        <w:rPr>
          <w:rFonts w:ascii="Calibri" w:eastAsia="Times New Roman" w:hAnsi="Calibri" w:cs="Calibri"/>
          <w:sz w:val="28"/>
          <w:szCs w:val="28"/>
          <w:lang w:eastAsia="zh-CN"/>
        </w:rPr>
        <w:t xml:space="preserve">, w tym na różnorodność biologiczną, rozumianą jako liczebność i kondycję populacji występujących gatunków, w szczególności chronionych, rzadkich lub ginących gatunków roślin, zwierząt i grzybów oraz ich siedlisk. Realizacja przedsięwzięcia nie wpłynie także na obszary chronione, a w szczególności na siedliska przyrodnicze, gatunki roślin i zwierząt oraz ich siedlisk, dla których ochrony zostały wyznaczone obszary Natura 2000 ani pogorszenia integralności poszczególnych obszarów Natura 2000 lub ich powiązań z innymi obszarami. </w:t>
      </w:r>
    </w:p>
    <w:p w14:paraId="38AD76AE" w14:textId="77777777" w:rsidR="00826F62" w:rsidRPr="00826F62" w:rsidRDefault="00826F62" w:rsidP="00826F62">
      <w:pPr>
        <w:spacing w:after="120" w:line="240" w:lineRule="auto"/>
        <w:ind w:left="284"/>
        <w:rPr>
          <w:rFonts w:ascii="Calibri" w:eastAsia="Times New Roman" w:hAnsi="Calibri" w:cs="Calibri"/>
          <w:sz w:val="28"/>
          <w:szCs w:val="28"/>
          <w:lang w:eastAsia="zh-CN"/>
        </w:rPr>
      </w:pPr>
      <w:r w:rsidRPr="00826F62">
        <w:rPr>
          <w:rFonts w:ascii="Calibri" w:eastAsia="Times New Roman" w:hAnsi="Calibri" w:cs="Calibri"/>
          <w:sz w:val="28"/>
          <w:szCs w:val="28"/>
          <w:lang w:eastAsia="zh-CN"/>
        </w:rPr>
        <w:lastRenderedPageBreak/>
        <w:t>Ponadto przedsięwzięcie nie spowoduje utraty i fragmentacji siedlisk oraz nie wpłynie na ciągłość korytarzy ekologicznych i funkcję ekosystemu;</w:t>
      </w:r>
    </w:p>
    <w:p w14:paraId="71AEB757" w14:textId="77777777" w:rsidR="00826F62" w:rsidRPr="00826F62" w:rsidRDefault="00826F62" w:rsidP="00826F62">
      <w:pPr>
        <w:numPr>
          <w:ilvl w:val="0"/>
          <w:numId w:val="6"/>
        </w:numPr>
        <w:spacing w:after="120" w:line="240" w:lineRule="auto"/>
        <w:ind w:left="284" w:hanging="284"/>
        <w:rPr>
          <w:rFonts w:ascii="Calibri" w:eastAsia="Times New Roman" w:hAnsi="Calibri" w:cs="Calibri"/>
          <w:sz w:val="28"/>
          <w:szCs w:val="28"/>
          <w:lang w:eastAsia="zh-CN"/>
        </w:rPr>
      </w:pPr>
      <w:r w:rsidRPr="00826F62">
        <w:rPr>
          <w:rFonts w:ascii="Calibri" w:eastAsia="SimSun" w:hAnsi="Calibri" w:cs="Calibri"/>
          <w:kern w:val="1"/>
          <w:sz w:val="28"/>
          <w:szCs w:val="28"/>
          <w:lang w:eastAsia="hi-IN" w:bidi="hi-IN"/>
        </w:rPr>
        <w:t>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w:t>
      </w:r>
      <w:r w:rsidRPr="00826F62">
        <w:rPr>
          <w:rFonts w:ascii="Calibri" w:eastAsia="Times New Roman" w:hAnsi="Calibri" w:cs="Calibri"/>
          <w:sz w:val="28"/>
          <w:szCs w:val="28"/>
          <w:lang w:eastAsia="pl-PL"/>
        </w:rPr>
        <w:t xml:space="preserve"> wody i obowiązujące dla nich cele środowiskowe:</w:t>
      </w:r>
      <w:r w:rsidRPr="00826F62">
        <w:rPr>
          <w:rFonts w:ascii="Calibri" w:eastAsia="SimSun" w:hAnsi="Calibri" w:cs="Calibri"/>
          <w:kern w:val="1"/>
          <w:sz w:val="28"/>
          <w:szCs w:val="28"/>
          <w:lang w:eastAsia="hi-IN" w:bidi="hi-IN"/>
        </w:rPr>
        <w:t xml:space="preserve"> </w:t>
      </w:r>
    </w:p>
    <w:p w14:paraId="56BC8568" w14:textId="77777777" w:rsidR="00826F62" w:rsidRPr="00826F62" w:rsidRDefault="00826F62" w:rsidP="00826F62">
      <w:pPr>
        <w:spacing w:after="120" w:line="240" w:lineRule="auto"/>
        <w:ind w:left="284"/>
        <w:rPr>
          <w:rFonts w:ascii="Calibri" w:eastAsia="Times New Roman" w:hAnsi="Calibri" w:cs="Calibri"/>
          <w:sz w:val="28"/>
          <w:szCs w:val="28"/>
          <w:lang w:eastAsia="zh-CN"/>
        </w:rPr>
      </w:pPr>
      <w:r w:rsidRPr="00826F62">
        <w:rPr>
          <w:rFonts w:ascii="Calibri" w:eastAsia="Times New Roman" w:hAnsi="Calibri" w:cs="Calibri"/>
          <w:sz w:val="28"/>
          <w:szCs w:val="28"/>
          <w:lang w:eastAsia="zh-CN"/>
        </w:rPr>
        <w:t>według charakterystyki jednolitych części wód planowane przedsięwzięcie zlokalizowane jest w granicach jednolitej części wód podziemnych (</w:t>
      </w:r>
      <w:proofErr w:type="spellStart"/>
      <w:r w:rsidRPr="00826F62">
        <w:rPr>
          <w:rFonts w:ascii="Calibri" w:eastAsia="Times New Roman" w:hAnsi="Calibri" w:cs="Calibri"/>
          <w:sz w:val="28"/>
          <w:szCs w:val="28"/>
          <w:lang w:eastAsia="zh-CN"/>
        </w:rPr>
        <w:t>jcwpd</w:t>
      </w:r>
      <w:proofErr w:type="spellEnd"/>
      <w:r w:rsidRPr="00826F62">
        <w:rPr>
          <w:rFonts w:ascii="Calibri" w:eastAsia="Times New Roman" w:hAnsi="Calibri" w:cs="Calibri"/>
          <w:sz w:val="28"/>
          <w:szCs w:val="28"/>
          <w:lang w:eastAsia="zh-CN"/>
        </w:rPr>
        <w:t>) o kodzie GW600060 oraz jednolitej części wód powierzchniowych (</w:t>
      </w:r>
      <w:proofErr w:type="spellStart"/>
      <w:r w:rsidRPr="00826F62">
        <w:rPr>
          <w:rFonts w:ascii="Calibri" w:eastAsia="Times New Roman" w:hAnsi="Calibri" w:cs="Calibri"/>
          <w:sz w:val="28"/>
          <w:szCs w:val="28"/>
          <w:lang w:eastAsia="zh-CN"/>
        </w:rPr>
        <w:t>jcwp</w:t>
      </w:r>
      <w:proofErr w:type="spellEnd"/>
      <w:r w:rsidRPr="00826F62">
        <w:rPr>
          <w:rFonts w:ascii="Calibri" w:eastAsia="Times New Roman" w:hAnsi="Calibri" w:cs="Calibri"/>
          <w:sz w:val="28"/>
          <w:szCs w:val="28"/>
          <w:lang w:eastAsia="zh-CN"/>
        </w:rPr>
        <w:t xml:space="preserve">) rzecznych o kodzie </w:t>
      </w:r>
      <w:bookmarkStart w:id="8" w:name="_Hlk140496639"/>
      <w:r w:rsidRPr="00826F62">
        <w:rPr>
          <w:rFonts w:ascii="Calibri" w:eastAsia="Times New Roman" w:hAnsi="Calibri" w:cs="Calibri"/>
          <w:sz w:val="28"/>
          <w:szCs w:val="28"/>
          <w:lang w:eastAsia="zh-CN"/>
        </w:rPr>
        <w:t>RW60001218573</w:t>
      </w:r>
      <w:bookmarkEnd w:id="8"/>
      <w:r w:rsidRPr="00826F62">
        <w:rPr>
          <w:rFonts w:ascii="Calibri" w:eastAsia="Times New Roman" w:hAnsi="Calibri" w:cs="Calibri"/>
          <w:sz w:val="28"/>
          <w:szCs w:val="28"/>
          <w:lang w:eastAsia="zh-CN"/>
        </w:rPr>
        <w:t xml:space="preserve"> - Warta od Młyniska do Kopli. Zgodnie z obowiązującym „Planem gospodarowania wodami na obszarze dorzecza Odry” </w:t>
      </w:r>
      <w:proofErr w:type="spellStart"/>
      <w:r w:rsidRPr="00826F62">
        <w:rPr>
          <w:rFonts w:ascii="Calibri" w:eastAsia="Times New Roman" w:hAnsi="Calibri" w:cs="Calibri"/>
          <w:sz w:val="28"/>
          <w:szCs w:val="28"/>
          <w:lang w:eastAsia="zh-CN"/>
        </w:rPr>
        <w:t>jcwpd</w:t>
      </w:r>
      <w:proofErr w:type="spellEnd"/>
      <w:r w:rsidRPr="00826F62">
        <w:rPr>
          <w:rFonts w:ascii="Calibri" w:eastAsia="Times New Roman" w:hAnsi="Calibri" w:cs="Calibri"/>
          <w:sz w:val="28"/>
          <w:szCs w:val="28"/>
          <w:lang w:eastAsia="zh-CN"/>
        </w:rPr>
        <w:t xml:space="preserve"> o kodzie GW600060 charakteryzuje się dobrym stanem ilościowym oraz chemicznym, jest ona monitorowana a w odniesieniu do ryzyka nieosiągnięcia celów środowiskowych została uznana za zagrożoną. </w:t>
      </w:r>
      <w:proofErr w:type="spellStart"/>
      <w:r w:rsidRPr="00826F62">
        <w:rPr>
          <w:rFonts w:ascii="Calibri" w:eastAsia="Times New Roman" w:hAnsi="Calibri" w:cs="Calibri"/>
          <w:sz w:val="28"/>
          <w:szCs w:val="28"/>
          <w:lang w:eastAsia="zh-CN"/>
        </w:rPr>
        <w:t>Jcwp</w:t>
      </w:r>
      <w:proofErr w:type="spellEnd"/>
      <w:r w:rsidRPr="00826F62">
        <w:rPr>
          <w:rFonts w:ascii="Calibri" w:eastAsia="Times New Roman" w:hAnsi="Calibri" w:cs="Calibri"/>
          <w:sz w:val="28"/>
          <w:szCs w:val="28"/>
          <w:lang w:eastAsia="zh-CN"/>
        </w:rPr>
        <w:t xml:space="preserve"> o kodzie RW60001218573 jest silnie zmienioną częścią wód, monitorowaną, jej stan aktualnie jest zły, a zgodnie z oceną ryzyka nieosiągnięcia celów środowiskowych uznana została za niezagrożoną;</w:t>
      </w:r>
      <w:r w:rsidRPr="00826F62">
        <w:rPr>
          <w:rFonts w:ascii="Calibri" w:eastAsia="Times New Roman" w:hAnsi="Calibri" w:cs="Calibri"/>
          <w:sz w:val="28"/>
          <w:szCs w:val="28"/>
          <w:lang w:eastAsia="pl-PL"/>
        </w:rPr>
        <w:t xml:space="preserve"> </w:t>
      </w:r>
    </w:p>
    <w:p w14:paraId="1956C9EA" w14:textId="77777777" w:rsidR="00826F62" w:rsidRPr="00826F62" w:rsidRDefault="00826F62" w:rsidP="00826F62">
      <w:pPr>
        <w:numPr>
          <w:ilvl w:val="0"/>
          <w:numId w:val="6"/>
        </w:numPr>
        <w:tabs>
          <w:tab w:val="left" w:pos="426"/>
        </w:tabs>
        <w:spacing w:after="120" w:line="240" w:lineRule="auto"/>
        <w:ind w:left="284" w:hanging="284"/>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rodzaj, cechy i skala możliwego oddziaływania rozważanego w odniesieniu do kryteriów wymienionych w art. 63 ust. 1 pkt 1 i 2 oraz w art. 62 ust. 1 pkt 1, wynikające z transgranicznego charakteru oddziaływania przedsięwzięcia na poszczególne elementy przyrodnicze:</w:t>
      </w:r>
      <w:r w:rsidRPr="00826F62">
        <w:rPr>
          <w:rFonts w:ascii="Calibri" w:eastAsia="Times New Roman" w:hAnsi="Calibri" w:cs="Calibri"/>
          <w:sz w:val="28"/>
          <w:szCs w:val="28"/>
          <w:lang w:eastAsia="zh-CN"/>
        </w:rPr>
        <w:t xml:space="preserve"> </w:t>
      </w:r>
    </w:p>
    <w:p w14:paraId="318CD566" w14:textId="77777777" w:rsidR="00826F62" w:rsidRPr="00826F62" w:rsidRDefault="00826F62" w:rsidP="00826F62">
      <w:pPr>
        <w:tabs>
          <w:tab w:val="left" w:pos="426"/>
        </w:tabs>
        <w:spacing w:after="120" w:line="240" w:lineRule="auto"/>
        <w:ind w:left="284"/>
        <w:rPr>
          <w:rFonts w:ascii="Calibri" w:eastAsia="Times New Roman" w:hAnsi="Calibri" w:cs="Calibri"/>
          <w:sz w:val="28"/>
          <w:szCs w:val="28"/>
          <w:lang w:eastAsia="pl-PL"/>
        </w:rPr>
      </w:pPr>
      <w:r w:rsidRPr="00826F62">
        <w:rPr>
          <w:rFonts w:ascii="Calibri" w:eastAsia="Times New Roman" w:hAnsi="Calibri" w:cs="Calibri"/>
          <w:sz w:val="28"/>
          <w:szCs w:val="28"/>
          <w:lang w:eastAsia="zh-CN"/>
        </w:rPr>
        <w:t xml:space="preserve">przedmiotowe przedsięwzięcie nie będzie transgranicznie oddziaływać na środowisko. </w:t>
      </w:r>
    </w:p>
    <w:p w14:paraId="02E37729" w14:textId="77777777" w:rsidR="00826F62" w:rsidRPr="00826F62" w:rsidRDefault="00826F62" w:rsidP="00826F62">
      <w:pPr>
        <w:widowControl w:val="0"/>
        <w:tabs>
          <w:tab w:val="left" w:pos="0"/>
        </w:tabs>
        <w:suppressAutoHyphens/>
        <w:spacing w:after="120" w:line="240" w:lineRule="auto"/>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ab/>
        <w:t xml:space="preserve">Zgodnie z art. 80 ust. 2 </w:t>
      </w:r>
      <w:proofErr w:type="spellStart"/>
      <w:r w:rsidRPr="00826F62">
        <w:rPr>
          <w:rFonts w:ascii="Calibri" w:eastAsia="Times New Roman" w:hAnsi="Calibri" w:cs="Calibri"/>
          <w:sz w:val="28"/>
          <w:szCs w:val="28"/>
          <w:lang w:eastAsia="pl-PL"/>
        </w:rPr>
        <w:t>u.o.o.ś</w:t>
      </w:r>
      <w:proofErr w:type="spellEnd"/>
      <w:r w:rsidRPr="00826F62">
        <w:rPr>
          <w:rFonts w:ascii="Calibri" w:eastAsia="Times New Roman" w:hAnsi="Calibri" w:cs="Calibri"/>
          <w:sz w:val="28"/>
          <w:szCs w:val="28"/>
          <w:lang w:eastAsia="pl-PL"/>
        </w:rPr>
        <w:t xml:space="preserve">. właściwy organ wydaje decyzję o środowiskowych uwarunkowaniach po stwierdzeniu zgodności lokalizacji przedsięwzięcia z ustaleniami miejscowego planu zagospodarowania przestrzennego, jeżeli plan ten został uchwalony. Natomiast zgodnie z art. 59a ust. 3 pkt 1 </w:t>
      </w:r>
      <w:proofErr w:type="spellStart"/>
      <w:r w:rsidRPr="00826F62">
        <w:rPr>
          <w:rFonts w:ascii="Calibri" w:eastAsia="Times New Roman" w:hAnsi="Calibri" w:cs="Calibri"/>
          <w:sz w:val="28"/>
          <w:szCs w:val="28"/>
          <w:lang w:eastAsia="pl-PL"/>
        </w:rPr>
        <w:t>u.o.o.ś</w:t>
      </w:r>
      <w:proofErr w:type="spellEnd"/>
      <w:r w:rsidRPr="00826F62">
        <w:rPr>
          <w:rFonts w:ascii="Calibri" w:eastAsia="Times New Roman" w:hAnsi="Calibri" w:cs="Calibri"/>
          <w:sz w:val="28"/>
          <w:szCs w:val="28"/>
          <w:lang w:eastAsia="pl-PL"/>
        </w:rPr>
        <w:t xml:space="preserve">., w przypadku stwierdzenia niezgodności lokalizacji przedsięwzięcia z ustaleniami miejscowego planu zagospodarowania przestrzennego, organ właściwy do wydania decyzji o środowiskowych uwarunkowaniach odmawia zgody na realizację przedsięwzięcia. </w:t>
      </w:r>
    </w:p>
    <w:p w14:paraId="6B5F0FD9" w14:textId="77777777" w:rsidR="00826F62" w:rsidRPr="00826F62" w:rsidRDefault="00826F62" w:rsidP="00826F62">
      <w:pPr>
        <w:spacing w:after="0" w:line="240" w:lineRule="auto"/>
        <w:ind w:left="567" w:hanging="567"/>
        <w:jc w:val="both"/>
        <w:rPr>
          <w:rFonts w:ascii="Calibri" w:eastAsia="Times New Roman" w:hAnsi="Calibri" w:cs="Calibri"/>
          <w:sz w:val="28"/>
          <w:szCs w:val="28"/>
          <w:lang w:eastAsia="pl-PL"/>
        </w:rPr>
      </w:pPr>
      <w:r w:rsidRPr="00826F62">
        <w:rPr>
          <w:rFonts w:ascii="Calibri" w:eastAsia="Times New Roman" w:hAnsi="Calibri" w:cs="Calibri"/>
          <w:sz w:val="28"/>
          <w:szCs w:val="28"/>
          <w:lang w:eastAsia="pl-PL"/>
        </w:rPr>
        <w:br w:type="page"/>
      </w:r>
    </w:p>
    <w:p w14:paraId="38EFDB44" w14:textId="77777777" w:rsidR="00826F62" w:rsidRPr="00826F62" w:rsidRDefault="00826F62" w:rsidP="00826F62">
      <w:pPr>
        <w:widowControl w:val="0"/>
        <w:tabs>
          <w:tab w:val="left" w:pos="0"/>
        </w:tabs>
        <w:suppressAutoHyphens/>
        <w:spacing w:after="120" w:line="240" w:lineRule="auto"/>
        <w:rPr>
          <w:rFonts w:ascii="Calibri" w:eastAsia="Times New Roman" w:hAnsi="Calibri" w:cs="Calibri"/>
          <w:sz w:val="28"/>
          <w:szCs w:val="28"/>
          <w:lang w:eastAsia="pl-PL"/>
        </w:rPr>
      </w:pPr>
      <w:r w:rsidRPr="00826F62">
        <w:rPr>
          <w:rFonts w:ascii="Calibri" w:eastAsia="Times New Roman" w:hAnsi="Calibri" w:cs="Calibri"/>
          <w:sz w:val="28"/>
          <w:szCs w:val="28"/>
          <w:lang w:eastAsia="pl-PL"/>
        </w:rPr>
        <w:lastRenderedPageBreak/>
        <w:tab/>
        <w:t xml:space="preserve">Przedsięwzięcie zlokalizowane jest na terenie obowiązującego miejscowego planu zagospodarowania przestrzennego terenu górniczego w Lucinach – złoża kruszywa naturalnego „Luciny VII”, uchwalonego uchwałą Nr 107/XI/2025 Rady Miejskiej w Śremie z dnia 27 marca 2025 r. (Dz. Urz. Woj. </w:t>
      </w:r>
      <w:proofErr w:type="spellStart"/>
      <w:r w:rsidRPr="00826F62">
        <w:rPr>
          <w:rFonts w:ascii="Calibri" w:eastAsia="Times New Roman" w:hAnsi="Calibri" w:cs="Calibri"/>
          <w:sz w:val="28"/>
          <w:szCs w:val="28"/>
          <w:lang w:eastAsia="pl-PL"/>
        </w:rPr>
        <w:t>Wielk</w:t>
      </w:r>
      <w:proofErr w:type="spellEnd"/>
      <w:r w:rsidRPr="00826F62">
        <w:rPr>
          <w:rFonts w:ascii="Calibri" w:eastAsia="Times New Roman" w:hAnsi="Calibri" w:cs="Calibri"/>
          <w:sz w:val="28"/>
          <w:szCs w:val="28"/>
          <w:lang w:eastAsia="pl-PL"/>
        </w:rPr>
        <w:t>. poz. 2983) i przeznaczonym pod teren górnictwa i wydobycia, oznaczonym symbolem 1G. Burmistrz Śremu stwierdził zgodność lokalizacji przedsięwzięcia z ustaleniami miejscowego planu zagospodarowania przestrzennego.</w:t>
      </w:r>
    </w:p>
    <w:p w14:paraId="64BB8B9B" w14:textId="77777777" w:rsidR="00826F62" w:rsidRPr="00826F62" w:rsidRDefault="00826F62" w:rsidP="00826F62">
      <w:pPr>
        <w:spacing w:after="120" w:line="240" w:lineRule="auto"/>
        <w:ind w:firstLine="708"/>
        <w:rPr>
          <w:rFonts w:ascii="Calibri" w:eastAsia="Times New Roman" w:hAnsi="Calibri" w:cs="Calibri"/>
          <w:b/>
          <w:bCs/>
          <w:sz w:val="28"/>
          <w:szCs w:val="28"/>
          <w:lang w:eastAsia="pl-PL"/>
        </w:rPr>
      </w:pPr>
      <w:r w:rsidRPr="00826F62">
        <w:rPr>
          <w:rFonts w:ascii="Calibri" w:eastAsia="Times New Roman" w:hAnsi="Calibri" w:cs="Calibri"/>
          <w:sz w:val="28"/>
          <w:szCs w:val="28"/>
          <w:lang w:eastAsia="pl-PL"/>
        </w:rPr>
        <w:t xml:space="preserve">W związku z odstąpieniem od obowiązku przeprowadzenia oceny oddziaływania przedsięwzięcia na środowisko, postępowanie w przedmiotowej sprawie nie wymagało zapewnienia możliwości udziału społeczeństwa. </w:t>
      </w:r>
    </w:p>
    <w:p w14:paraId="09E7933A" w14:textId="77777777" w:rsidR="00826F62" w:rsidRPr="00826F62" w:rsidRDefault="00826F62" w:rsidP="00826F62">
      <w:pPr>
        <w:widowControl w:val="0"/>
        <w:tabs>
          <w:tab w:val="left" w:pos="0"/>
        </w:tabs>
        <w:suppressAutoHyphens/>
        <w:spacing w:after="120" w:line="240" w:lineRule="auto"/>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ab/>
        <w:t xml:space="preserve">Biorąc pod uwagę powyższe, w szczególności informacje przedstawione w karcie informacyjnej przedsięwzięcia, uwzględniając łącznie kryteria wymienione w art. 63 ust. 1 </w:t>
      </w:r>
      <w:proofErr w:type="spellStart"/>
      <w:r w:rsidRPr="00826F62">
        <w:rPr>
          <w:rFonts w:ascii="Calibri" w:eastAsia="Times New Roman" w:hAnsi="Calibri" w:cs="Calibri"/>
          <w:sz w:val="28"/>
          <w:szCs w:val="28"/>
          <w:lang w:eastAsia="pl-PL"/>
        </w:rPr>
        <w:t>u.o.o.ś</w:t>
      </w:r>
      <w:proofErr w:type="spellEnd"/>
      <w:r w:rsidRPr="00826F62">
        <w:rPr>
          <w:rFonts w:ascii="Calibri" w:eastAsia="Times New Roman" w:hAnsi="Calibri" w:cs="Calibri"/>
          <w:sz w:val="28"/>
          <w:szCs w:val="28"/>
          <w:lang w:eastAsia="pl-PL"/>
        </w:rPr>
        <w:t xml:space="preserve">. oraz stanowiska Organów opiniujących, Burmistrz Śremu stwierdził, że przedsięwzięcie będzie zgodne z wymaganiami ochrony środowiska, jeśli zostaną spełnione warunki określone w karcie informacyjnej przedsięwzięcia i w decyzji o środowiskowych uwarunkowaniach. </w:t>
      </w:r>
    </w:p>
    <w:p w14:paraId="1407CA5A" w14:textId="77777777" w:rsidR="00826F62" w:rsidRPr="00826F62" w:rsidRDefault="00826F62" w:rsidP="00826F62">
      <w:pPr>
        <w:spacing w:after="120" w:line="240" w:lineRule="auto"/>
        <w:ind w:firstLine="708"/>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 xml:space="preserve">Ponadto, podmiot realizujący i eksploatujący przedsięwzięcie zobowiązany jest do dotrzymania standardów jakości środowiska określonych w przepisach odrębnych. </w:t>
      </w:r>
    </w:p>
    <w:p w14:paraId="09EA8D9B" w14:textId="77777777" w:rsidR="00826F62" w:rsidRPr="00826F62" w:rsidRDefault="00826F62" w:rsidP="00826F62">
      <w:pPr>
        <w:spacing w:after="120" w:line="240" w:lineRule="auto"/>
        <w:ind w:firstLine="708"/>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Mając powyższe na uwadze orzeczono jak w sentencji decyzji.</w:t>
      </w:r>
    </w:p>
    <w:p w14:paraId="06471B8D" w14:textId="77777777" w:rsidR="00826F62" w:rsidRPr="00826F62" w:rsidRDefault="00826F62" w:rsidP="00826F62">
      <w:pPr>
        <w:spacing w:after="80" w:line="240" w:lineRule="auto"/>
        <w:jc w:val="center"/>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Pouczenie</w:t>
      </w:r>
    </w:p>
    <w:p w14:paraId="70F89216" w14:textId="77777777" w:rsidR="00826F62" w:rsidRPr="00826F62" w:rsidRDefault="00826F62" w:rsidP="00826F62">
      <w:pPr>
        <w:tabs>
          <w:tab w:val="left" w:pos="0"/>
        </w:tabs>
        <w:spacing w:after="80" w:line="240" w:lineRule="auto"/>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ab/>
        <w:t xml:space="preserve">Od niniejszej decyzji służy Stronie prawo wniesienia odwołania do Samorządowego Kolegium Odwoławczego w Poznaniu, za moim pośrednictwem, w terminie 14 dni od dnia doręczenia. </w:t>
      </w:r>
    </w:p>
    <w:p w14:paraId="0B095A18" w14:textId="77777777" w:rsidR="00826F62" w:rsidRPr="00826F62" w:rsidRDefault="00826F62" w:rsidP="00826F62">
      <w:pPr>
        <w:tabs>
          <w:tab w:val="left" w:pos="0"/>
        </w:tabs>
        <w:spacing w:after="80" w:line="240" w:lineRule="auto"/>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ab/>
        <w:t>Przed upływem terminu do wniesienia odwołania Strona może, zgodnie z art. 127a § 1 K.p.a., zrzec się prawa do wniesienia odwołania wobec organu administracji publicznej, który wydał decyzję. Z dniem doręczenia organowi administracji publicznej oświadczenia o zrzeczeniu się prawa do wniesienia odwołania przez ostatnią ze Stron postępowania, decyzja staje się ostateczna i prawomocna.</w:t>
      </w:r>
    </w:p>
    <w:p w14:paraId="00D20731" w14:textId="77777777" w:rsidR="00826F62" w:rsidRPr="00826F62" w:rsidRDefault="00826F62" w:rsidP="00826F62">
      <w:pPr>
        <w:spacing w:after="0" w:line="240" w:lineRule="auto"/>
        <w:jc w:val="both"/>
        <w:rPr>
          <w:rFonts w:ascii="Calibri" w:eastAsia="Times New Roman" w:hAnsi="Calibri" w:cs="Calibri"/>
          <w:sz w:val="28"/>
          <w:szCs w:val="28"/>
          <w:lang w:eastAsia="pl-PL"/>
        </w:rPr>
      </w:pPr>
      <w:r w:rsidRPr="00826F62">
        <w:rPr>
          <w:rFonts w:ascii="Calibri" w:eastAsia="Times New Roman" w:hAnsi="Calibri" w:cs="Calibri"/>
          <w:sz w:val="28"/>
          <w:szCs w:val="28"/>
          <w:lang w:eastAsia="pl-PL"/>
        </w:rPr>
        <w:br w:type="page"/>
      </w:r>
    </w:p>
    <w:p w14:paraId="146A8652" w14:textId="77777777" w:rsidR="00826F62" w:rsidRPr="00826F62" w:rsidRDefault="00826F62" w:rsidP="00826F62">
      <w:pPr>
        <w:tabs>
          <w:tab w:val="left" w:pos="0"/>
        </w:tabs>
        <w:spacing w:after="80" w:line="240" w:lineRule="auto"/>
        <w:rPr>
          <w:rFonts w:ascii="Calibri" w:eastAsia="Times New Roman" w:hAnsi="Calibri" w:cs="Calibri"/>
          <w:sz w:val="28"/>
          <w:szCs w:val="28"/>
          <w:lang w:eastAsia="pl-PL"/>
        </w:rPr>
      </w:pPr>
      <w:r w:rsidRPr="00826F62">
        <w:rPr>
          <w:rFonts w:ascii="Calibri" w:eastAsia="Times New Roman" w:hAnsi="Calibri" w:cs="Calibri"/>
          <w:sz w:val="28"/>
          <w:szCs w:val="28"/>
          <w:lang w:eastAsia="pl-PL"/>
        </w:rPr>
        <w:lastRenderedPageBreak/>
        <w:tab/>
        <w:t xml:space="preserve">Decyzję o środowiskowych uwarunkowaniach dołącza się do wniosku o wydanie decyzji, o których mowa w art. 72 ust. 1 </w:t>
      </w:r>
      <w:proofErr w:type="spellStart"/>
      <w:r w:rsidRPr="00826F62">
        <w:rPr>
          <w:rFonts w:ascii="Calibri" w:eastAsia="Times New Roman" w:hAnsi="Calibri" w:cs="Calibri"/>
          <w:sz w:val="28"/>
          <w:szCs w:val="28"/>
          <w:lang w:eastAsia="pl-PL"/>
        </w:rPr>
        <w:t>u.o.o.ś</w:t>
      </w:r>
      <w:proofErr w:type="spellEnd"/>
      <w:r w:rsidRPr="00826F62">
        <w:rPr>
          <w:rFonts w:ascii="Calibri" w:eastAsia="Times New Roman" w:hAnsi="Calibri" w:cs="Calibri"/>
          <w:sz w:val="28"/>
          <w:szCs w:val="28"/>
          <w:lang w:eastAsia="pl-PL"/>
        </w:rPr>
        <w:t xml:space="preserve">. oraz zgłoszenia, o którym mowa w art. 72 ust. 1a </w:t>
      </w:r>
      <w:proofErr w:type="spellStart"/>
      <w:r w:rsidRPr="00826F62">
        <w:rPr>
          <w:rFonts w:ascii="Calibri" w:eastAsia="Times New Roman" w:hAnsi="Calibri" w:cs="Calibri"/>
          <w:sz w:val="28"/>
          <w:szCs w:val="28"/>
          <w:lang w:eastAsia="pl-PL"/>
        </w:rPr>
        <w:t>u.o.o.ś</w:t>
      </w:r>
      <w:proofErr w:type="spellEnd"/>
      <w:r w:rsidRPr="00826F62">
        <w:rPr>
          <w:rFonts w:ascii="Calibri" w:eastAsia="Times New Roman" w:hAnsi="Calibri" w:cs="Calibri"/>
          <w:sz w:val="28"/>
          <w:szCs w:val="28"/>
          <w:lang w:eastAsia="pl-PL"/>
        </w:rPr>
        <w:t>. Złożenie wniosku lub dokonanie zgłoszenia powinno nastąpić w terminie 6 lat od dnia, w którym decyzja o środowiskowych uwarunkowaniach stała się ostateczna. Złożenie wniosku lub dokonanie zgłoszenia może nastąpić w terminie 10 lat od dnia, w którym decyzja o środowiskowych uwarunkowaniach stała się ostateczna, o ile strona, która złożyła wniosek o wydanie decyzji o środowiskowych uwarunkowaniach lub podmiot, na który została przeniesiona ta decyzja, otrzymali przed upływem 6 lat od dnia, w którym decyzja o środowiskowych uwarunkowaniach stała się ostateczna, od Burmistrza Śremu stanowisko, że aktualne są warunki realizacji przedsięwzięcia określone w decyzji o środowiskowych uwarunkowaniach. Zajęcie stanowiska, w drodze postanowienia, następuje na wniosek uwzględniający informacje na temat stanu środowiska i możliwości realizacji warunków wynikających z decyzji o środowiskowych uwarunkowaniach, złożony nie wcześniej niż po upływie 5 lat od dnia, w którym decyzja o środowiskowych uwarunkowaniach stała się ostateczna.</w:t>
      </w:r>
    </w:p>
    <w:p w14:paraId="55AFAF03" w14:textId="77777777" w:rsidR="00826F62" w:rsidRPr="00826F62" w:rsidRDefault="00826F62" w:rsidP="00826F62">
      <w:pPr>
        <w:tabs>
          <w:tab w:val="left" w:pos="0"/>
        </w:tabs>
        <w:spacing w:after="0" w:line="240" w:lineRule="auto"/>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ab/>
        <w:t xml:space="preserve">Decyzja o środowiskowych uwarunkowaniach wiąże organy: </w:t>
      </w:r>
    </w:p>
    <w:p w14:paraId="4FD9E669" w14:textId="77777777" w:rsidR="00826F62" w:rsidRPr="00826F62" w:rsidRDefault="00826F62" w:rsidP="00826F62">
      <w:pPr>
        <w:numPr>
          <w:ilvl w:val="0"/>
          <w:numId w:val="3"/>
        </w:numPr>
        <w:tabs>
          <w:tab w:val="left" w:pos="426"/>
        </w:tabs>
        <w:spacing w:after="0" w:line="240" w:lineRule="auto"/>
        <w:ind w:left="426" w:hanging="426"/>
        <w:jc w:val="both"/>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wydające decyzje określające warunki korzystania ze środowiska w zakresie, w jakim ma być uwzględniona przy wydawaniu tych decyzji;</w:t>
      </w:r>
    </w:p>
    <w:p w14:paraId="756923E8" w14:textId="77777777" w:rsidR="00826F62" w:rsidRPr="00826F62" w:rsidRDefault="00826F62" w:rsidP="00826F62">
      <w:pPr>
        <w:numPr>
          <w:ilvl w:val="0"/>
          <w:numId w:val="3"/>
        </w:numPr>
        <w:tabs>
          <w:tab w:val="left" w:pos="426"/>
        </w:tabs>
        <w:spacing w:after="0" w:line="240" w:lineRule="auto"/>
        <w:ind w:left="426" w:hanging="426"/>
        <w:jc w:val="both"/>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 xml:space="preserve">wydające decyzje, o których mowa w art. 72 ust. 1 </w:t>
      </w:r>
      <w:proofErr w:type="spellStart"/>
      <w:r w:rsidRPr="00826F62">
        <w:rPr>
          <w:rFonts w:ascii="Calibri" w:eastAsia="Times New Roman" w:hAnsi="Calibri" w:cs="Calibri"/>
          <w:sz w:val="28"/>
          <w:szCs w:val="28"/>
          <w:lang w:eastAsia="pl-PL"/>
        </w:rPr>
        <w:t>u.o.o.ś</w:t>
      </w:r>
      <w:proofErr w:type="spellEnd"/>
      <w:r w:rsidRPr="00826F62">
        <w:rPr>
          <w:rFonts w:ascii="Calibri" w:eastAsia="Times New Roman" w:hAnsi="Calibri" w:cs="Calibri"/>
          <w:sz w:val="28"/>
          <w:szCs w:val="28"/>
          <w:lang w:eastAsia="pl-PL"/>
        </w:rPr>
        <w:t xml:space="preserve">.; </w:t>
      </w:r>
    </w:p>
    <w:p w14:paraId="5D936C59" w14:textId="77777777" w:rsidR="00826F62" w:rsidRPr="00826F62" w:rsidRDefault="00826F62" w:rsidP="00826F62">
      <w:pPr>
        <w:numPr>
          <w:ilvl w:val="0"/>
          <w:numId w:val="3"/>
        </w:numPr>
        <w:tabs>
          <w:tab w:val="left" w:pos="426"/>
        </w:tabs>
        <w:spacing w:after="0" w:line="240" w:lineRule="auto"/>
        <w:ind w:left="426" w:hanging="426"/>
        <w:jc w:val="both"/>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przyjmujące zgłoszenia, o których mowa w art. 72 ust. 1a </w:t>
      </w:r>
      <w:proofErr w:type="spellStart"/>
      <w:r w:rsidRPr="00826F62">
        <w:rPr>
          <w:rFonts w:ascii="Calibri" w:eastAsia="Times New Roman" w:hAnsi="Calibri" w:cs="Calibri"/>
          <w:sz w:val="28"/>
          <w:szCs w:val="28"/>
          <w:lang w:eastAsia="pl-PL"/>
        </w:rPr>
        <w:t>u.o.o.ś</w:t>
      </w:r>
      <w:proofErr w:type="spellEnd"/>
      <w:r w:rsidRPr="00826F62">
        <w:rPr>
          <w:rFonts w:ascii="Calibri" w:eastAsia="Times New Roman" w:hAnsi="Calibri" w:cs="Calibri"/>
          <w:sz w:val="28"/>
          <w:szCs w:val="28"/>
          <w:lang w:eastAsia="pl-PL"/>
        </w:rPr>
        <w:t>.</w:t>
      </w:r>
    </w:p>
    <w:p w14:paraId="7BB06FEA" w14:textId="77777777" w:rsidR="00826F62" w:rsidRPr="00826F62" w:rsidRDefault="00826F62" w:rsidP="00826F62">
      <w:pPr>
        <w:spacing w:after="0" w:line="240" w:lineRule="auto"/>
        <w:ind w:left="1416"/>
        <w:jc w:val="center"/>
        <w:rPr>
          <w:rFonts w:ascii="Calibri" w:eastAsia="Times New Roman" w:hAnsi="Calibri" w:cs="Calibri"/>
          <w:sz w:val="28"/>
          <w:szCs w:val="28"/>
          <w:lang w:eastAsia="pl-PL"/>
        </w:rPr>
      </w:pPr>
    </w:p>
    <w:p w14:paraId="3AC25F31" w14:textId="56313240" w:rsidR="00826F62" w:rsidRPr="00826F62" w:rsidRDefault="00826F62" w:rsidP="00826F62">
      <w:pPr>
        <w:spacing w:after="0" w:line="240" w:lineRule="auto"/>
        <w:ind w:left="3540"/>
        <w:jc w:val="center"/>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z up. BURMISTRZA</w:t>
      </w:r>
    </w:p>
    <w:p w14:paraId="4DCAA5F4" w14:textId="77777777" w:rsidR="00826F62" w:rsidRPr="00826F62" w:rsidRDefault="00826F62" w:rsidP="00826F62">
      <w:pPr>
        <w:spacing w:after="0" w:line="240" w:lineRule="auto"/>
        <w:ind w:left="3540"/>
        <w:jc w:val="center"/>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Katarzyna Bednarowicz</w:t>
      </w:r>
    </w:p>
    <w:p w14:paraId="724D6298" w14:textId="77777777" w:rsidR="00826F62" w:rsidRPr="00826F62" w:rsidRDefault="00826F62" w:rsidP="00826F62">
      <w:pPr>
        <w:spacing w:after="0" w:line="240" w:lineRule="auto"/>
        <w:ind w:left="3540"/>
        <w:jc w:val="center"/>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naczelnik Pionu Gospodarowania</w:t>
      </w:r>
    </w:p>
    <w:p w14:paraId="1DCC6312" w14:textId="77777777" w:rsidR="00826F62" w:rsidRPr="00826F62" w:rsidRDefault="00826F62" w:rsidP="00826F62">
      <w:pPr>
        <w:spacing w:after="0" w:line="240" w:lineRule="auto"/>
        <w:ind w:left="3540"/>
        <w:jc w:val="center"/>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Przestrzenią i Środowiskiem</w:t>
      </w:r>
    </w:p>
    <w:p w14:paraId="45017B23" w14:textId="36C3F20F" w:rsidR="00826F62" w:rsidRPr="00826F62" w:rsidRDefault="00826F62" w:rsidP="00826F62">
      <w:pPr>
        <w:spacing w:after="0" w:line="240" w:lineRule="auto"/>
        <w:ind w:left="3540"/>
        <w:jc w:val="center"/>
        <w:rPr>
          <w:rFonts w:ascii="Calibri" w:eastAsia="Times New Roman" w:hAnsi="Calibri" w:cs="Calibri"/>
          <w:sz w:val="28"/>
          <w:szCs w:val="28"/>
          <w:lang w:eastAsia="pl-PL"/>
        </w:rPr>
      </w:pPr>
    </w:p>
    <w:p w14:paraId="64DDC022" w14:textId="77777777" w:rsidR="00826F62" w:rsidRPr="00826F62" w:rsidRDefault="00826F62" w:rsidP="00826F62">
      <w:pPr>
        <w:spacing w:after="120" w:line="240" w:lineRule="auto"/>
        <w:rPr>
          <w:rFonts w:ascii="Calibri" w:eastAsia="Times New Roman" w:hAnsi="Calibri" w:cs="Calibri"/>
          <w:sz w:val="28"/>
          <w:szCs w:val="28"/>
          <w:lang w:eastAsia="pl-PL"/>
        </w:rPr>
      </w:pPr>
    </w:p>
    <w:p w14:paraId="2A20D110" w14:textId="77777777" w:rsidR="00826F62" w:rsidRPr="00826F62" w:rsidRDefault="00826F62" w:rsidP="00826F62">
      <w:pPr>
        <w:spacing w:after="120" w:line="240" w:lineRule="auto"/>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Załączniki:</w:t>
      </w:r>
    </w:p>
    <w:p w14:paraId="48011E31" w14:textId="77777777" w:rsidR="00826F62" w:rsidRPr="00826F62" w:rsidRDefault="00826F62" w:rsidP="00826F62">
      <w:pPr>
        <w:spacing w:after="120" w:line="240" w:lineRule="auto"/>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Załącznik nr 1 - Charakterystyka całego przedsięwzięcia.</w:t>
      </w:r>
    </w:p>
    <w:p w14:paraId="6DF00D4C" w14:textId="77777777" w:rsidR="00826F62" w:rsidRPr="00826F62" w:rsidRDefault="00826F62" w:rsidP="00826F62">
      <w:pPr>
        <w:spacing w:after="0" w:line="240" w:lineRule="auto"/>
        <w:jc w:val="both"/>
        <w:rPr>
          <w:rFonts w:ascii="Calibri" w:eastAsia="Times New Roman" w:hAnsi="Calibri" w:cs="Calibri"/>
          <w:sz w:val="28"/>
          <w:szCs w:val="28"/>
          <w:lang w:eastAsia="pl-PL"/>
        </w:rPr>
      </w:pPr>
    </w:p>
    <w:p w14:paraId="2D3B1219" w14:textId="77777777" w:rsidR="00826F62" w:rsidRPr="00826F62" w:rsidRDefault="00826F62" w:rsidP="00826F62">
      <w:pPr>
        <w:spacing w:after="0" w:line="240" w:lineRule="auto"/>
        <w:jc w:val="both"/>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Sprawę prowadzi:</w:t>
      </w:r>
    </w:p>
    <w:p w14:paraId="4E321BBA" w14:textId="77777777" w:rsidR="00826F62" w:rsidRPr="00826F62" w:rsidRDefault="00826F62" w:rsidP="00826F62">
      <w:pPr>
        <w:spacing w:after="0" w:line="240" w:lineRule="auto"/>
        <w:jc w:val="both"/>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Małgorzata Borowska</w:t>
      </w:r>
    </w:p>
    <w:p w14:paraId="735E95D2" w14:textId="77777777" w:rsidR="00826F62" w:rsidRPr="00826F62" w:rsidRDefault="00826F62" w:rsidP="00826F62">
      <w:pPr>
        <w:spacing w:after="0" w:line="240" w:lineRule="auto"/>
        <w:jc w:val="both"/>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inspektor</w:t>
      </w:r>
    </w:p>
    <w:p w14:paraId="0EA67EAC" w14:textId="77777777" w:rsidR="00826F62" w:rsidRPr="00826F62" w:rsidRDefault="00826F62" w:rsidP="00826F62">
      <w:pPr>
        <w:spacing w:after="120" w:line="240" w:lineRule="auto"/>
        <w:jc w:val="both"/>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tel. 61 28 47 140</w:t>
      </w:r>
    </w:p>
    <w:p w14:paraId="245636D2" w14:textId="77777777" w:rsidR="00826F62" w:rsidRPr="00826F62" w:rsidRDefault="00826F62" w:rsidP="00826F62">
      <w:pPr>
        <w:spacing w:after="0" w:line="240" w:lineRule="auto"/>
        <w:jc w:val="both"/>
        <w:rPr>
          <w:rFonts w:ascii="Calibri" w:eastAsia="Times New Roman" w:hAnsi="Calibri" w:cs="Calibri"/>
          <w:sz w:val="28"/>
          <w:szCs w:val="28"/>
          <w:lang w:eastAsia="pl-PL"/>
        </w:rPr>
      </w:pPr>
      <w:r w:rsidRPr="00826F62">
        <w:rPr>
          <w:rFonts w:ascii="Calibri" w:eastAsia="Times New Roman" w:hAnsi="Calibri" w:cs="Calibri"/>
          <w:sz w:val="28"/>
          <w:szCs w:val="28"/>
          <w:lang w:eastAsia="pl-PL"/>
        </w:rPr>
        <w:br w:type="page"/>
      </w:r>
    </w:p>
    <w:p w14:paraId="1A81E1D2" w14:textId="77777777" w:rsidR="00826F62" w:rsidRPr="00826F62" w:rsidRDefault="00826F62" w:rsidP="00826F62">
      <w:pPr>
        <w:spacing w:after="0" w:line="240" w:lineRule="auto"/>
        <w:jc w:val="both"/>
        <w:rPr>
          <w:rFonts w:ascii="Calibri" w:eastAsia="Times New Roman" w:hAnsi="Calibri" w:cs="Calibri"/>
          <w:sz w:val="28"/>
          <w:szCs w:val="28"/>
          <w:lang w:eastAsia="pl-PL"/>
        </w:rPr>
      </w:pPr>
      <w:r w:rsidRPr="00826F62">
        <w:rPr>
          <w:rFonts w:ascii="Calibri" w:eastAsia="Times New Roman" w:hAnsi="Calibri" w:cs="Calibri"/>
          <w:sz w:val="28"/>
          <w:szCs w:val="28"/>
          <w:lang w:eastAsia="pl-PL"/>
        </w:rPr>
        <w:lastRenderedPageBreak/>
        <w:t>Otrzymują:</w:t>
      </w:r>
    </w:p>
    <w:p w14:paraId="03C0EC5E" w14:textId="77777777" w:rsidR="00826F62" w:rsidRPr="00826F62" w:rsidRDefault="00826F62" w:rsidP="00826F62">
      <w:pPr>
        <w:numPr>
          <w:ilvl w:val="0"/>
          <w:numId w:val="28"/>
        </w:numPr>
        <w:spacing w:after="0" w:line="240" w:lineRule="auto"/>
        <w:ind w:left="284" w:hanging="284"/>
        <w:contextualSpacing/>
        <w:jc w:val="both"/>
        <w:rPr>
          <w:rFonts w:ascii="Calibri" w:eastAsia="Times New Roman" w:hAnsi="Calibri" w:cs="Calibri"/>
          <w:bCs/>
          <w:sz w:val="28"/>
          <w:szCs w:val="28"/>
          <w:lang w:eastAsia="pl-PL"/>
        </w:rPr>
      </w:pPr>
      <w:r w:rsidRPr="00826F62">
        <w:rPr>
          <w:rFonts w:ascii="Calibri" w:eastAsia="Times New Roman" w:hAnsi="Calibri" w:cs="Calibri"/>
          <w:bCs/>
          <w:sz w:val="28"/>
          <w:szCs w:val="28"/>
          <w:lang w:eastAsia="pl-PL"/>
        </w:rPr>
        <w:t>Strony postępowania:</w:t>
      </w:r>
    </w:p>
    <w:p w14:paraId="1B3872AB" w14:textId="77777777" w:rsidR="00826F62" w:rsidRPr="00826F62" w:rsidRDefault="00826F62" w:rsidP="00826F62">
      <w:pPr>
        <w:numPr>
          <w:ilvl w:val="0"/>
          <w:numId w:val="19"/>
        </w:numPr>
        <w:spacing w:after="0" w:line="240" w:lineRule="auto"/>
        <w:ind w:left="284" w:hanging="284"/>
        <w:contextualSpacing/>
        <w:jc w:val="both"/>
        <w:rPr>
          <w:rFonts w:ascii="Calibri" w:eastAsia="Calibri" w:hAnsi="Calibri" w:cs="Calibri"/>
          <w:sz w:val="28"/>
          <w:szCs w:val="28"/>
        </w:rPr>
      </w:pPr>
      <w:r w:rsidRPr="00826F62">
        <w:rPr>
          <w:rFonts w:ascii="Calibri" w:eastAsia="Calibri" w:hAnsi="Calibri" w:cs="Calibri"/>
          <w:sz w:val="28"/>
          <w:szCs w:val="28"/>
        </w:rPr>
        <w:t>Żwir-Kop Garby Sp. z o.o., Garby 22, 63-023 Sulęcinek</w:t>
      </w:r>
    </w:p>
    <w:p w14:paraId="5F93DD84" w14:textId="77777777" w:rsidR="00826F62" w:rsidRPr="00826F62" w:rsidRDefault="00826F62" w:rsidP="00826F62">
      <w:pPr>
        <w:spacing w:after="0" w:line="240" w:lineRule="auto"/>
        <w:ind w:left="284"/>
        <w:contextualSpacing/>
        <w:jc w:val="both"/>
        <w:rPr>
          <w:rFonts w:ascii="Calibri" w:eastAsia="Calibri" w:hAnsi="Calibri" w:cs="Calibri"/>
          <w:sz w:val="28"/>
          <w:szCs w:val="28"/>
        </w:rPr>
      </w:pPr>
      <w:r w:rsidRPr="00826F62">
        <w:rPr>
          <w:rFonts w:ascii="Calibri" w:eastAsia="Calibri" w:hAnsi="Calibri" w:cs="Calibri"/>
          <w:sz w:val="28"/>
          <w:szCs w:val="28"/>
        </w:rPr>
        <w:t>Pełnomocnik: Pan Daniel Danielewski, Przedsiębiorstwo Wielobranżowe Pro-</w:t>
      </w:r>
      <w:proofErr w:type="spellStart"/>
      <w:r w:rsidRPr="00826F62">
        <w:rPr>
          <w:rFonts w:ascii="Calibri" w:eastAsia="Calibri" w:hAnsi="Calibri" w:cs="Calibri"/>
          <w:sz w:val="28"/>
          <w:szCs w:val="28"/>
        </w:rPr>
        <w:t>Geo</w:t>
      </w:r>
      <w:proofErr w:type="spellEnd"/>
      <w:r w:rsidRPr="00826F62">
        <w:rPr>
          <w:rFonts w:ascii="Calibri" w:eastAsia="Calibri" w:hAnsi="Calibri" w:cs="Calibri"/>
          <w:sz w:val="28"/>
          <w:szCs w:val="28"/>
        </w:rPr>
        <w:t>, Dąbrowa, ul. Krótka 6, 62-070 Dopiewo</w:t>
      </w:r>
    </w:p>
    <w:p w14:paraId="46A5F129" w14:textId="77777777" w:rsidR="00826F62" w:rsidRPr="00826F62" w:rsidRDefault="00826F62" w:rsidP="00826F62">
      <w:pPr>
        <w:numPr>
          <w:ilvl w:val="0"/>
          <w:numId w:val="19"/>
        </w:numPr>
        <w:spacing w:after="0" w:line="240" w:lineRule="auto"/>
        <w:ind w:left="284" w:hanging="284"/>
        <w:contextualSpacing/>
        <w:jc w:val="both"/>
        <w:rPr>
          <w:rFonts w:ascii="Calibri" w:eastAsia="Calibri" w:hAnsi="Calibri" w:cs="Calibri"/>
          <w:sz w:val="28"/>
          <w:szCs w:val="28"/>
        </w:rPr>
      </w:pPr>
      <w:r w:rsidRPr="00826F62">
        <w:rPr>
          <w:rFonts w:ascii="Calibri" w:eastAsia="Times New Roman" w:hAnsi="Calibri" w:cs="Calibri"/>
          <w:bCs/>
          <w:sz w:val="28"/>
          <w:szCs w:val="28"/>
          <w:lang w:eastAsia="pl-PL"/>
        </w:rPr>
        <w:t xml:space="preserve">Pozostałe strony postępowania przez obwieszczenie, zgodnie z art. 74 ust. 3 </w:t>
      </w:r>
      <w:proofErr w:type="spellStart"/>
      <w:r w:rsidRPr="00826F62">
        <w:rPr>
          <w:rFonts w:ascii="Calibri" w:eastAsia="Times New Roman" w:hAnsi="Calibri" w:cs="Calibri"/>
          <w:bCs/>
          <w:sz w:val="28"/>
          <w:szCs w:val="28"/>
          <w:lang w:eastAsia="pl-PL"/>
        </w:rPr>
        <w:t>u.o.o.ś</w:t>
      </w:r>
      <w:proofErr w:type="spellEnd"/>
      <w:r w:rsidRPr="00826F62">
        <w:rPr>
          <w:rFonts w:ascii="Calibri" w:eastAsia="Times New Roman" w:hAnsi="Calibri" w:cs="Calibri"/>
          <w:bCs/>
          <w:sz w:val="28"/>
          <w:szCs w:val="28"/>
          <w:lang w:eastAsia="pl-PL"/>
        </w:rPr>
        <w:t xml:space="preserve">. </w:t>
      </w:r>
    </w:p>
    <w:p w14:paraId="6721946C" w14:textId="77777777" w:rsidR="00826F62" w:rsidRPr="00826F62" w:rsidRDefault="00826F62" w:rsidP="00826F62">
      <w:pPr>
        <w:spacing w:after="0" w:line="240" w:lineRule="auto"/>
        <w:jc w:val="both"/>
        <w:rPr>
          <w:rFonts w:ascii="Calibri" w:eastAsia="Times New Roman" w:hAnsi="Calibri" w:cs="Calibri"/>
          <w:bCs/>
          <w:sz w:val="28"/>
          <w:szCs w:val="28"/>
          <w:lang w:eastAsia="pl-PL"/>
        </w:rPr>
      </w:pPr>
      <w:r w:rsidRPr="00826F62">
        <w:rPr>
          <w:rFonts w:ascii="Calibri" w:eastAsia="Times New Roman" w:hAnsi="Calibri" w:cs="Calibri"/>
          <w:bCs/>
          <w:sz w:val="28"/>
          <w:szCs w:val="28"/>
          <w:lang w:eastAsia="pl-PL"/>
        </w:rPr>
        <w:t>II. aa</w:t>
      </w:r>
    </w:p>
    <w:p w14:paraId="0E47EDF8" w14:textId="77777777" w:rsidR="00826F62" w:rsidRPr="00826F62" w:rsidRDefault="00826F62" w:rsidP="00826F62">
      <w:pPr>
        <w:spacing w:after="0" w:line="240" w:lineRule="auto"/>
        <w:jc w:val="both"/>
        <w:rPr>
          <w:rFonts w:ascii="Calibri" w:eastAsia="Times New Roman" w:hAnsi="Calibri" w:cs="Calibri"/>
          <w:sz w:val="28"/>
          <w:szCs w:val="28"/>
          <w:lang w:eastAsia="pl-PL"/>
        </w:rPr>
      </w:pPr>
    </w:p>
    <w:p w14:paraId="78810ACC" w14:textId="77777777" w:rsidR="00826F62" w:rsidRPr="00826F62" w:rsidRDefault="00826F62" w:rsidP="00826F62">
      <w:pPr>
        <w:spacing w:after="0" w:line="240" w:lineRule="auto"/>
        <w:jc w:val="both"/>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Do wiadomości:</w:t>
      </w:r>
    </w:p>
    <w:p w14:paraId="09882DCC" w14:textId="77777777" w:rsidR="00826F62" w:rsidRPr="00826F62" w:rsidRDefault="00826F62" w:rsidP="00826F62">
      <w:pPr>
        <w:numPr>
          <w:ilvl w:val="0"/>
          <w:numId w:val="2"/>
        </w:numPr>
        <w:tabs>
          <w:tab w:val="left" w:pos="300"/>
        </w:tabs>
        <w:spacing w:after="0" w:line="240" w:lineRule="auto"/>
        <w:ind w:left="284" w:hanging="284"/>
        <w:jc w:val="both"/>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Regionalny Dyrektor Ochrony Środowiska w Poznaniu (</w:t>
      </w:r>
      <w:proofErr w:type="spellStart"/>
      <w:r w:rsidRPr="00826F62">
        <w:rPr>
          <w:rFonts w:ascii="Calibri" w:eastAsia="Times New Roman" w:hAnsi="Calibri" w:cs="Calibri"/>
          <w:sz w:val="28"/>
          <w:szCs w:val="28"/>
          <w:lang w:eastAsia="pl-PL"/>
        </w:rPr>
        <w:t>ePUAP</w:t>
      </w:r>
      <w:proofErr w:type="spellEnd"/>
      <w:r w:rsidRPr="00826F62">
        <w:rPr>
          <w:rFonts w:ascii="Calibri" w:eastAsia="Times New Roman" w:hAnsi="Calibri" w:cs="Calibri"/>
          <w:sz w:val="28"/>
          <w:szCs w:val="28"/>
          <w:lang w:eastAsia="pl-PL"/>
        </w:rPr>
        <w:t>)</w:t>
      </w:r>
    </w:p>
    <w:p w14:paraId="48519DFC" w14:textId="77777777" w:rsidR="00826F62" w:rsidRPr="00826F62" w:rsidRDefault="00826F62" w:rsidP="00826F62">
      <w:pPr>
        <w:numPr>
          <w:ilvl w:val="0"/>
          <w:numId w:val="2"/>
        </w:numPr>
        <w:tabs>
          <w:tab w:val="left" w:pos="300"/>
        </w:tabs>
        <w:spacing w:after="0" w:line="240" w:lineRule="auto"/>
        <w:ind w:left="284" w:hanging="284"/>
        <w:jc w:val="both"/>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Dyrektor Zarządu Zlewni Państwowego Gospodarstwa Wodnego Wody Polskie w Poznaniu (</w:t>
      </w:r>
      <w:proofErr w:type="spellStart"/>
      <w:r w:rsidRPr="00826F62">
        <w:rPr>
          <w:rFonts w:ascii="Calibri" w:eastAsia="Times New Roman" w:hAnsi="Calibri" w:cs="Calibri"/>
          <w:sz w:val="28"/>
          <w:szCs w:val="28"/>
          <w:lang w:eastAsia="pl-PL"/>
        </w:rPr>
        <w:t>ePUAP</w:t>
      </w:r>
      <w:proofErr w:type="spellEnd"/>
      <w:r w:rsidRPr="00826F62">
        <w:rPr>
          <w:rFonts w:ascii="Calibri" w:eastAsia="Times New Roman" w:hAnsi="Calibri" w:cs="Calibri"/>
          <w:sz w:val="28"/>
          <w:szCs w:val="28"/>
          <w:lang w:eastAsia="pl-PL"/>
        </w:rPr>
        <w:t>)</w:t>
      </w:r>
    </w:p>
    <w:p w14:paraId="7E26B332" w14:textId="77777777" w:rsidR="00826F62" w:rsidRPr="00826F62" w:rsidRDefault="00826F62" w:rsidP="00826F62">
      <w:pPr>
        <w:spacing w:after="0" w:line="240" w:lineRule="auto"/>
        <w:jc w:val="both"/>
        <w:rPr>
          <w:rFonts w:ascii="Calibri" w:eastAsia="Times New Roman" w:hAnsi="Calibri" w:cs="Calibri"/>
          <w:sz w:val="28"/>
          <w:szCs w:val="28"/>
          <w:lang w:eastAsia="pl-PL"/>
        </w:rPr>
      </w:pPr>
    </w:p>
    <w:p w14:paraId="2DB57F86" w14:textId="77777777" w:rsidR="00826F62" w:rsidRPr="00826F62" w:rsidRDefault="00826F62" w:rsidP="00826F62">
      <w:pPr>
        <w:spacing w:after="0" w:line="240" w:lineRule="auto"/>
        <w:jc w:val="both"/>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 xml:space="preserve">Uiszczono opłatę skarbową w kwocie 222,00 zł </w:t>
      </w:r>
    </w:p>
    <w:p w14:paraId="26EA02FC" w14:textId="77777777" w:rsidR="00826F62" w:rsidRPr="00826F62" w:rsidRDefault="00826F62" w:rsidP="00826F62">
      <w:pPr>
        <w:tabs>
          <w:tab w:val="left" w:pos="990"/>
        </w:tabs>
        <w:spacing w:after="0" w:line="240" w:lineRule="auto"/>
        <w:jc w:val="both"/>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data wpłaty 11.06.2025 r.</w:t>
      </w:r>
    </w:p>
    <w:p w14:paraId="7A814613" w14:textId="77777777" w:rsidR="00826F62" w:rsidRPr="00826F62" w:rsidRDefault="00826F62" w:rsidP="00826F62">
      <w:pPr>
        <w:spacing w:after="0" w:line="240" w:lineRule="auto"/>
        <w:jc w:val="both"/>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nr rachunku bankowego Urzędu Miejskiego w Śremie</w:t>
      </w:r>
    </w:p>
    <w:p w14:paraId="4C6A4083" w14:textId="77777777" w:rsidR="00826F62" w:rsidRPr="00826F62" w:rsidRDefault="00826F62" w:rsidP="00826F62">
      <w:pPr>
        <w:spacing w:after="0" w:line="240" w:lineRule="auto"/>
        <w:jc w:val="both"/>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57 9084 0003 2102 0013 0521 0013</w:t>
      </w:r>
    </w:p>
    <w:p w14:paraId="362002FA" w14:textId="77777777" w:rsidR="005038FC" w:rsidRDefault="005038FC">
      <w:pPr>
        <w:rPr>
          <w:rFonts w:ascii="Calibri" w:eastAsia="Times New Roman" w:hAnsi="Calibri" w:cs="Calibri"/>
          <w:sz w:val="28"/>
          <w:szCs w:val="28"/>
          <w:lang w:eastAsia="pl-PL"/>
        </w:rPr>
      </w:pPr>
      <w:r>
        <w:rPr>
          <w:rFonts w:ascii="Calibri" w:eastAsia="Times New Roman" w:hAnsi="Calibri" w:cs="Calibri"/>
          <w:sz w:val="28"/>
          <w:szCs w:val="28"/>
          <w:lang w:eastAsia="pl-PL"/>
        </w:rPr>
        <w:br w:type="page"/>
      </w:r>
    </w:p>
    <w:tbl>
      <w:tblPr>
        <w:tblW w:w="0" w:type="auto"/>
        <w:tblLook w:val="04A0" w:firstRow="1" w:lastRow="0" w:firstColumn="1" w:lastColumn="0" w:noHBand="0" w:noVBand="1"/>
      </w:tblPr>
      <w:tblGrid>
        <w:gridCol w:w="4007"/>
        <w:gridCol w:w="4780"/>
      </w:tblGrid>
      <w:tr w:rsidR="00826F62" w:rsidRPr="00826F62" w14:paraId="72C999AD" w14:textId="77777777" w:rsidTr="00042AE9">
        <w:tc>
          <w:tcPr>
            <w:tcW w:w="4077" w:type="dxa"/>
          </w:tcPr>
          <w:p w14:paraId="79EF8979" w14:textId="77777777" w:rsidR="00826F62" w:rsidRPr="00826F62" w:rsidRDefault="00826F62" w:rsidP="00826F62">
            <w:pPr>
              <w:tabs>
                <w:tab w:val="left" w:pos="3156"/>
              </w:tabs>
              <w:spacing w:after="0" w:line="240" w:lineRule="auto"/>
              <w:ind w:right="639"/>
              <w:jc w:val="center"/>
              <w:rPr>
                <w:rFonts w:ascii="Calibri" w:eastAsia="Times New Roman" w:hAnsi="Calibri" w:cs="Calibri"/>
                <w:bCs/>
                <w:sz w:val="28"/>
                <w:szCs w:val="28"/>
                <w:lang w:eastAsia="pl-PL"/>
              </w:rPr>
            </w:pPr>
            <w:r w:rsidRPr="00826F62">
              <w:rPr>
                <w:rFonts w:ascii="Calibri" w:eastAsia="Times New Roman" w:hAnsi="Calibri" w:cs="Calibri"/>
                <w:bCs/>
                <w:sz w:val="28"/>
                <w:szCs w:val="28"/>
                <w:lang w:eastAsia="pl-PL"/>
              </w:rPr>
              <w:lastRenderedPageBreak/>
              <w:t>Burmistrz Śremu</w:t>
            </w:r>
          </w:p>
          <w:p w14:paraId="7579E057" w14:textId="77777777" w:rsidR="00826F62" w:rsidRPr="00826F62" w:rsidRDefault="00826F62" w:rsidP="00826F62">
            <w:pPr>
              <w:tabs>
                <w:tab w:val="left" w:pos="3156"/>
              </w:tabs>
              <w:spacing w:after="0" w:line="240" w:lineRule="auto"/>
              <w:ind w:right="639"/>
              <w:jc w:val="center"/>
              <w:rPr>
                <w:rFonts w:ascii="Calibri" w:eastAsia="Times New Roman" w:hAnsi="Calibri" w:cs="Calibri"/>
                <w:bCs/>
                <w:sz w:val="28"/>
                <w:szCs w:val="28"/>
                <w:lang w:eastAsia="pl-PL"/>
              </w:rPr>
            </w:pPr>
            <w:r w:rsidRPr="00826F62">
              <w:rPr>
                <w:rFonts w:ascii="Calibri" w:eastAsia="Times New Roman" w:hAnsi="Calibri" w:cs="Calibri"/>
                <w:bCs/>
                <w:sz w:val="28"/>
                <w:szCs w:val="28"/>
                <w:lang w:eastAsia="pl-PL"/>
              </w:rPr>
              <w:t>ul. Plac 20 Października 1</w:t>
            </w:r>
          </w:p>
          <w:p w14:paraId="5FA04D55" w14:textId="77777777" w:rsidR="00826F62" w:rsidRPr="00826F62" w:rsidRDefault="00826F62" w:rsidP="00826F62">
            <w:pPr>
              <w:tabs>
                <w:tab w:val="left" w:pos="3156"/>
              </w:tabs>
              <w:spacing w:after="0" w:line="240" w:lineRule="auto"/>
              <w:ind w:right="639"/>
              <w:jc w:val="center"/>
              <w:rPr>
                <w:rFonts w:ascii="Calibri" w:eastAsia="Times New Roman" w:hAnsi="Calibri" w:cs="Calibri"/>
                <w:bCs/>
                <w:sz w:val="28"/>
                <w:szCs w:val="28"/>
                <w:lang w:eastAsia="pl-PL"/>
              </w:rPr>
            </w:pPr>
            <w:r w:rsidRPr="00826F62">
              <w:rPr>
                <w:rFonts w:ascii="Calibri" w:eastAsia="Times New Roman" w:hAnsi="Calibri" w:cs="Calibri"/>
                <w:bCs/>
                <w:sz w:val="28"/>
                <w:szCs w:val="28"/>
                <w:lang w:eastAsia="pl-PL"/>
              </w:rPr>
              <w:t>63-100 Śrem</w:t>
            </w:r>
          </w:p>
        </w:tc>
        <w:tc>
          <w:tcPr>
            <w:tcW w:w="4850" w:type="dxa"/>
          </w:tcPr>
          <w:p w14:paraId="23C3AD18" w14:textId="77777777" w:rsidR="00826F62" w:rsidRPr="00826F62" w:rsidRDefault="00826F62" w:rsidP="00826F62">
            <w:pPr>
              <w:spacing w:after="0" w:line="240" w:lineRule="auto"/>
              <w:jc w:val="both"/>
              <w:rPr>
                <w:rFonts w:ascii="Calibri" w:eastAsia="Times New Roman" w:hAnsi="Calibri" w:cs="Calibri"/>
                <w:bCs/>
                <w:sz w:val="28"/>
                <w:szCs w:val="28"/>
                <w:lang w:eastAsia="pl-PL"/>
              </w:rPr>
            </w:pPr>
            <w:r w:rsidRPr="00826F62">
              <w:rPr>
                <w:rFonts w:ascii="Calibri" w:eastAsia="Times New Roman" w:hAnsi="Calibri" w:cs="Calibri"/>
                <w:bCs/>
                <w:sz w:val="28"/>
                <w:szCs w:val="28"/>
                <w:lang w:eastAsia="pl-PL"/>
              </w:rPr>
              <w:t>Załącznik nr 1</w:t>
            </w:r>
          </w:p>
          <w:p w14:paraId="24D424D2" w14:textId="77777777" w:rsidR="00826F62" w:rsidRPr="00826F62" w:rsidRDefault="00826F62" w:rsidP="00826F62">
            <w:pPr>
              <w:spacing w:after="0" w:line="240" w:lineRule="auto"/>
              <w:jc w:val="both"/>
              <w:rPr>
                <w:rFonts w:ascii="Calibri" w:eastAsia="Times New Roman" w:hAnsi="Calibri" w:cs="Calibri"/>
                <w:bCs/>
                <w:sz w:val="28"/>
                <w:szCs w:val="28"/>
                <w:lang w:eastAsia="pl-PL"/>
              </w:rPr>
            </w:pPr>
            <w:r w:rsidRPr="00826F62">
              <w:rPr>
                <w:rFonts w:ascii="Calibri" w:eastAsia="Times New Roman" w:hAnsi="Calibri" w:cs="Calibri"/>
                <w:bCs/>
                <w:sz w:val="28"/>
                <w:szCs w:val="28"/>
                <w:lang w:eastAsia="pl-PL"/>
              </w:rPr>
              <w:t>do decyzji znak PPSOŚ.6220.11.2025.BM</w:t>
            </w:r>
          </w:p>
          <w:p w14:paraId="7995617B" w14:textId="77777777" w:rsidR="00826F62" w:rsidRPr="00826F62" w:rsidRDefault="00826F62" w:rsidP="00826F62">
            <w:pPr>
              <w:spacing w:after="0" w:line="240" w:lineRule="auto"/>
              <w:jc w:val="both"/>
              <w:rPr>
                <w:rFonts w:ascii="Calibri" w:eastAsia="Times New Roman" w:hAnsi="Calibri" w:cs="Calibri"/>
                <w:bCs/>
                <w:sz w:val="28"/>
                <w:szCs w:val="28"/>
                <w:lang w:eastAsia="pl-PL"/>
              </w:rPr>
            </w:pPr>
            <w:r w:rsidRPr="00826F62">
              <w:rPr>
                <w:rFonts w:ascii="Calibri" w:eastAsia="Times New Roman" w:hAnsi="Calibri" w:cs="Calibri"/>
                <w:bCs/>
                <w:sz w:val="28"/>
                <w:szCs w:val="28"/>
                <w:lang w:eastAsia="pl-PL"/>
              </w:rPr>
              <w:t>z 28 sierpnia 2025 r.</w:t>
            </w:r>
          </w:p>
        </w:tc>
      </w:tr>
    </w:tbl>
    <w:p w14:paraId="3B197490" w14:textId="77777777" w:rsidR="00826F62" w:rsidRPr="00826F62" w:rsidRDefault="00826F62" w:rsidP="00826F62">
      <w:pPr>
        <w:spacing w:before="120" w:after="120" w:line="240" w:lineRule="auto"/>
        <w:rPr>
          <w:rFonts w:ascii="Calibri" w:eastAsia="Calibri" w:hAnsi="Calibri" w:cs="Calibri"/>
          <w:bCs/>
          <w:sz w:val="28"/>
          <w:szCs w:val="28"/>
        </w:rPr>
      </w:pPr>
      <w:r w:rsidRPr="00826F62">
        <w:rPr>
          <w:rFonts w:ascii="Calibri" w:eastAsia="Times New Roman" w:hAnsi="Calibri" w:cs="Calibri"/>
          <w:sz w:val="28"/>
          <w:szCs w:val="28"/>
          <w:lang w:eastAsia="pl-PL"/>
        </w:rPr>
        <w:t>Charakterystyka przedsięwzięcia</w:t>
      </w:r>
      <w:r w:rsidRPr="00826F62">
        <w:rPr>
          <w:rFonts w:ascii="Calibri" w:eastAsia="Times New Roman" w:hAnsi="Calibri" w:cs="Calibri"/>
          <w:bCs/>
          <w:sz w:val="28"/>
          <w:szCs w:val="28"/>
          <w:lang w:eastAsia="pl-PL"/>
        </w:rPr>
        <w:t xml:space="preserve">: </w:t>
      </w:r>
      <w:r w:rsidRPr="00826F62">
        <w:rPr>
          <w:rFonts w:ascii="Calibri" w:eastAsia="Calibri" w:hAnsi="Calibri" w:cs="Calibri"/>
          <w:bCs/>
          <w:sz w:val="28"/>
          <w:szCs w:val="28"/>
        </w:rPr>
        <w:t xml:space="preserve">eksploatacja odkrywkowa złoża kruszywa naturalnego „Luciny VII” na działkach o numerach ewidencyjnych </w:t>
      </w:r>
      <w:bookmarkStart w:id="9" w:name="_Hlk207105466"/>
      <w:r w:rsidRPr="00826F62">
        <w:rPr>
          <w:rFonts w:ascii="Calibri" w:eastAsia="Calibri" w:hAnsi="Calibri" w:cs="Calibri"/>
          <w:bCs/>
          <w:sz w:val="28"/>
          <w:szCs w:val="28"/>
        </w:rPr>
        <w:t>282/1 i 299/1, obręb Luciny</w:t>
      </w:r>
      <w:bookmarkEnd w:id="9"/>
      <w:r w:rsidRPr="00826F62">
        <w:rPr>
          <w:rFonts w:ascii="Calibri" w:eastAsia="Calibri" w:hAnsi="Calibri" w:cs="Calibri"/>
          <w:bCs/>
          <w:sz w:val="28"/>
          <w:szCs w:val="28"/>
        </w:rPr>
        <w:t>.</w:t>
      </w:r>
    </w:p>
    <w:p w14:paraId="5A9995BF" w14:textId="77777777" w:rsidR="00826F62" w:rsidRPr="00826F62" w:rsidRDefault="00826F62" w:rsidP="00826F62">
      <w:pPr>
        <w:spacing w:before="120" w:after="120" w:line="240" w:lineRule="auto"/>
        <w:ind w:firstLine="708"/>
        <w:rPr>
          <w:rFonts w:ascii="Calibri" w:eastAsia="SimSun" w:hAnsi="Calibri" w:cs="Calibri"/>
          <w:kern w:val="1"/>
          <w:sz w:val="28"/>
          <w:szCs w:val="28"/>
          <w:lang w:eastAsia="hi-IN" w:bidi="hi-IN"/>
        </w:rPr>
      </w:pPr>
      <w:r w:rsidRPr="00826F62">
        <w:rPr>
          <w:rFonts w:ascii="Calibri" w:eastAsia="Times New Roman" w:hAnsi="Calibri" w:cs="Calibri"/>
          <w:sz w:val="28"/>
          <w:szCs w:val="28"/>
          <w:shd w:val="clear" w:color="auto" w:fill="FFFFFF"/>
          <w:lang w:eastAsia="pl-PL"/>
        </w:rPr>
        <w:t xml:space="preserve">Planowane przedsięwzięcie będzie polegać na eksploatacji kopaliny w postaci piasku ze złoża kruszywa naturalnego „Luciny VII”, zwanego dalej złożem, w granicy działek o numerach ewidencyjnych 282/1 i 299/1, obręb Luciny. Projektowany obszar górniczy złoża wynosi </w:t>
      </w:r>
      <w:r w:rsidRPr="00826F62">
        <w:rPr>
          <w:rFonts w:ascii="Calibri" w:eastAsia="Calibri" w:hAnsi="Calibri" w:cs="Calibri"/>
          <w:sz w:val="28"/>
          <w:szCs w:val="28"/>
        </w:rPr>
        <w:t xml:space="preserve">9,5797 </w:t>
      </w:r>
      <w:r w:rsidRPr="00826F62">
        <w:rPr>
          <w:rFonts w:ascii="Calibri" w:eastAsia="Times New Roman" w:hAnsi="Calibri" w:cs="Calibri"/>
          <w:sz w:val="28"/>
          <w:szCs w:val="28"/>
          <w:shd w:val="clear" w:color="auto" w:fill="FFFFFF"/>
          <w:lang w:eastAsia="pl-PL"/>
        </w:rPr>
        <w:t xml:space="preserve">ha. </w:t>
      </w:r>
      <w:r w:rsidRPr="00826F62">
        <w:rPr>
          <w:rFonts w:ascii="Calibri" w:eastAsia="SimSun" w:hAnsi="Calibri" w:cs="Calibri"/>
          <w:kern w:val="1"/>
          <w:sz w:val="28"/>
          <w:szCs w:val="28"/>
          <w:lang w:eastAsia="hi-IN" w:bidi="hi-IN"/>
        </w:rPr>
        <w:t xml:space="preserve">Przedsięwzięcie zlokalizowane jest na terenie obowiązującego miejscowego planu zagospodarowania przestrzennego terenu górniczego w Lucinach – złoża kruszywa naturalnego „Luciny VII”, uchwalonego uchwałą Nr 107/XI/2025 Rady Miejskiej w Śremie z dnia 27 marca 2025 r. (Dz. Urz. Woj. </w:t>
      </w:r>
      <w:proofErr w:type="spellStart"/>
      <w:r w:rsidRPr="00826F62">
        <w:rPr>
          <w:rFonts w:ascii="Calibri" w:eastAsia="SimSun" w:hAnsi="Calibri" w:cs="Calibri"/>
          <w:kern w:val="1"/>
          <w:sz w:val="28"/>
          <w:szCs w:val="28"/>
          <w:lang w:eastAsia="hi-IN" w:bidi="hi-IN"/>
        </w:rPr>
        <w:t>Wielk</w:t>
      </w:r>
      <w:proofErr w:type="spellEnd"/>
      <w:r w:rsidRPr="00826F62">
        <w:rPr>
          <w:rFonts w:ascii="Calibri" w:eastAsia="SimSun" w:hAnsi="Calibri" w:cs="Calibri"/>
          <w:kern w:val="1"/>
          <w:sz w:val="28"/>
          <w:szCs w:val="28"/>
          <w:lang w:eastAsia="hi-IN" w:bidi="hi-IN"/>
        </w:rPr>
        <w:t xml:space="preserve">. poz. 2983), przeznaczonym pod teren górnictwa i wydobycia, oznaczonym symbolem 1G. </w:t>
      </w:r>
    </w:p>
    <w:p w14:paraId="5112ADA2" w14:textId="77777777" w:rsidR="00826F62" w:rsidRPr="00826F62" w:rsidRDefault="00826F62" w:rsidP="00826F62">
      <w:pPr>
        <w:spacing w:after="120" w:line="240" w:lineRule="auto"/>
        <w:ind w:firstLine="708"/>
        <w:rPr>
          <w:rFonts w:ascii="Calibri" w:eastAsia="Times New Roman" w:hAnsi="Calibri" w:cs="Calibri"/>
          <w:sz w:val="28"/>
          <w:szCs w:val="28"/>
          <w:shd w:val="clear" w:color="auto" w:fill="FFFFFF"/>
          <w:lang w:eastAsia="pl-PL"/>
        </w:rPr>
      </w:pPr>
      <w:r w:rsidRPr="00826F62">
        <w:rPr>
          <w:rFonts w:ascii="Calibri" w:eastAsia="Times New Roman" w:hAnsi="Calibri" w:cs="Calibri"/>
          <w:sz w:val="28"/>
          <w:szCs w:val="28"/>
          <w:shd w:val="clear" w:color="auto" w:fill="FFFFFF"/>
          <w:lang w:eastAsia="pl-PL"/>
        </w:rPr>
        <w:t>Zasoby geologiczne złoża wynoszą 2 599 421 Mg. Planowane wydobycie roczne wyniesie nie więcej niż 400 000 m</w:t>
      </w:r>
      <w:r w:rsidRPr="00826F62">
        <w:rPr>
          <w:rFonts w:ascii="Calibri" w:eastAsia="Times New Roman" w:hAnsi="Calibri" w:cs="Calibri"/>
          <w:sz w:val="28"/>
          <w:szCs w:val="28"/>
          <w:shd w:val="clear" w:color="auto" w:fill="FFFFFF"/>
          <w:vertAlign w:val="superscript"/>
          <w:lang w:eastAsia="pl-PL"/>
        </w:rPr>
        <w:t>3</w:t>
      </w:r>
      <w:r w:rsidRPr="00826F62">
        <w:rPr>
          <w:rFonts w:ascii="Calibri" w:eastAsia="Times New Roman" w:hAnsi="Calibri" w:cs="Calibri"/>
          <w:sz w:val="28"/>
          <w:szCs w:val="28"/>
          <w:shd w:val="clear" w:color="auto" w:fill="FFFFFF"/>
          <w:lang w:eastAsia="pl-PL"/>
        </w:rPr>
        <w:t xml:space="preserve"> kruszywa naturalnego. Eksploatacja złoża będzie prowadzona metodą odkrywkową, systemem przedsiębiernym i podsiębiernym maksymalnie trzema piętrami eksploatacyjnymi. W ramach przedsięwzięcia nie będzie prowadzony przerób kopaliny. Nadkład po usunięciu hałdowany będzie na tymczasowych zwałowiskach położonych w granicach obszaru górniczego i przeznaczony będzie w całości do celów rekultywacji terenu. </w:t>
      </w:r>
    </w:p>
    <w:p w14:paraId="549BF33F" w14:textId="77777777" w:rsidR="00826F62" w:rsidRPr="00826F62" w:rsidRDefault="00826F62" w:rsidP="00826F62">
      <w:pPr>
        <w:spacing w:after="120" w:line="240" w:lineRule="auto"/>
        <w:ind w:firstLine="708"/>
        <w:rPr>
          <w:rFonts w:ascii="Calibri" w:eastAsia="Times New Roman" w:hAnsi="Calibri" w:cs="Calibri"/>
          <w:sz w:val="28"/>
          <w:szCs w:val="28"/>
          <w:shd w:val="clear" w:color="auto" w:fill="FFFFFF"/>
          <w:lang w:eastAsia="pl-PL"/>
        </w:rPr>
      </w:pPr>
      <w:r w:rsidRPr="00826F62">
        <w:rPr>
          <w:rFonts w:ascii="Calibri" w:eastAsia="Times New Roman" w:hAnsi="Calibri" w:cs="Calibri"/>
          <w:sz w:val="28"/>
          <w:szCs w:val="28"/>
          <w:shd w:val="clear" w:color="auto" w:fill="FFFFFF"/>
          <w:lang w:eastAsia="pl-PL"/>
        </w:rPr>
        <w:t>Złoże jest częściowo zawodnione. W zawodnionej części złoża eksploatacja kopaliny będzie prowadzona przy użyciu koparki pływającej pracującej na lustrze wody lub koparki podsiębiernej. Złoże nie będzie odwadniane.</w:t>
      </w:r>
      <w:r w:rsidRPr="00826F62">
        <w:rPr>
          <w:rFonts w:ascii="Times New Roman" w:eastAsia="Calibri" w:hAnsi="Times New Roman" w:cs="Times New Roman"/>
          <w:sz w:val="28"/>
        </w:rPr>
        <w:t xml:space="preserve"> </w:t>
      </w:r>
      <w:r w:rsidRPr="00826F62">
        <w:rPr>
          <w:rFonts w:ascii="Calibri" w:eastAsia="Times New Roman" w:hAnsi="Calibri" w:cs="Calibri"/>
          <w:sz w:val="28"/>
          <w:szCs w:val="28"/>
          <w:shd w:val="clear" w:color="auto" w:fill="FFFFFF"/>
          <w:lang w:eastAsia="pl-PL"/>
        </w:rPr>
        <w:t>Po zakończeniu eksploatacji kopaliny teren poeksploatacyjny zostanie zrekultywowany w kierunku rolnym, ze zbiornikiem wodnym.</w:t>
      </w:r>
    </w:p>
    <w:p w14:paraId="7DCF9817" w14:textId="77777777" w:rsidR="00826F62" w:rsidRPr="00826F62" w:rsidRDefault="00826F62" w:rsidP="00826F62">
      <w:pPr>
        <w:spacing w:after="120" w:line="240" w:lineRule="auto"/>
        <w:ind w:firstLine="708"/>
        <w:rPr>
          <w:rFonts w:ascii="Calibri" w:eastAsia="Times New Roman" w:hAnsi="Calibri" w:cs="Calibri"/>
          <w:sz w:val="28"/>
          <w:szCs w:val="28"/>
          <w:lang w:eastAsia="pl-PL"/>
        </w:rPr>
      </w:pPr>
      <w:r w:rsidRPr="00826F62">
        <w:rPr>
          <w:rFonts w:ascii="Calibri" w:eastAsia="Times New Roman" w:hAnsi="Calibri" w:cs="Calibri"/>
          <w:sz w:val="28"/>
          <w:szCs w:val="28"/>
          <w:shd w:val="clear" w:color="auto" w:fill="FFFFFF"/>
          <w:lang w:eastAsia="pl-PL"/>
        </w:rPr>
        <w:t xml:space="preserve">Praca zakładu górniczego odbywać się będzie w porze dnia, w godzinach od 6:00 do 22:00. </w:t>
      </w:r>
    </w:p>
    <w:p w14:paraId="200AB340" w14:textId="77777777" w:rsidR="00826F62" w:rsidRPr="00826F62" w:rsidRDefault="00826F62" w:rsidP="00826F62">
      <w:pPr>
        <w:spacing w:after="120" w:line="240" w:lineRule="auto"/>
        <w:ind w:firstLine="709"/>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Woda do celów bytowych pracowników kopalni będzie dostarczana przez wnioskodawcę w butelkach (woda pitna) oraz przez firmę udostępniającą przenośną toaletę.</w:t>
      </w:r>
    </w:p>
    <w:p w14:paraId="558B72B1" w14:textId="77777777" w:rsidR="00826F62" w:rsidRPr="00826F62" w:rsidRDefault="00826F62" w:rsidP="00826F62">
      <w:pPr>
        <w:spacing w:after="0" w:line="240" w:lineRule="auto"/>
        <w:rPr>
          <w:rFonts w:ascii="Calibri" w:eastAsia="Times New Roman" w:hAnsi="Calibri" w:cs="Calibri"/>
          <w:sz w:val="28"/>
          <w:szCs w:val="28"/>
          <w:lang w:eastAsia="pl-PL"/>
        </w:rPr>
      </w:pPr>
      <w:r w:rsidRPr="00826F62">
        <w:rPr>
          <w:rFonts w:ascii="Calibri" w:eastAsia="Times New Roman" w:hAnsi="Calibri" w:cs="Calibri"/>
          <w:sz w:val="28"/>
          <w:szCs w:val="28"/>
          <w:lang w:eastAsia="pl-PL"/>
        </w:rPr>
        <w:br w:type="page"/>
      </w:r>
    </w:p>
    <w:p w14:paraId="61BBE556" w14:textId="77777777" w:rsidR="00826F62" w:rsidRPr="00826F62" w:rsidRDefault="00826F62" w:rsidP="00826F62">
      <w:pPr>
        <w:spacing w:after="0" w:line="240" w:lineRule="auto"/>
        <w:ind w:firstLine="708"/>
        <w:rPr>
          <w:rFonts w:ascii="Calibri" w:eastAsia="Times New Roman" w:hAnsi="Calibri" w:cs="Calibri"/>
          <w:sz w:val="28"/>
          <w:szCs w:val="28"/>
          <w:lang w:eastAsia="pl-PL"/>
        </w:rPr>
      </w:pPr>
      <w:r w:rsidRPr="00826F62">
        <w:rPr>
          <w:rFonts w:ascii="Calibri" w:eastAsia="Times New Roman" w:hAnsi="Calibri" w:cs="Calibri"/>
          <w:sz w:val="28"/>
          <w:szCs w:val="28"/>
          <w:lang w:eastAsia="pl-PL"/>
        </w:rPr>
        <w:lastRenderedPageBreak/>
        <w:t>Projektowane rozwiązania w zakresie gospodarki wodno-ściekowej:</w:t>
      </w:r>
    </w:p>
    <w:p w14:paraId="005A09CF" w14:textId="77777777" w:rsidR="00826F62" w:rsidRPr="00826F62" w:rsidRDefault="00826F62" w:rsidP="00826F62">
      <w:pPr>
        <w:numPr>
          <w:ilvl w:val="0"/>
          <w:numId w:val="21"/>
        </w:numPr>
        <w:spacing w:after="0" w:line="240" w:lineRule="auto"/>
        <w:ind w:left="284" w:hanging="284"/>
        <w:rPr>
          <w:rFonts w:ascii="Calibri" w:eastAsia="Times New Roman" w:hAnsi="Calibri" w:cs="Calibri"/>
          <w:sz w:val="28"/>
          <w:szCs w:val="28"/>
          <w:lang w:eastAsia="pl-PL"/>
        </w:rPr>
      </w:pPr>
      <w:bookmarkStart w:id="10" w:name="_Hlk82517027"/>
      <w:r w:rsidRPr="00826F62">
        <w:rPr>
          <w:rFonts w:ascii="Calibri" w:eastAsia="Times New Roman" w:hAnsi="Calibri" w:cs="Calibri"/>
          <w:sz w:val="28"/>
          <w:szCs w:val="28"/>
          <w:lang w:eastAsia="pl-PL"/>
        </w:rPr>
        <w:t xml:space="preserve">ścieki bytowe </w:t>
      </w:r>
      <w:r w:rsidRPr="00826F62">
        <w:rPr>
          <w:rFonts w:ascii="Calibri" w:eastAsia="Times New Roman" w:hAnsi="Calibri" w:cs="Calibri"/>
          <w:kern w:val="1"/>
          <w:sz w:val="28"/>
          <w:szCs w:val="28"/>
          <w:lang w:eastAsia="ar-SA"/>
        </w:rPr>
        <w:t>będą gromadzone w bezodpływowym zbiorniku na ścieki (przenośna toaleta), a następnie usuwane przez specjalistyczny podmiot i przekazywane do oczyszczalni ścieków</w:t>
      </w:r>
      <w:bookmarkEnd w:id="10"/>
      <w:r w:rsidRPr="00826F62">
        <w:rPr>
          <w:rFonts w:ascii="Calibri" w:eastAsia="Times New Roman" w:hAnsi="Calibri" w:cs="Calibri"/>
          <w:kern w:val="1"/>
          <w:sz w:val="28"/>
          <w:szCs w:val="28"/>
          <w:lang w:eastAsia="ar-SA"/>
        </w:rPr>
        <w:t>,</w:t>
      </w:r>
    </w:p>
    <w:p w14:paraId="1936FD74" w14:textId="77777777" w:rsidR="00826F62" w:rsidRPr="00826F62" w:rsidRDefault="00826F62" w:rsidP="00826F62">
      <w:pPr>
        <w:numPr>
          <w:ilvl w:val="0"/>
          <w:numId w:val="21"/>
        </w:numPr>
        <w:spacing w:after="0" w:line="240" w:lineRule="auto"/>
        <w:ind w:left="284" w:hanging="284"/>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 xml:space="preserve">wody opadowe i roztopowe będą infiltrować bezpośrednio do gruntu. </w:t>
      </w:r>
    </w:p>
    <w:p w14:paraId="6DA607E8" w14:textId="77777777" w:rsidR="00826F62" w:rsidRPr="00826F62" w:rsidRDefault="00826F62" w:rsidP="00826F62">
      <w:pPr>
        <w:spacing w:before="120" w:after="120" w:line="240" w:lineRule="auto"/>
        <w:ind w:firstLine="709"/>
        <w:rPr>
          <w:rFonts w:ascii="Calibri" w:eastAsia="Times New Roman" w:hAnsi="Calibri" w:cs="Calibri"/>
          <w:bCs/>
          <w:sz w:val="28"/>
          <w:szCs w:val="28"/>
          <w:lang w:eastAsia="zh-CN"/>
        </w:rPr>
      </w:pPr>
      <w:r w:rsidRPr="00826F62">
        <w:rPr>
          <w:rFonts w:ascii="Calibri" w:eastAsia="Times New Roman" w:hAnsi="Calibri" w:cs="Calibri"/>
          <w:bCs/>
          <w:sz w:val="28"/>
          <w:szCs w:val="28"/>
          <w:lang w:eastAsia="zh-CN"/>
        </w:rPr>
        <w:t>Proces wydobycia kopaliny nie będzie wiązał się z powstawaniem odpadów. Powstałe w trakcie funkcjonowania kopalni odpady głównie komunalne oraz sorbenty służące do eliminacji skutków ewentualnej awarii na przykład wycieku paliwa ze sprzętu pracującego na terenie górniczym, będą gromadzone selektywnie w odpowiednich pojemnikach i odbierane przez uprawnionego odbiorcę.</w:t>
      </w:r>
    </w:p>
    <w:p w14:paraId="158A4367" w14:textId="77777777" w:rsidR="00826F62" w:rsidRPr="00826F62" w:rsidRDefault="00826F62" w:rsidP="00826F62">
      <w:pPr>
        <w:spacing w:after="120" w:line="240" w:lineRule="auto"/>
        <w:ind w:firstLine="708"/>
        <w:rPr>
          <w:rFonts w:ascii="Calibri" w:eastAsia="Andale Sans UI" w:hAnsi="Calibri" w:cs="Calibri"/>
          <w:kern w:val="1"/>
          <w:sz w:val="28"/>
          <w:szCs w:val="28"/>
          <w:lang w:eastAsia="hi-IN" w:bidi="hi-IN"/>
        </w:rPr>
      </w:pPr>
      <w:r w:rsidRPr="00826F62">
        <w:rPr>
          <w:rFonts w:ascii="Calibri" w:eastAsia="Andale Sans UI" w:hAnsi="Calibri" w:cs="Calibri"/>
          <w:kern w:val="1"/>
          <w:sz w:val="28"/>
          <w:szCs w:val="28"/>
          <w:lang w:eastAsia="hi-IN" w:bidi="hi-IN"/>
        </w:rPr>
        <w:t xml:space="preserve">Najbliższe tereny chronione akustycznie, to jest zabudowa mieszkaniowa jednorodzinna, oddalone są od przedsięwzięcia o około 210 m w kierunku zachodnim. Źródłem hałasu na etapie funkcjonowania przedsięwzięcia będą maszyny urabiające kopalinę, pojazdy transportujące kruszywo naturalne oraz pojazdy osobowe pracowników kopalni. Dojazd do terenu kopalni oraz transport urobku prowadzony będzie od strony południowej poprzez teren eksploatowanego złoża kruszywa naturalnego „Luciny III” do drogi wojewódzkiej nr 432. W związku z eksploatacją przedsięwzięcia nie dojdzie do przekroczenia dopuszczalnych poziomów hałasu na granicy najbliższych terenów chronionych akustycznie. Nie przewiduje się przekroczenia dopuszczalnych poziomów hałasu w środowisku, określonych w rozporządzeniu Ministra Środowiska z dnia 14 czerwca 2007 r. w sprawie dopuszczalnych poziomów hałasu w środowisku (Dz. U. z 2014 r. poz. 112). </w:t>
      </w:r>
    </w:p>
    <w:p w14:paraId="744896AA" w14:textId="77777777" w:rsidR="00826F62" w:rsidRPr="00826F62" w:rsidRDefault="00826F62" w:rsidP="00826F62">
      <w:pPr>
        <w:spacing w:after="120" w:line="240" w:lineRule="auto"/>
        <w:ind w:firstLine="708"/>
        <w:rPr>
          <w:rFonts w:ascii="Calibri" w:eastAsia="Andale Sans UI" w:hAnsi="Calibri" w:cs="Calibri"/>
          <w:kern w:val="1"/>
          <w:sz w:val="28"/>
          <w:szCs w:val="28"/>
          <w:lang w:eastAsia="hi-IN" w:bidi="hi-IN"/>
        </w:rPr>
      </w:pPr>
      <w:r w:rsidRPr="00826F62">
        <w:rPr>
          <w:rFonts w:ascii="Calibri" w:eastAsia="Andale Sans UI" w:hAnsi="Calibri" w:cs="Calibri"/>
          <w:kern w:val="1"/>
          <w:sz w:val="28"/>
          <w:szCs w:val="28"/>
          <w:lang w:eastAsia="hi-IN" w:bidi="hi-IN"/>
        </w:rPr>
        <w:t>Źródłem emisji substancji do powietrza będą procesy spalania paliw w silnikach sprzętu stosowanego do eksploatacji złoża oraz w silnikach pojazdów ciężarowych transportujących kopalinę i pojazdów osobowych związanych z dojazdem pracowników. Pojazdy transportujące kopalinę zostaną wyposażone w elementy zabezpieczające przed emisją niezorganizowaną pyłów z przewożonego ładunku. Nie przewiduje się ponadnormatywnego oddziaływania planowanego przedsięwzięcia na stan powietrza atmosferycznego w rejonie przedsięwzięcia.</w:t>
      </w:r>
    </w:p>
    <w:p w14:paraId="1FC8E634" w14:textId="77777777" w:rsidR="00826F62" w:rsidRPr="00826F62" w:rsidRDefault="00826F62" w:rsidP="00826F62">
      <w:pPr>
        <w:spacing w:after="0" w:line="240" w:lineRule="auto"/>
        <w:rPr>
          <w:rFonts w:ascii="Calibri" w:eastAsia="Times New Roman" w:hAnsi="Calibri" w:cs="Calibri"/>
          <w:sz w:val="28"/>
          <w:szCs w:val="28"/>
          <w:lang w:eastAsia="zh-CN"/>
        </w:rPr>
      </w:pPr>
      <w:r w:rsidRPr="00826F62">
        <w:rPr>
          <w:rFonts w:ascii="Calibri" w:eastAsia="Times New Roman" w:hAnsi="Calibri" w:cs="Calibri"/>
          <w:sz w:val="28"/>
          <w:szCs w:val="28"/>
          <w:lang w:eastAsia="zh-CN"/>
        </w:rPr>
        <w:br w:type="page"/>
      </w:r>
    </w:p>
    <w:p w14:paraId="793428D6" w14:textId="77777777" w:rsidR="00826F62" w:rsidRPr="00826F62" w:rsidRDefault="00826F62" w:rsidP="00826F62">
      <w:pPr>
        <w:spacing w:after="120" w:line="240" w:lineRule="auto"/>
        <w:ind w:firstLine="708"/>
        <w:rPr>
          <w:rFonts w:ascii="Calibri" w:eastAsia="Times New Roman" w:hAnsi="Calibri" w:cs="Calibri"/>
          <w:sz w:val="28"/>
          <w:szCs w:val="28"/>
          <w:lang w:eastAsia="pl-PL"/>
        </w:rPr>
      </w:pPr>
      <w:r w:rsidRPr="00826F62">
        <w:rPr>
          <w:rFonts w:ascii="Calibri" w:eastAsia="Times New Roman" w:hAnsi="Calibri" w:cs="Calibri"/>
          <w:sz w:val="28"/>
          <w:szCs w:val="28"/>
          <w:lang w:eastAsia="zh-CN"/>
        </w:rPr>
        <w:lastRenderedPageBreak/>
        <w:t xml:space="preserve">Teren przeznaczony pod przedsięwzięcie zlokalizowany jest poza obszarami chronionymi na podstawie ustawy z dnia 16 kwietnia 2004 r. o ochronie przyrody </w:t>
      </w:r>
      <w:r w:rsidRPr="00826F62">
        <w:rPr>
          <w:rFonts w:ascii="Calibri" w:eastAsia="Calibri" w:hAnsi="Calibri" w:cs="Calibri"/>
          <w:sz w:val="28"/>
          <w:szCs w:val="28"/>
        </w:rPr>
        <w:t>(Dz. U. z 2024 r. poz. 1478, 1940 i z 2025 r. poz. 884)</w:t>
      </w:r>
      <w:r w:rsidRPr="00826F62">
        <w:rPr>
          <w:rFonts w:ascii="Calibri" w:eastAsia="Times New Roman" w:hAnsi="Calibri" w:cs="Calibri"/>
          <w:sz w:val="28"/>
          <w:szCs w:val="28"/>
          <w:lang w:eastAsia="zh-CN"/>
        </w:rPr>
        <w:t xml:space="preserve">. Najbliżej położonymi obszarami Natura 2000 są: specjalny obszar ochrony siedlisk Rogalińska Dolina Warty PLH300012 i obszar specjalnej ochrony ptaków Ostoja Rogalińska PLB300017 oddalone o 2,4 km od przedsięwzięcia. Ponadto przedsięwzięcie położone jest na ponadregionalnym korytarzu ekologicznym KPnC-22A Dolina Warty. </w:t>
      </w:r>
      <w:r w:rsidRPr="00826F62">
        <w:rPr>
          <w:rFonts w:ascii="Calibri" w:eastAsia="Times New Roman" w:hAnsi="Calibri" w:cs="Calibri"/>
          <w:sz w:val="28"/>
          <w:szCs w:val="28"/>
          <w:lang w:eastAsia="pl-PL"/>
        </w:rPr>
        <w:t>Realizacja przedsięwzięcia nie wymaga usunięcia drzew i krzewów.</w:t>
      </w:r>
    </w:p>
    <w:p w14:paraId="610F92AD" w14:textId="77777777" w:rsidR="00826F62" w:rsidRPr="00826F62" w:rsidRDefault="00826F62" w:rsidP="00826F62">
      <w:pPr>
        <w:spacing w:after="120" w:line="240" w:lineRule="auto"/>
        <w:ind w:firstLine="708"/>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Planowane przedsięwzięcie nie spowoduje naruszenia wymagań ochrony środowiska, jeśli zostaną spełnione warunki przedstawione w karcie informacyjnej przedsięwzięcia i wskazane w decyzji o środowiskowych uwarunkowaniach.</w:t>
      </w:r>
    </w:p>
    <w:p w14:paraId="2D7AD748" w14:textId="414CB4E1" w:rsidR="00826F62" w:rsidRPr="00826F62" w:rsidRDefault="00826F62" w:rsidP="00826F62">
      <w:pPr>
        <w:spacing w:after="0" w:line="240" w:lineRule="auto"/>
        <w:ind w:left="2832"/>
        <w:jc w:val="center"/>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z up. BURMISTRZA</w:t>
      </w:r>
    </w:p>
    <w:p w14:paraId="5CA1B63A" w14:textId="77777777" w:rsidR="00826F62" w:rsidRPr="00826F62" w:rsidRDefault="00826F62" w:rsidP="00826F62">
      <w:pPr>
        <w:spacing w:after="0" w:line="240" w:lineRule="auto"/>
        <w:ind w:left="2832"/>
        <w:jc w:val="center"/>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Katarzyna Bednarowicz</w:t>
      </w:r>
    </w:p>
    <w:p w14:paraId="42D8BD71" w14:textId="77777777" w:rsidR="00826F62" w:rsidRPr="00826F62" w:rsidRDefault="00826F62" w:rsidP="00826F62">
      <w:pPr>
        <w:spacing w:after="0" w:line="240" w:lineRule="auto"/>
        <w:ind w:left="2832"/>
        <w:jc w:val="center"/>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naczelnik Pionu Gospodarowania</w:t>
      </w:r>
    </w:p>
    <w:p w14:paraId="0FE860E2" w14:textId="77777777" w:rsidR="00826F62" w:rsidRPr="00826F62" w:rsidRDefault="00826F62" w:rsidP="00826F62">
      <w:pPr>
        <w:spacing w:after="0" w:line="240" w:lineRule="auto"/>
        <w:ind w:left="2832"/>
        <w:jc w:val="center"/>
        <w:rPr>
          <w:rFonts w:ascii="Calibri" w:eastAsia="Times New Roman" w:hAnsi="Calibri" w:cs="Calibri"/>
          <w:sz w:val="28"/>
          <w:szCs w:val="28"/>
          <w:lang w:eastAsia="pl-PL"/>
        </w:rPr>
      </w:pPr>
      <w:r w:rsidRPr="00826F62">
        <w:rPr>
          <w:rFonts w:ascii="Calibri" w:eastAsia="Times New Roman" w:hAnsi="Calibri" w:cs="Calibri"/>
          <w:sz w:val="28"/>
          <w:szCs w:val="28"/>
          <w:lang w:eastAsia="pl-PL"/>
        </w:rPr>
        <w:t>Przestrzenią i Środowiskiem</w:t>
      </w:r>
    </w:p>
    <w:p w14:paraId="141767B6" w14:textId="77777777" w:rsidR="00826F62" w:rsidRPr="00826F62" w:rsidRDefault="00826F62" w:rsidP="00826F62">
      <w:pPr>
        <w:spacing w:after="0" w:line="240" w:lineRule="auto"/>
        <w:ind w:left="2124"/>
        <w:jc w:val="center"/>
        <w:rPr>
          <w:rFonts w:ascii="Calibri" w:eastAsia="Times New Roman" w:hAnsi="Calibri" w:cs="Calibri"/>
          <w:sz w:val="28"/>
          <w:szCs w:val="28"/>
          <w:lang w:eastAsia="pl-PL"/>
        </w:rPr>
      </w:pPr>
    </w:p>
    <w:p w14:paraId="1999EF2E" w14:textId="77777777" w:rsidR="00B81AFE" w:rsidRPr="00B81AFE" w:rsidRDefault="00B81AFE" w:rsidP="005038FC">
      <w:pPr>
        <w:spacing w:after="0" w:line="240" w:lineRule="auto"/>
        <w:jc w:val="both"/>
        <w:rPr>
          <w:rFonts w:ascii="Calibri" w:eastAsia="Times New Roman" w:hAnsi="Calibri" w:cs="Calibri"/>
          <w:sz w:val="28"/>
          <w:szCs w:val="28"/>
          <w:lang w:eastAsia="pl-PL"/>
        </w:rPr>
      </w:pPr>
    </w:p>
    <w:sectPr w:rsidR="00B81AFE" w:rsidRPr="00B81AFE" w:rsidSect="004F3296">
      <w:headerReference w:type="default" r:id="rId11"/>
      <w:footerReference w:type="default" r:id="rId12"/>
      <w:headerReference w:type="first" r:id="rId13"/>
      <w:footerReference w:type="first" r:id="rId14"/>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D1A16F" w14:textId="77777777" w:rsidR="00147807" w:rsidRDefault="00147807" w:rsidP="00053E5A">
      <w:pPr>
        <w:spacing w:after="0" w:line="240" w:lineRule="auto"/>
      </w:pPr>
      <w:r>
        <w:separator/>
      </w:r>
    </w:p>
  </w:endnote>
  <w:endnote w:type="continuationSeparator" w:id="0">
    <w:p w14:paraId="1E533ABE" w14:textId="77777777" w:rsidR="00147807" w:rsidRDefault="00147807"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ndale Sans UI">
    <w:altName w:val="Times New Roman"/>
    <w:charset w:val="00"/>
    <w:family w:val="auto"/>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7630177"/>
      <w:docPartObj>
        <w:docPartGallery w:val="Page Numbers (Bottom of Page)"/>
        <w:docPartUnique/>
      </w:docPartObj>
    </w:sdtPr>
    <w:sdtContent>
      <w:sdt>
        <w:sdtPr>
          <w:id w:val="1728636285"/>
          <w:docPartObj>
            <w:docPartGallery w:val="Page Numbers (Top of Page)"/>
            <w:docPartUnique/>
          </w:docPartObj>
        </w:sdtPr>
        <w:sdtContent>
          <w:p w14:paraId="31FC54B3" w14:textId="0A37A047" w:rsidR="00265CEF" w:rsidRDefault="00265CEF">
            <w:pPr>
              <w:pStyle w:val="Stopka"/>
              <w:jc w:val="center"/>
            </w:pPr>
            <w:r w:rsidRPr="00265CEF">
              <w:rPr>
                <w:sz w:val="28"/>
                <w:szCs w:val="28"/>
              </w:rPr>
              <w:fldChar w:fldCharType="begin"/>
            </w:r>
            <w:r w:rsidRPr="00265CEF">
              <w:rPr>
                <w:sz w:val="28"/>
                <w:szCs w:val="28"/>
              </w:rPr>
              <w:instrText>PAGE</w:instrText>
            </w:r>
            <w:r w:rsidRPr="00265CEF">
              <w:rPr>
                <w:sz w:val="28"/>
                <w:szCs w:val="28"/>
              </w:rPr>
              <w:fldChar w:fldCharType="separate"/>
            </w:r>
            <w:r w:rsidRPr="00265CEF">
              <w:rPr>
                <w:sz w:val="28"/>
                <w:szCs w:val="28"/>
              </w:rPr>
              <w:t>2</w:t>
            </w:r>
            <w:r w:rsidRPr="00265CEF">
              <w:rPr>
                <w:sz w:val="28"/>
                <w:szCs w:val="28"/>
              </w:rPr>
              <w:fldChar w:fldCharType="end"/>
            </w:r>
            <w:r w:rsidRPr="00265CEF">
              <w:rPr>
                <w:sz w:val="28"/>
                <w:szCs w:val="28"/>
              </w:rPr>
              <w:t xml:space="preserve"> z </w:t>
            </w:r>
            <w:r w:rsidRPr="00265CEF">
              <w:rPr>
                <w:sz w:val="28"/>
                <w:szCs w:val="28"/>
              </w:rPr>
              <w:fldChar w:fldCharType="begin"/>
            </w:r>
            <w:r w:rsidRPr="00265CEF">
              <w:rPr>
                <w:sz w:val="28"/>
                <w:szCs w:val="28"/>
              </w:rPr>
              <w:instrText>NUMPAGES</w:instrText>
            </w:r>
            <w:r w:rsidRPr="00265CEF">
              <w:rPr>
                <w:sz w:val="28"/>
                <w:szCs w:val="28"/>
              </w:rPr>
              <w:fldChar w:fldCharType="separate"/>
            </w:r>
            <w:r w:rsidRPr="00265CEF">
              <w:rPr>
                <w:sz w:val="28"/>
                <w:szCs w:val="28"/>
              </w:rPr>
              <w:t>2</w:t>
            </w:r>
            <w:r w:rsidRPr="00265CEF">
              <w:rPr>
                <w:sz w:val="28"/>
                <w:szCs w:val="2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74C41" w14:textId="7D124A51" w:rsidR="00945706" w:rsidRPr="00353E61" w:rsidRDefault="00945706" w:rsidP="00353E61">
    <w:pPr>
      <w:pStyle w:val="Stopka"/>
      <w:tabs>
        <w:tab w:val="clear" w:pos="4536"/>
        <w:tab w:val="left" w:pos="7110"/>
      </w:tabs>
      <w:jc w:val="center"/>
      <w:rPr>
        <w:sz w:val="28"/>
        <w:szCs w:val="28"/>
      </w:rPr>
    </w:pPr>
    <w:r w:rsidRPr="00353E61">
      <w:rPr>
        <w:rFonts w:cstheme="minorHAnsi"/>
        <w:noProof/>
        <w:sz w:val="28"/>
        <w:szCs w:val="28"/>
      </w:rPr>
      <w:drawing>
        <wp:anchor distT="0" distB="0" distL="114300" distR="114300" simplePos="0" relativeHeight="251660800" behindDoc="1" locked="0" layoutInCell="1" allowOverlap="1" wp14:anchorId="4B55F7A7" wp14:editId="685A620F">
          <wp:simplePos x="0" y="0"/>
          <wp:positionH relativeFrom="column">
            <wp:posOffset>-1323975</wp:posOffset>
          </wp:positionH>
          <wp:positionV relativeFrom="paragraph">
            <wp:posOffset>-933450</wp:posOffset>
          </wp:positionV>
          <wp:extent cx="7536604" cy="1536065"/>
          <wp:effectExtent l="0" t="0" r="7620" b="6985"/>
          <wp:wrapNone/>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353E61" w:rsidRPr="00353E61">
      <w:rPr>
        <w:sz w:val="28"/>
        <w:szCs w:val="28"/>
      </w:rPr>
      <w:t xml:space="preserve">1 z </w:t>
    </w:r>
    <w:r w:rsidR="00066A1E">
      <w:rPr>
        <w:sz w:val="28"/>
        <w:szCs w:val="28"/>
      </w:rPr>
      <w:t>2</w:t>
    </w:r>
    <w:r w:rsidR="00826F62">
      <w:rPr>
        <w:sz w:val="28"/>
        <w:szCs w:val="28"/>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F55DB7" w14:textId="77777777" w:rsidR="00147807" w:rsidRDefault="00147807" w:rsidP="00053E5A">
      <w:pPr>
        <w:spacing w:after="0" w:line="240" w:lineRule="auto"/>
      </w:pPr>
      <w:r>
        <w:separator/>
      </w:r>
    </w:p>
  </w:footnote>
  <w:footnote w:type="continuationSeparator" w:id="0">
    <w:p w14:paraId="7AF937A0" w14:textId="77777777" w:rsidR="00147807" w:rsidRDefault="00147807" w:rsidP="00053E5A">
      <w:pPr>
        <w:spacing w:after="0" w:line="240" w:lineRule="auto"/>
      </w:pPr>
      <w:r>
        <w:continuationSeparator/>
      </w:r>
    </w:p>
  </w:footnote>
  <w:footnote w:id="1">
    <w:p w14:paraId="2339B3F0" w14:textId="77777777" w:rsidR="00826F62" w:rsidRPr="0054101B" w:rsidRDefault="00826F62" w:rsidP="00826F62">
      <w:pPr>
        <w:pStyle w:val="Tekstprzypisudolnego"/>
        <w:rPr>
          <w:rFonts w:ascii="Calibri" w:hAnsi="Calibri" w:cs="Calibri"/>
          <w:sz w:val="28"/>
          <w:szCs w:val="28"/>
        </w:rPr>
      </w:pPr>
      <w:r w:rsidRPr="0054101B">
        <w:rPr>
          <w:rStyle w:val="Odwoanieprzypisudolnego"/>
          <w:rFonts w:ascii="Calibri" w:hAnsi="Calibri" w:cs="Calibri"/>
          <w:sz w:val="28"/>
          <w:szCs w:val="28"/>
        </w:rPr>
        <w:footnoteRef/>
      </w:r>
      <w:r w:rsidRPr="0054101B">
        <w:rPr>
          <w:rFonts w:ascii="Calibri" w:hAnsi="Calibri" w:cs="Calibri"/>
          <w:sz w:val="28"/>
          <w:szCs w:val="28"/>
        </w:rPr>
        <w:t xml:space="preserve"> wydobywanie kopalin ze złoża metodą odkrywkową o powierzchni obszaru górniczego nie mniejszej niż 25 ha</w:t>
      </w:r>
    </w:p>
  </w:footnote>
  <w:footnote w:id="2">
    <w:p w14:paraId="77B8C990" w14:textId="77777777" w:rsidR="00826F62" w:rsidRPr="00826F62" w:rsidRDefault="00826F62" w:rsidP="00826F62">
      <w:pPr>
        <w:pStyle w:val="Tekstprzypisudolnego"/>
        <w:rPr>
          <w:rFonts w:cs="Calibri"/>
          <w:sz w:val="28"/>
          <w:szCs w:val="28"/>
        </w:rPr>
      </w:pPr>
      <w:r w:rsidRPr="00826F62">
        <w:rPr>
          <w:rStyle w:val="Odwoanieprzypisudolnego"/>
          <w:rFonts w:cs="Calibri"/>
          <w:sz w:val="28"/>
          <w:szCs w:val="28"/>
        </w:rPr>
        <w:footnoteRef/>
      </w:r>
      <w:r w:rsidRPr="00826F62">
        <w:rPr>
          <w:rFonts w:cs="Calibri"/>
          <w:sz w:val="28"/>
          <w:szCs w:val="28"/>
        </w:rPr>
        <w:t xml:space="preserve"> jednolite części wód podziemnych o kodzie GW600060 i jednolite części wód powierzchniowych rzecznych o kodzie RW60001218573 – Warta od Młyniska do Kopli</w:t>
      </w:r>
    </w:p>
  </w:footnote>
  <w:footnote w:id="3">
    <w:p w14:paraId="07198F2E" w14:textId="77777777" w:rsidR="00826F62" w:rsidRPr="004040BB" w:rsidRDefault="00826F62" w:rsidP="00826F62">
      <w:pPr>
        <w:pStyle w:val="Tekstprzypisudolnego"/>
        <w:rPr>
          <w:rFonts w:ascii="Calibri" w:hAnsi="Calibri" w:cs="Calibri"/>
          <w:sz w:val="28"/>
          <w:szCs w:val="28"/>
        </w:rPr>
      </w:pPr>
      <w:r w:rsidRPr="004040BB">
        <w:rPr>
          <w:rStyle w:val="Odwoanieprzypisudolnego"/>
          <w:rFonts w:ascii="Calibri" w:hAnsi="Calibri" w:cs="Calibri"/>
          <w:sz w:val="28"/>
          <w:szCs w:val="28"/>
        </w:rPr>
        <w:footnoteRef/>
      </w:r>
      <w:r w:rsidRPr="004040BB">
        <w:rPr>
          <w:rFonts w:ascii="Calibri" w:hAnsi="Calibri" w:cs="Calibri"/>
          <w:sz w:val="28"/>
          <w:szCs w:val="28"/>
        </w:rPr>
        <w:t xml:space="preserve"> Rozporządzenie Ministra Infrastruktury z dnia 16 listopada 2022 r. w</w:t>
      </w:r>
      <w:r>
        <w:rPr>
          <w:rFonts w:ascii="Calibri" w:hAnsi="Calibri" w:cs="Calibri"/>
          <w:sz w:val="28"/>
          <w:szCs w:val="28"/>
        </w:rPr>
        <w:t> </w:t>
      </w:r>
      <w:r w:rsidRPr="004040BB">
        <w:rPr>
          <w:rFonts w:ascii="Calibri" w:hAnsi="Calibri" w:cs="Calibri"/>
          <w:sz w:val="28"/>
          <w:szCs w:val="28"/>
        </w:rPr>
        <w:t>sprawie Planu gospodarowania wodami na obszarze dorzecza Odry (Dz. U. z 2023 r. poz. 335)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A5507"/>
    <w:multiLevelType w:val="hybridMultilevel"/>
    <w:tmpl w:val="C0424700"/>
    <w:lvl w:ilvl="0" w:tplc="1EF873C8">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 w15:restartNumberingAfterBreak="0">
    <w:nsid w:val="02EB1F12"/>
    <w:multiLevelType w:val="hybridMultilevel"/>
    <w:tmpl w:val="BD4A7860"/>
    <w:lvl w:ilvl="0" w:tplc="0415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5095AA5"/>
    <w:multiLevelType w:val="hybridMultilevel"/>
    <w:tmpl w:val="71C89E4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E19155C"/>
    <w:multiLevelType w:val="hybridMultilevel"/>
    <w:tmpl w:val="2C1804E0"/>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3A84F1B"/>
    <w:multiLevelType w:val="hybridMultilevel"/>
    <w:tmpl w:val="1DF0D41C"/>
    <w:lvl w:ilvl="0" w:tplc="E6B8B576">
      <w:start w:val="1"/>
      <w:numFmt w:val="decimal"/>
      <w:lvlText w:val="%1)"/>
      <w:lvlJc w:val="left"/>
      <w:pPr>
        <w:ind w:left="1146" w:hanging="360"/>
      </w:pPr>
      <w:rPr>
        <w:rFonts w:hint="default"/>
        <w:b w:val="0"/>
        <w:sz w:val="28"/>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 w15:restartNumberingAfterBreak="0">
    <w:nsid w:val="15E06187"/>
    <w:multiLevelType w:val="hybridMultilevel"/>
    <w:tmpl w:val="D898BD56"/>
    <w:lvl w:ilvl="0" w:tplc="0415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76A6B3C"/>
    <w:multiLevelType w:val="hybridMultilevel"/>
    <w:tmpl w:val="418870FA"/>
    <w:lvl w:ilvl="0" w:tplc="A27CDF86">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7" w15:restartNumberingAfterBreak="0">
    <w:nsid w:val="183732CF"/>
    <w:multiLevelType w:val="hybridMultilevel"/>
    <w:tmpl w:val="C2EA2A86"/>
    <w:lvl w:ilvl="0" w:tplc="0415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B070F2B"/>
    <w:multiLevelType w:val="hybridMultilevel"/>
    <w:tmpl w:val="2B666276"/>
    <w:lvl w:ilvl="0" w:tplc="DE4829F4">
      <w:start w:val="1"/>
      <w:numFmt w:val="decimal"/>
      <w:lvlText w:val="%1."/>
      <w:lvlJc w:val="left"/>
      <w:pPr>
        <w:ind w:left="720" w:hanging="360"/>
      </w:pPr>
      <w:rPr>
        <w:sz w:val="28"/>
        <w:szCs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2834077"/>
    <w:multiLevelType w:val="hybridMultilevel"/>
    <w:tmpl w:val="FAB8EBCA"/>
    <w:lvl w:ilvl="0" w:tplc="9198F678">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84D1412"/>
    <w:multiLevelType w:val="hybridMultilevel"/>
    <w:tmpl w:val="500C41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8AC6FC3"/>
    <w:multiLevelType w:val="hybridMultilevel"/>
    <w:tmpl w:val="AD8085E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2" w15:restartNumberingAfterBreak="0">
    <w:nsid w:val="40DD207B"/>
    <w:multiLevelType w:val="hybridMultilevel"/>
    <w:tmpl w:val="969ECD24"/>
    <w:lvl w:ilvl="0" w:tplc="0C186694">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40A745B"/>
    <w:multiLevelType w:val="hybridMultilevel"/>
    <w:tmpl w:val="3C8AC5E4"/>
    <w:lvl w:ilvl="0" w:tplc="A27CDF86">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4" w15:restartNumberingAfterBreak="0">
    <w:nsid w:val="4BEE24F9"/>
    <w:multiLevelType w:val="hybridMultilevel"/>
    <w:tmpl w:val="A27C01E2"/>
    <w:lvl w:ilvl="0" w:tplc="8BC6B38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75B07A0"/>
    <w:multiLevelType w:val="hybridMultilevel"/>
    <w:tmpl w:val="A456F054"/>
    <w:lvl w:ilvl="0" w:tplc="0415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584F1905"/>
    <w:multiLevelType w:val="hybridMultilevel"/>
    <w:tmpl w:val="8F1EE05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99454D0"/>
    <w:multiLevelType w:val="hybridMultilevel"/>
    <w:tmpl w:val="866EBA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ACC7FC3"/>
    <w:multiLevelType w:val="hybridMultilevel"/>
    <w:tmpl w:val="8534AC18"/>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9" w15:restartNumberingAfterBreak="0">
    <w:nsid w:val="5BC42A0E"/>
    <w:multiLevelType w:val="multilevel"/>
    <w:tmpl w:val="7F8C890E"/>
    <w:lvl w:ilvl="0">
      <w:start w:val="1"/>
      <w:numFmt w:val="decimal"/>
      <w:lvlText w:val="%1."/>
      <w:lvlJc w:val="left"/>
      <w:pPr>
        <w:ind w:left="720" w:hanging="360"/>
      </w:pPr>
      <w:rPr>
        <w:rFonts w:hint="default"/>
        <w:b w:val="0"/>
        <w:bCs/>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15:restartNumberingAfterBreak="0">
    <w:nsid w:val="64903587"/>
    <w:multiLevelType w:val="hybridMultilevel"/>
    <w:tmpl w:val="89DADB86"/>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692A371F"/>
    <w:multiLevelType w:val="hybridMultilevel"/>
    <w:tmpl w:val="D228C4D8"/>
    <w:lvl w:ilvl="0" w:tplc="E7C632A8">
      <w:start w:val="2"/>
      <w:numFmt w:val="decimal"/>
      <w:lvlText w:val="%1."/>
      <w:lvlJc w:val="left"/>
      <w:pPr>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BEC0F07"/>
    <w:multiLevelType w:val="hybridMultilevel"/>
    <w:tmpl w:val="27DC785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DDA066E"/>
    <w:multiLevelType w:val="hybridMultilevel"/>
    <w:tmpl w:val="B4A6E944"/>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76156604"/>
    <w:multiLevelType w:val="hybridMultilevel"/>
    <w:tmpl w:val="70F839A4"/>
    <w:lvl w:ilvl="0" w:tplc="2494958A">
      <w:start w:val="1"/>
      <w:numFmt w:val="low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5" w15:restartNumberingAfterBreak="0">
    <w:nsid w:val="78361418"/>
    <w:multiLevelType w:val="hybridMultilevel"/>
    <w:tmpl w:val="FD681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C4952F1"/>
    <w:multiLevelType w:val="hybridMultilevel"/>
    <w:tmpl w:val="A168AB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DC074B5"/>
    <w:multiLevelType w:val="hybridMultilevel"/>
    <w:tmpl w:val="1BE44F5C"/>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7E2400F4"/>
    <w:multiLevelType w:val="hybridMultilevel"/>
    <w:tmpl w:val="A3AA21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91654990">
    <w:abstractNumId w:val="19"/>
  </w:num>
  <w:num w:numId="2" w16cid:durableId="623274661">
    <w:abstractNumId w:val="25"/>
  </w:num>
  <w:num w:numId="3" w16cid:durableId="428895939">
    <w:abstractNumId w:val="4"/>
  </w:num>
  <w:num w:numId="4" w16cid:durableId="165706803">
    <w:abstractNumId w:val="14"/>
  </w:num>
  <w:num w:numId="5" w16cid:durableId="53897451">
    <w:abstractNumId w:val="11"/>
  </w:num>
  <w:num w:numId="6" w16cid:durableId="1220093233">
    <w:abstractNumId w:val="17"/>
  </w:num>
  <w:num w:numId="7" w16cid:durableId="2078474319">
    <w:abstractNumId w:val="24"/>
  </w:num>
  <w:num w:numId="8" w16cid:durableId="1431076316">
    <w:abstractNumId w:val="5"/>
  </w:num>
  <w:num w:numId="9" w16cid:durableId="1427849199">
    <w:abstractNumId w:val="21"/>
  </w:num>
  <w:num w:numId="10" w16cid:durableId="2071146230">
    <w:abstractNumId w:val="16"/>
  </w:num>
  <w:num w:numId="11" w16cid:durableId="1712487846">
    <w:abstractNumId w:val="0"/>
  </w:num>
  <w:num w:numId="12" w16cid:durableId="438910943">
    <w:abstractNumId w:val="2"/>
  </w:num>
  <w:num w:numId="13" w16cid:durableId="812336094">
    <w:abstractNumId w:val="20"/>
  </w:num>
  <w:num w:numId="14" w16cid:durableId="103572680">
    <w:abstractNumId w:val="6"/>
  </w:num>
  <w:num w:numId="15" w16cid:durableId="1074743415">
    <w:abstractNumId w:val="13"/>
  </w:num>
  <w:num w:numId="16" w16cid:durableId="1108114942">
    <w:abstractNumId w:val="22"/>
  </w:num>
  <w:num w:numId="17" w16cid:durableId="378016390">
    <w:abstractNumId w:val="26"/>
  </w:num>
  <w:num w:numId="18" w16cid:durableId="873345847">
    <w:abstractNumId w:val="28"/>
  </w:num>
  <w:num w:numId="19" w16cid:durableId="670571236">
    <w:abstractNumId w:val="18"/>
  </w:num>
  <w:num w:numId="20" w16cid:durableId="1844854512">
    <w:abstractNumId w:val="3"/>
  </w:num>
  <w:num w:numId="21" w16cid:durableId="1159921822">
    <w:abstractNumId w:val="23"/>
  </w:num>
  <w:num w:numId="22" w16cid:durableId="322055020">
    <w:abstractNumId w:val="8"/>
  </w:num>
  <w:num w:numId="23" w16cid:durableId="972753116">
    <w:abstractNumId w:val="27"/>
  </w:num>
  <w:num w:numId="24" w16cid:durableId="1809319315">
    <w:abstractNumId w:val="10"/>
  </w:num>
  <w:num w:numId="25" w16cid:durableId="1406223489">
    <w:abstractNumId w:val="12"/>
  </w:num>
  <w:num w:numId="26" w16cid:durableId="532890403">
    <w:abstractNumId w:val="1"/>
  </w:num>
  <w:num w:numId="27" w16cid:durableId="685331900">
    <w:abstractNumId w:val="15"/>
  </w:num>
  <w:num w:numId="28" w16cid:durableId="1882089337">
    <w:abstractNumId w:val="9"/>
  </w:num>
  <w:num w:numId="29" w16cid:durableId="1949506049">
    <w:abstractNumId w:val="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25EAB"/>
    <w:rsid w:val="00053A6A"/>
    <w:rsid w:val="00053E5A"/>
    <w:rsid w:val="00066A1E"/>
    <w:rsid w:val="000812A8"/>
    <w:rsid w:val="000873F6"/>
    <w:rsid w:val="00107516"/>
    <w:rsid w:val="00116E81"/>
    <w:rsid w:val="00147807"/>
    <w:rsid w:val="00150836"/>
    <w:rsid w:val="00157B44"/>
    <w:rsid w:val="00163AFB"/>
    <w:rsid w:val="001B5735"/>
    <w:rsid w:val="001E4093"/>
    <w:rsid w:val="002238DE"/>
    <w:rsid w:val="00250690"/>
    <w:rsid w:val="00265CEF"/>
    <w:rsid w:val="002833F7"/>
    <w:rsid w:val="00284D8F"/>
    <w:rsid w:val="002B7096"/>
    <w:rsid w:val="002D6590"/>
    <w:rsid w:val="002E3E3A"/>
    <w:rsid w:val="002E76FA"/>
    <w:rsid w:val="0030366F"/>
    <w:rsid w:val="00314D2D"/>
    <w:rsid w:val="003235C6"/>
    <w:rsid w:val="0032542D"/>
    <w:rsid w:val="00336472"/>
    <w:rsid w:val="00353E61"/>
    <w:rsid w:val="0036718C"/>
    <w:rsid w:val="003A09D4"/>
    <w:rsid w:val="003B22E8"/>
    <w:rsid w:val="003C0AFB"/>
    <w:rsid w:val="00415CBE"/>
    <w:rsid w:val="00417844"/>
    <w:rsid w:val="00425F0B"/>
    <w:rsid w:val="00435889"/>
    <w:rsid w:val="004519AC"/>
    <w:rsid w:val="00463950"/>
    <w:rsid w:val="0048459B"/>
    <w:rsid w:val="00487C97"/>
    <w:rsid w:val="004B353E"/>
    <w:rsid w:val="004C1F30"/>
    <w:rsid w:val="004F3296"/>
    <w:rsid w:val="005038FC"/>
    <w:rsid w:val="00506B0A"/>
    <w:rsid w:val="00525346"/>
    <w:rsid w:val="0054093D"/>
    <w:rsid w:val="00566AC2"/>
    <w:rsid w:val="005671D5"/>
    <w:rsid w:val="005811F1"/>
    <w:rsid w:val="005968A5"/>
    <w:rsid w:val="005A57C7"/>
    <w:rsid w:val="005E5887"/>
    <w:rsid w:val="005F048F"/>
    <w:rsid w:val="005F23DE"/>
    <w:rsid w:val="00612602"/>
    <w:rsid w:val="00620F58"/>
    <w:rsid w:val="0063592D"/>
    <w:rsid w:val="00655DD8"/>
    <w:rsid w:val="00690A5D"/>
    <w:rsid w:val="006A6F3E"/>
    <w:rsid w:val="006C68CB"/>
    <w:rsid w:val="006D530A"/>
    <w:rsid w:val="006E2754"/>
    <w:rsid w:val="007016CE"/>
    <w:rsid w:val="00727E56"/>
    <w:rsid w:val="00730C22"/>
    <w:rsid w:val="007362FC"/>
    <w:rsid w:val="00757413"/>
    <w:rsid w:val="007859F4"/>
    <w:rsid w:val="007C6800"/>
    <w:rsid w:val="0081559F"/>
    <w:rsid w:val="00825D54"/>
    <w:rsid w:val="00826F62"/>
    <w:rsid w:val="00831A7F"/>
    <w:rsid w:val="00837187"/>
    <w:rsid w:val="008750FA"/>
    <w:rsid w:val="00876801"/>
    <w:rsid w:val="00883133"/>
    <w:rsid w:val="008A1C0E"/>
    <w:rsid w:val="008A26BE"/>
    <w:rsid w:val="008A276A"/>
    <w:rsid w:val="008C4507"/>
    <w:rsid w:val="008F42D4"/>
    <w:rsid w:val="008F4549"/>
    <w:rsid w:val="009105D1"/>
    <w:rsid w:val="00912874"/>
    <w:rsid w:val="00917C21"/>
    <w:rsid w:val="00920491"/>
    <w:rsid w:val="00945706"/>
    <w:rsid w:val="00945DDE"/>
    <w:rsid w:val="009524BA"/>
    <w:rsid w:val="0095451D"/>
    <w:rsid w:val="00960867"/>
    <w:rsid w:val="009614DC"/>
    <w:rsid w:val="00981EE8"/>
    <w:rsid w:val="009D7331"/>
    <w:rsid w:val="009F2BF8"/>
    <w:rsid w:val="00A01E96"/>
    <w:rsid w:val="00A26B85"/>
    <w:rsid w:val="00A307EC"/>
    <w:rsid w:val="00A3195C"/>
    <w:rsid w:val="00A515B8"/>
    <w:rsid w:val="00A568A2"/>
    <w:rsid w:val="00A62257"/>
    <w:rsid w:val="00AE1740"/>
    <w:rsid w:val="00B109BE"/>
    <w:rsid w:val="00B54FE0"/>
    <w:rsid w:val="00B70A12"/>
    <w:rsid w:val="00B81AFE"/>
    <w:rsid w:val="00B91287"/>
    <w:rsid w:val="00BA179E"/>
    <w:rsid w:val="00BD5A34"/>
    <w:rsid w:val="00C07730"/>
    <w:rsid w:val="00C13763"/>
    <w:rsid w:val="00C26DEC"/>
    <w:rsid w:val="00C301E9"/>
    <w:rsid w:val="00C3046F"/>
    <w:rsid w:val="00C416ED"/>
    <w:rsid w:val="00C552DF"/>
    <w:rsid w:val="00C8455C"/>
    <w:rsid w:val="00CE0CFB"/>
    <w:rsid w:val="00CE396A"/>
    <w:rsid w:val="00CE490C"/>
    <w:rsid w:val="00CF4683"/>
    <w:rsid w:val="00D0263E"/>
    <w:rsid w:val="00D04695"/>
    <w:rsid w:val="00D05C8C"/>
    <w:rsid w:val="00D07D62"/>
    <w:rsid w:val="00D10EFD"/>
    <w:rsid w:val="00D41FE4"/>
    <w:rsid w:val="00D54DF8"/>
    <w:rsid w:val="00D72A13"/>
    <w:rsid w:val="00DA25D3"/>
    <w:rsid w:val="00DA2EEC"/>
    <w:rsid w:val="00DB7013"/>
    <w:rsid w:val="00DB7313"/>
    <w:rsid w:val="00DC053D"/>
    <w:rsid w:val="00DE0EAB"/>
    <w:rsid w:val="00E170E7"/>
    <w:rsid w:val="00E2033D"/>
    <w:rsid w:val="00E20F9D"/>
    <w:rsid w:val="00E315B4"/>
    <w:rsid w:val="00E34C2B"/>
    <w:rsid w:val="00E35A76"/>
    <w:rsid w:val="00E85F2B"/>
    <w:rsid w:val="00EC387A"/>
    <w:rsid w:val="00EE6CBD"/>
    <w:rsid w:val="00F56842"/>
    <w:rsid w:val="00F80DB4"/>
    <w:rsid w:val="00FE1610"/>
    <w:rsid w:val="00FF48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paragraph" w:styleId="Tekstprzypisudolnego">
    <w:name w:val="footnote text"/>
    <w:basedOn w:val="Normalny"/>
    <w:link w:val="TekstprzypisudolnegoZnak"/>
    <w:uiPriority w:val="99"/>
    <w:semiHidden/>
    <w:unhideWhenUsed/>
    <w:rsid w:val="00BD5A34"/>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BD5A34"/>
    <w:rPr>
      <w:sz w:val="20"/>
      <w:szCs w:val="20"/>
    </w:rPr>
  </w:style>
  <w:style w:type="character" w:styleId="Odwoanieprzypisudolnego">
    <w:name w:val="footnote reference"/>
    <w:uiPriority w:val="99"/>
    <w:semiHidden/>
    <w:unhideWhenUsed/>
    <w:rsid w:val="00BD5A34"/>
    <w:rPr>
      <w:vertAlign w:val="superscript"/>
    </w:rPr>
  </w:style>
  <w:style w:type="character" w:styleId="Hipercze">
    <w:name w:val="Hyperlink"/>
    <w:basedOn w:val="Domylnaczcionkaakapitu"/>
    <w:uiPriority w:val="99"/>
    <w:unhideWhenUsed/>
    <w:rsid w:val="00566AC2"/>
    <w:rPr>
      <w:color w:val="0000FF" w:themeColor="hyperlink"/>
      <w:u w:val="single"/>
    </w:rPr>
  </w:style>
  <w:style w:type="character" w:styleId="Nierozpoznanawzmianka">
    <w:name w:val="Unresolved Mention"/>
    <w:basedOn w:val="Domylnaczcionkaakapitu"/>
    <w:uiPriority w:val="99"/>
    <w:semiHidden/>
    <w:unhideWhenUsed/>
    <w:rsid w:val="00566AC2"/>
    <w:rPr>
      <w:color w:val="605E5C"/>
      <w:shd w:val="clear" w:color="auto" w:fill="E1DFDD"/>
    </w:rPr>
  </w:style>
  <w:style w:type="numbering" w:customStyle="1" w:styleId="Bezlisty1">
    <w:name w:val="Bez listy1"/>
    <w:next w:val="Bezlisty"/>
    <w:uiPriority w:val="99"/>
    <w:semiHidden/>
    <w:unhideWhenUsed/>
    <w:rsid w:val="00B81AFE"/>
  </w:style>
  <w:style w:type="numbering" w:customStyle="1" w:styleId="Bezlisty11">
    <w:name w:val="Bez listy11"/>
    <w:next w:val="Bezlisty"/>
    <w:uiPriority w:val="99"/>
    <w:semiHidden/>
    <w:unhideWhenUsed/>
    <w:rsid w:val="00B81AFE"/>
  </w:style>
  <w:style w:type="character" w:styleId="Numerstrony">
    <w:name w:val="page number"/>
    <w:rsid w:val="00B81AFE"/>
  </w:style>
  <w:style w:type="paragraph" w:customStyle="1" w:styleId="Akapitzlist1">
    <w:name w:val="Akapit z listą1"/>
    <w:basedOn w:val="Normalny"/>
    <w:next w:val="Akapitzlist"/>
    <w:uiPriority w:val="34"/>
    <w:qFormat/>
    <w:rsid w:val="00B81AFE"/>
    <w:pPr>
      <w:spacing w:after="120" w:line="240" w:lineRule="auto"/>
      <w:ind w:left="720"/>
      <w:contextualSpacing/>
      <w:jc w:val="both"/>
    </w:pPr>
    <w:rPr>
      <w:rFonts w:eastAsia="Calibri" w:cs="Times New Roman"/>
      <w:sz w:val="28"/>
    </w:rPr>
  </w:style>
  <w:style w:type="paragraph" w:customStyle="1" w:styleId="Tekstpodstawowy1">
    <w:name w:val="Tekst podstawowy1"/>
    <w:basedOn w:val="Normalny"/>
    <w:next w:val="Tekstpodstawowy"/>
    <w:link w:val="TekstpodstawowyZnak"/>
    <w:uiPriority w:val="99"/>
    <w:unhideWhenUsed/>
    <w:rsid w:val="00B81AFE"/>
    <w:pPr>
      <w:spacing w:after="120" w:line="240" w:lineRule="auto"/>
      <w:jc w:val="both"/>
    </w:pPr>
    <w:rPr>
      <w:rFonts w:ascii="Calibri" w:hAnsi="Calibri" w:cs="Times New Roman"/>
    </w:rPr>
  </w:style>
  <w:style w:type="character" w:customStyle="1" w:styleId="TekstpodstawowyZnak">
    <w:name w:val="Tekst podstawowy Znak"/>
    <w:basedOn w:val="Domylnaczcionkaakapitu"/>
    <w:link w:val="Tekstpodstawowy1"/>
    <w:uiPriority w:val="99"/>
    <w:rsid w:val="00B81AFE"/>
    <w:rPr>
      <w:rFonts w:ascii="Calibri" w:hAnsi="Calibri" w:cs="Times New Roman"/>
    </w:rPr>
  </w:style>
  <w:style w:type="character" w:customStyle="1" w:styleId="WW8Num2z3">
    <w:name w:val="WW8Num2z3"/>
    <w:rsid w:val="00B81AFE"/>
  </w:style>
  <w:style w:type="paragraph" w:customStyle="1" w:styleId="Standard">
    <w:name w:val="Standard"/>
    <w:rsid w:val="00B81AFE"/>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Tekstprzypisukocowego1">
    <w:name w:val="Tekst przypisu końcowego1"/>
    <w:basedOn w:val="Normalny"/>
    <w:next w:val="Tekstprzypisukocowego"/>
    <w:link w:val="TekstprzypisukocowegoZnak"/>
    <w:uiPriority w:val="99"/>
    <w:semiHidden/>
    <w:unhideWhenUsed/>
    <w:rsid w:val="00B81AFE"/>
    <w:pPr>
      <w:spacing w:after="0" w:line="240" w:lineRule="auto"/>
      <w:jc w:val="both"/>
    </w:pPr>
    <w:rPr>
      <w:rFonts w:ascii="Calibri" w:hAnsi="Calibri" w:cs="Times New Roman"/>
      <w:sz w:val="20"/>
      <w:szCs w:val="20"/>
    </w:rPr>
  </w:style>
  <w:style w:type="character" w:customStyle="1" w:styleId="TekstprzypisukocowegoZnak">
    <w:name w:val="Tekst przypisu końcowego Znak"/>
    <w:basedOn w:val="Domylnaczcionkaakapitu"/>
    <w:link w:val="Tekstprzypisukocowego1"/>
    <w:uiPriority w:val="99"/>
    <w:semiHidden/>
    <w:rsid w:val="00B81AFE"/>
    <w:rPr>
      <w:rFonts w:ascii="Calibri" w:hAnsi="Calibri" w:cs="Times New Roman"/>
      <w:sz w:val="20"/>
      <w:szCs w:val="20"/>
    </w:rPr>
  </w:style>
  <w:style w:type="character" w:styleId="Odwoanieprzypisukocowego">
    <w:name w:val="endnote reference"/>
    <w:basedOn w:val="Domylnaczcionkaakapitu"/>
    <w:uiPriority w:val="99"/>
    <w:semiHidden/>
    <w:unhideWhenUsed/>
    <w:rsid w:val="00B81AFE"/>
    <w:rPr>
      <w:vertAlign w:val="superscript"/>
    </w:rPr>
  </w:style>
  <w:style w:type="character" w:customStyle="1" w:styleId="UyteHipercze1">
    <w:name w:val="UżyteHiperłącze1"/>
    <w:basedOn w:val="Domylnaczcionkaakapitu"/>
    <w:uiPriority w:val="99"/>
    <w:semiHidden/>
    <w:unhideWhenUsed/>
    <w:rsid w:val="00B81AFE"/>
    <w:rPr>
      <w:color w:val="954F72"/>
      <w:u w:val="single"/>
    </w:rPr>
  </w:style>
  <w:style w:type="paragraph" w:styleId="Akapitzlist">
    <w:name w:val="List Paragraph"/>
    <w:basedOn w:val="Normalny"/>
    <w:uiPriority w:val="34"/>
    <w:qFormat/>
    <w:rsid w:val="00B81AFE"/>
    <w:pPr>
      <w:ind w:left="720"/>
      <w:contextualSpacing/>
    </w:pPr>
  </w:style>
  <w:style w:type="paragraph" w:styleId="Tekstpodstawowy">
    <w:name w:val="Body Text"/>
    <w:basedOn w:val="Normalny"/>
    <w:link w:val="TekstpodstawowyZnak1"/>
    <w:uiPriority w:val="99"/>
    <w:semiHidden/>
    <w:unhideWhenUsed/>
    <w:rsid w:val="00B81AFE"/>
    <w:pPr>
      <w:spacing w:after="120"/>
    </w:pPr>
  </w:style>
  <w:style w:type="character" w:customStyle="1" w:styleId="TekstpodstawowyZnak1">
    <w:name w:val="Tekst podstawowy Znak1"/>
    <w:basedOn w:val="Domylnaczcionkaakapitu"/>
    <w:link w:val="Tekstpodstawowy"/>
    <w:uiPriority w:val="99"/>
    <w:semiHidden/>
    <w:rsid w:val="00B81AFE"/>
  </w:style>
  <w:style w:type="paragraph" w:styleId="Tekstprzypisukocowego">
    <w:name w:val="endnote text"/>
    <w:basedOn w:val="Normalny"/>
    <w:link w:val="TekstprzypisukocowegoZnak1"/>
    <w:uiPriority w:val="99"/>
    <w:semiHidden/>
    <w:unhideWhenUsed/>
    <w:rsid w:val="00B81AFE"/>
    <w:pPr>
      <w:spacing w:after="0" w:line="240" w:lineRule="auto"/>
    </w:pPr>
    <w:rPr>
      <w:sz w:val="20"/>
      <w:szCs w:val="20"/>
    </w:rPr>
  </w:style>
  <w:style w:type="character" w:customStyle="1" w:styleId="TekstprzypisukocowegoZnak1">
    <w:name w:val="Tekst przypisu końcowego Znak1"/>
    <w:basedOn w:val="Domylnaczcionkaakapitu"/>
    <w:link w:val="Tekstprzypisukocowego"/>
    <w:uiPriority w:val="99"/>
    <w:semiHidden/>
    <w:rsid w:val="00B81AFE"/>
    <w:rPr>
      <w:sz w:val="20"/>
      <w:szCs w:val="20"/>
    </w:rPr>
  </w:style>
  <w:style w:type="character" w:styleId="UyteHipercze">
    <w:name w:val="FollowedHyperlink"/>
    <w:basedOn w:val="Domylnaczcionkaakapitu"/>
    <w:uiPriority w:val="99"/>
    <w:semiHidden/>
    <w:unhideWhenUsed/>
    <w:rsid w:val="00B81AF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p.srem.pl/public/?id=236037."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bip.srem.pl/public/?id=236037" TargetMode="External"/><Relationship Id="rId4" Type="http://schemas.openxmlformats.org/officeDocument/2006/relationships/settings" Target="settings.xml"/><Relationship Id="rId9" Type="http://schemas.openxmlformats.org/officeDocument/2006/relationships/hyperlink" Target="https://bip.srem.pl/public/?id=236037"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6790</Words>
  <Characters>40740</Characters>
  <Application>Microsoft Office Word</Application>
  <DocSecurity>0</DocSecurity>
  <Lines>339</Lines>
  <Paragraphs>94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47436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Agnieszka Zadrożna</cp:lastModifiedBy>
  <cp:revision>2</cp:revision>
  <cp:lastPrinted>2025-05-23T09:24:00Z</cp:lastPrinted>
  <dcterms:created xsi:type="dcterms:W3CDTF">2025-08-29T10:30:00Z</dcterms:created>
  <dcterms:modified xsi:type="dcterms:W3CDTF">2025-08-29T10:30:00Z</dcterms:modified>
</cp:coreProperties>
</file>