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41471" w14:textId="77777777" w:rsidR="003235C6" w:rsidRPr="003235C6" w:rsidRDefault="003235C6" w:rsidP="00BD5A34">
      <w:pPr>
        <w:spacing w:after="0" w:line="240" w:lineRule="auto"/>
        <w:ind w:right="5668"/>
        <w:jc w:val="center"/>
        <w:rPr>
          <w:rFonts w:cstheme="minorHAnsi"/>
          <w:bCs/>
          <w:sz w:val="20"/>
          <w:szCs w:val="20"/>
        </w:rPr>
      </w:pPr>
    </w:p>
    <w:p w14:paraId="5D0C37BD" w14:textId="664E8D6A"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1E1EC1">
      <w:pPr>
        <w:spacing w:after="0" w:line="240" w:lineRule="auto"/>
        <w:ind w:right="5670"/>
        <w:jc w:val="center"/>
        <w:rPr>
          <w:rFonts w:cstheme="minorHAnsi"/>
          <w:bCs/>
          <w:sz w:val="28"/>
          <w:szCs w:val="28"/>
        </w:rPr>
      </w:pPr>
      <w:r w:rsidRPr="0063592D">
        <w:rPr>
          <w:rFonts w:cstheme="minorHAnsi"/>
          <w:bCs/>
          <w:sz w:val="28"/>
          <w:szCs w:val="28"/>
        </w:rPr>
        <w:t>63-100 Śrem</w:t>
      </w:r>
    </w:p>
    <w:p w14:paraId="2C937DB9" w14:textId="49EE82DD" w:rsidR="00BD5A34" w:rsidRPr="0063592D" w:rsidRDefault="00BD5A34" w:rsidP="003235C6">
      <w:pPr>
        <w:spacing w:after="0" w:line="240" w:lineRule="auto"/>
        <w:jc w:val="right"/>
        <w:rPr>
          <w:rFonts w:cstheme="minorHAnsi"/>
          <w:sz w:val="28"/>
          <w:szCs w:val="28"/>
        </w:rPr>
      </w:pPr>
      <w:r w:rsidRPr="0063592D">
        <w:rPr>
          <w:rFonts w:cstheme="minorHAnsi"/>
          <w:sz w:val="28"/>
          <w:szCs w:val="28"/>
        </w:rPr>
        <w:t>Śrem,</w:t>
      </w:r>
      <w:r w:rsidR="005A081D">
        <w:rPr>
          <w:rFonts w:cstheme="minorHAnsi"/>
          <w:sz w:val="28"/>
          <w:szCs w:val="28"/>
        </w:rPr>
        <w:t xml:space="preserve"> 30</w:t>
      </w:r>
      <w:r w:rsidR="00D1562E">
        <w:rPr>
          <w:rFonts w:cstheme="minorHAnsi"/>
          <w:sz w:val="28"/>
          <w:szCs w:val="28"/>
        </w:rPr>
        <w:t xml:space="preserve"> stycznia 2026</w:t>
      </w:r>
      <w:r w:rsidRPr="0063592D">
        <w:rPr>
          <w:rFonts w:cstheme="minorHAnsi"/>
          <w:sz w:val="28"/>
          <w:szCs w:val="28"/>
        </w:rPr>
        <w:t xml:space="preserve"> </w:t>
      </w:r>
      <w:r w:rsidR="005038FC">
        <w:rPr>
          <w:rFonts w:cstheme="minorHAnsi"/>
          <w:sz w:val="28"/>
          <w:szCs w:val="28"/>
        </w:rPr>
        <w:t>r.</w:t>
      </w:r>
    </w:p>
    <w:p w14:paraId="314AFC46" w14:textId="3441B942" w:rsidR="00BD5A34" w:rsidRPr="0063592D" w:rsidRDefault="00BD5A34" w:rsidP="001E1EC1">
      <w:pPr>
        <w:spacing w:after="0" w:line="240" w:lineRule="auto"/>
        <w:rPr>
          <w:rFonts w:cstheme="minorHAnsi"/>
          <w:sz w:val="28"/>
          <w:szCs w:val="28"/>
        </w:rPr>
      </w:pPr>
      <w:r w:rsidRPr="0063592D">
        <w:rPr>
          <w:rFonts w:cstheme="minorHAnsi"/>
          <w:sz w:val="28"/>
          <w:szCs w:val="28"/>
        </w:rPr>
        <w:t>PPSOŚ.6220.</w:t>
      </w:r>
      <w:r w:rsidR="00EE7D4D">
        <w:rPr>
          <w:rFonts w:cstheme="minorHAnsi"/>
          <w:sz w:val="28"/>
          <w:szCs w:val="28"/>
        </w:rPr>
        <w:t>2.2023</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708F1435" w14:textId="34289E68" w:rsidR="00D41FE4" w:rsidRPr="00826F62" w:rsidRDefault="00D0263E" w:rsidP="00F80DB4">
      <w:pPr>
        <w:spacing w:after="120" w:line="240" w:lineRule="auto"/>
        <w:ind w:firstLine="708"/>
        <w:rPr>
          <w:rFonts w:eastAsia="Times New Roman" w:cstheme="minorHAnsi"/>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 że </w:t>
      </w:r>
      <w:r w:rsidR="00EE7D4D">
        <w:rPr>
          <w:rFonts w:eastAsia="Times New Roman" w:cstheme="minorHAnsi"/>
          <w:sz w:val="28"/>
          <w:szCs w:val="28"/>
          <w:lang w:eastAsia="pl-PL"/>
        </w:rPr>
        <w:t>30</w:t>
      </w:r>
      <w:r w:rsidR="00D1562E">
        <w:rPr>
          <w:rFonts w:eastAsia="Times New Roman" w:cstheme="minorHAnsi"/>
          <w:sz w:val="28"/>
          <w:szCs w:val="28"/>
          <w:lang w:eastAsia="pl-PL"/>
        </w:rPr>
        <w:t xml:space="preserve"> stycznia 2026</w:t>
      </w:r>
      <w:r w:rsidR="00BD5A34" w:rsidRPr="0063592D">
        <w:rPr>
          <w:rFonts w:eastAsia="Times New Roman" w:cstheme="minorHAnsi"/>
          <w:sz w:val="28"/>
          <w:szCs w:val="28"/>
          <w:lang w:eastAsia="pl-PL"/>
        </w:rPr>
        <w:t xml:space="preserve"> r. Burmistrz Śremu wydał, na rzecz </w:t>
      </w:r>
      <w:r w:rsidR="00EE7D4D">
        <w:rPr>
          <w:rFonts w:eastAsia="Times New Roman" w:cstheme="minorHAnsi"/>
          <w:sz w:val="28"/>
          <w:szCs w:val="28"/>
          <w:lang w:eastAsia="pl-PL"/>
        </w:rPr>
        <w:t>osoby fizycznej</w:t>
      </w:r>
      <w:r w:rsidR="00BD5A34" w:rsidRPr="0063592D">
        <w:rPr>
          <w:rFonts w:eastAsia="Times New Roman" w:cstheme="minorHAnsi"/>
          <w:sz w:val="28"/>
          <w:szCs w:val="28"/>
          <w:lang w:eastAsia="pl-PL"/>
        </w:rPr>
        <w:t xml:space="preserve">, decyzję </w:t>
      </w:r>
      <w:r w:rsidR="00F80DB4">
        <w:rPr>
          <w:rFonts w:eastAsia="Times New Roman" w:cstheme="minorHAnsi"/>
          <w:sz w:val="28"/>
          <w:szCs w:val="28"/>
          <w:lang w:eastAsia="pl-PL"/>
        </w:rPr>
        <w:t>o</w:t>
      </w:r>
      <w:r w:rsidR="00D10EFD">
        <w:rPr>
          <w:rFonts w:eastAsia="Times New Roman" w:cstheme="minorHAnsi"/>
          <w:sz w:val="28"/>
          <w:szCs w:val="28"/>
          <w:lang w:eastAsia="pl-PL"/>
        </w:rPr>
        <w:t> </w:t>
      </w:r>
      <w:r w:rsidR="00116E81">
        <w:rPr>
          <w:rFonts w:eastAsia="Times New Roman" w:cstheme="minorHAnsi"/>
          <w:sz w:val="28"/>
          <w:szCs w:val="28"/>
          <w:lang w:eastAsia="pl-PL"/>
        </w:rPr>
        <w:t>środowiskowych uwarunkowaniach</w:t>
      </w:r>
      <w:r w:rsidR="00F80DB4" w:rsidRPr="00F80DB4">
        <w:rPr>
          <w:rFonts w:eastAsia="Times New Roman" w:cstheme="minorHAnsi"/>
          <w:sz w:val="28"/>
          <w:szCs w:val="28"/>
          <w:lang w:eastAsia="pl-PL"/>
        </w:rPr>
        <w:t xml:space="preserve"> </w:t>
      </w:r>
      <w:r w:rsidR="00BD5A34" w:rsidRPr="0063592D">
        <w:rPr>
          <w:rFonts w:eastAsia="Times New Roman" w:cstheme="minorHAnsi"/>
          <w:sz w:val="28"/>
          <w:szCs w:val="28"/>
          <w:lang w:eastAsia="pl-PL"/>
        </w:rPr>
        <w:t xml:space="preserve">dla </w:t>
      </w:r>
      <w:r w:rsidR="0044547B" w:rsidRPr="00EE7D4D">
        <w:rPr>
          <w:rFonts w:ascii="Calibri" w:eastAsia="Times New Roman" w:hAnsi="Calibri" w:cs="Calibri"/>
          <w:sz w:val="28"/>
          <w:szCs w:val="28"/>
          <w:lang w:eastAsia="pl-PL"/>
        </w:rPr>
        <w:t xml:space="preserve">zrealizowanego przedsięwzięcia </w:t>
      </w:r>
      <w:r w:rsidR="0044547B" w:rsidRPr="00EE7D4D">
        <w:rPr>
          <w:rFonts w:ascii="Calibri" w:eastAsia="Calibri" w:hAnsi="Calibri" w:cs="Calibri"/>
          <w:sz w:val="28"/>
          <w:szCs w:val="28"/>
        </w:rPr>
        <w:t xml:space="preserve">polegającego na </w:t>
      </w:r>
      <w:r w:rsidR="0044547B" w:rsidRPr="0044547B">
        <w:rPr>
          <w:rFonts w:ascii="Calibri" w:eastAsia="Calibri" w:hAnsi="Calibri" w:cs="Calibri"/>
          <w:b/>
          <w:bCs/>
          <w:sz w:val="28"/>
          <w:szCs w:val="28"/>
        </w:rPr>
        <w:t>rozbudowie obory nr 1 dla bydła mlecznego o 71 DJP, do maksymalnej obsady 126,75 DJP, na działce o numerze ewidencyjnym 265, obręb Dalewo</w:t>
      </w:r>
      <w:r w:rsidR="005968A5" w:rsidRPr="00826F62">
        <w:rPr>
          <w:rFonts w:eastAsia="Times New Roman" w:cstheme="minorHAnsi"/>
          <w:sz w:val="28"/>
          <w:szCs w:val="28"/>
          <w:lang w:eastAsia="pl-PL"/>
        </w:rPr>
        <w:t>.</w:t>
      </w:r>
      <w:r w:rsidR="00BD5A34" w:rsidRPr="00826F62">
        <w:rPr>
          <w:rFonts w:eastAsia="Times New Roman" w:cstheme="minorHAnsi"/>
          <w:sz w:val="28"/>
          <w:szCs w:val="28"/>
          <w:lang w:eastAsia="pl-PL"/>
        </w:rPr>
        <w:t xml:space="preserve"> </w:t>
      </w:r>
    </w:p>
    <w:p w14:paraId="45576EAD" w14:textId="295CBFA9" w:rsidR="00BD5A34" w:rsidRPr="00D54DF8" w:rsidRDefault="00BD5A34" w:rsidP="00F80DB4">
      <w:pPr>
        <w:spacing w:after="120" w:line="240" w:lineRule="auto"/>
        <w:ind w:firstLine="708"/>
        <w:rPr>
          <w:rFonts w:eastAsia="Times New Roman" w:cstheme="minorHAnsi"/>
          <w:b/>
          <w:bCs/>
          <w:sz w:val="28"/>
          <w:szCs w:val="28"/>
          <w:lang w:eastAsia="pl-PL"/>
        </w:rPr>
      </w:pPr>
      <w:r w:rsidRPr="0063592D">
        <w:rPr>
          <w:rFonts w:eastAsia="Times New Roman" w:cstheme="minorHAnsi"/>
          <w:sz w:val="28"/>
          <w:szCs w:val="28"/>
          <w:lang w:eastAsia="pl-PL"/>
        </w:rPr>
        <w:t xml:space="preserve">Od decyzji służy stronie prawo wniesienia odwołania do Samorządowego Kolegium Odwoławczego w Poznaniu, za pośrednictwem Burmistrza Śremu, w terminie 14 dni od dnia doręczenia. </w:t>
      </w:r>
      <w:r w:rsidR="00D0263E" w:rsidRPr="00D0263E">
        <w:rPr>
          <w:rFonts w:eastAsia="Times New Roman" w:cstheme="minorHAnsi"/>
          <w:sz w:val="28"/>
          <w:szCs w:val="28"/>
          <w:lang w:eastAsia="pl-PL"/>
        </w:rPr>
        <w:t xml:space="preserve">Przed upływem terminu do wniesienia odwołania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trona może zrzec się prawa do wniesienia odwołania wobec organu administracji publicznej, który wydał decyzję</w:t>
      </w:r>
      <w:r w:rsidR="00D0263E">
        <w:rPr>
          <w:rFonts w:eastAsia="Times New Roman" w:cstheme="minorHAnsi"/>
          <w:sz w:val="28"/>
          <w:szCs w:val="28"/>
          <w:lang w:eastAsia="pl-PL"/>
        </w:rPr>
        <w:t>,</w:t>
      </w:r>
      <w:r w:rsidR="00D0263E" w:rsidRPr="00D0263E">
        <w:rPr>
          <w:rFonts w:eastAsia="Times New Roman" w:cstheme="minorHAnsi"/>
          <w:sz w:val="28"/>
          <w:szCs w:val="28"/>
          <w:lang w:eastAsia="pl-PL"/>
        </w:rPr>
        <w:t xml:space="preserve"> zgodnie z art. 127a § 1 ustawy z dnia 14</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czerwca 1960 r. – Kodeks postępowania administracyjnego (Dz. U. z</w:t>
      </w:r>
      <w:r w:rsidR="00D0263E">
        <w:rPr>
          <w:rFonts w:eastAsia="Times New Roman" w:cstheme="minorHAnsi"/>
          <w:sz w:val="28"/>
          <w:szCs w:val="28"/>
          <w:lang w:eastAsia="pl-PL"/>
        </w:rPr>
        <w:t> </w:t>
      </w:r>
      <w:r w:rsidR="00D1562E">
        <w:rPr>
          <w:rFonts w:eastAsia="Times New Roman" w:cstheme="minorHAnsi"/>
          <w:sz w:val="28"/>
          <w:szCs w:val="28"/>
          <w:lang w:eastAsia="pl-PL"/>
        </w:rPr>
        <w:t>2025 r. poz. 1691</w:t>
      </w:r>
      <w:r w:rsidR="00D0263E" w:rsidRPr="00D0263E">
        <w:rPr>
          <w:rFonts w:eastAsia="Times New Roman" w:cstheme="minorHAnsi"/>
          <w:sz w:val="28"/>
          <w:szCs w:val="28"/>
          <w:lang w:eastAsia="pl-PL"/>
        </w:rPr>
        <w:t xml:space="preserve">). Z dniem doręczenia organowi administracji publicznej oświadczenia o zrzeczeniu się prawa do wniesienia odwołania przez ostatnią ze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 postępowania, decyzja staje się ostateczna i</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prawomocna.</w:t>
      </w:r>
      <w:r w:rsidR="00D0263E">
        <w:rPr>
          <w:rFonts w:eastAsia="Times New Roman" w:cstheme="minorHAnsi"/>
          <w:sz w:val="28"/>
          <w:szCs w:val="28"/>
          <w:lang w:eastAsia="pl-PL"/>
        </w:rPr>
        <w:t xml:space="preserve"> </w:t>
      </w:r>
      <w:r w:rsidRPr="0063592D">
        <w:rPr>
          <w:rFonts w:eastAsia="Times New Roman" w:cstheme="minorHAnsi"/>
          <w:sz w:val="28"/>
          <w:szCs w:val="28"/>
          <w:lang w:eastAsia="pl-PL"/>
        </w:rPr>
        <w:t>Doręczenie przez obwieszczenie uważa się za dokonane po 14</w:t>
      </w:r>
      <w:r w:rsidR="008A1C0E">
        <w:rPr>
          <w:rFonts w:eastAsia="Times New Roman" w:cstheme="minorHAnsi"/>
          <w:sz w:val="28"/>
          <w:szCs w:val="28"/>
          <w:lang w:eastAsia="pl-PL"/>
        </w:rPr>
        <w:t> </w:t>
      </w:r>
      <w:r w:rsidRPr="0063592D">
        <w:rPr>
          <w:rFonts w:eastAsia="Times New Roman" w:cstheme="minorHAnsi"/>
          <w:sz w:val="28"/>
          <w:szCs w:val="28"/>
          <w:lang w:eastAsia="pl-PL"/>
        </w:rPr>
        <w:t xml:space="preserve">dniach od dnia publicznego ogłoszenia stosownie do art. 49 </w:t>
      </w:r>
      <w:r w:rsidR="00D0263E">
        <w:rPr>
          <w:rFonts w:eastAsia="Times New Roman" w:cstheme="minorHAnsi"/>
          <w:sz w:val="28"/>
          <w:szCs w:val="28"/>
          <w:lang w:eastAsia="pl-PL"/>
        </w:rPr>
        <w:t>przywołanej ustawy</w:t>
      </w:r>
      <w:r w:rsidRPr="0063592D">
        <w:rPr>
          <w:rFonts w:eastAsia="Times New Roman" w:cstheme="minorHAnsi"/>
          <w:sz w:val="28"/>
          <w:szCs w:val="28"/>
          <w:lang w:eastAsia="pl-PL"/>
        </w:rPr>
        <w:t xml:space="preserve">. </w:t>
      </w:r>
    </w:p>
    <w:p w14:paraId="0D2146EB" w14:textId="77F093FE" w:rsidR="00DC053D" w:rsidRDefault="00BD5A34" w:rsidP="00F80DB4">
      <w:pPr>
        <w:spacing w:after="120" w:line="240" w:lineRule="auto"/>
        <w:ind w:firstLine="708"/>
        <w:rPr>
          <w:rFonts w:eastAsia="Times New Roman" w:cstheme="minorHAnsi"/>
          <w:sz w:val="28"/>
          <w:szCs w:val="28"/>
          <w:lang w:eastAsia="pl-PL"/>
        </w:rPr>
      </w:pPr>
      <w:r w:rsidRPr="0063592D">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5F59E55C" w14:textId="36F6A6D9" w:rsidR="00BD5A34" w:rsidRPr="00826F62" w:rsidRDefault="00BD5A34" w:rsidP="001E1EC1">
      <w:pPr>
        <w:spacing w:after="0" w:line="240" w:lineRule="auto"/>
        <w:ind w:firstLine="709"/>
        <w:rPr>
          <w:rFonts w:eastAsia="Times New Roman" w:cstheme="minorHAnsi"/>
          <w:sz w:val="28"/>
          <w:szCs w:val="28"/>
          <w:lang w:eastAsia="pl-PL"/>
        </w:rPr>
      </w:pPr>
      <w:r w:rsidRPr="0063592D">
        <w:rPr>
          <w:rFonts w:eastAsia="Times New Roman" w:cstheme="minorHAnsi"/>
          <w:sz w:val="28"/>
          <w:szCs w:val="28"/>
          <w:lang w:eastAsia="pl-PL"/>
        </w:rPr>
        <w:t xml:space="preserve">Z treścią decyzji można zapoznać się również w Biuletynie Informacji Publicznej Urzędu Miejskiego w Śremie </w:t>
      </w:r>
      <w:hyperlink r:id="rId8" w:history="1">
        <w:r w:rsidR="001E1EC1" w:rsidRPr="001E1EC1">
          <w:rPr>
            <w:rStyle w:val="Hipercze"/>
            <w:sz w:val="28"/>
            <w:szCs w:val="28"/>
          </w:rPr>
          <w:t>https://bip.srem.pl/public/?id=238291</w:t>
        </w:r>
      </w:hyperlink>
      <w:r w:rsidR="00D1562E">
        <w:rPr>
          <w:sz w:val="28"/>
          <w:szCs w:val="28"/>
        </w:rPr>
        <w:t>.</w:t>
      </w:r>
    </w:p>
    <w:p w14:paraId="0B327002" w14:textId="77777777" w:rsidR="00D1562E" w:rsidRPr="0063592D" w:rsidRDefault="00D1562E" w:rsidP="00D1562E">
      <w:pPr>
        <w:spacing w:after="120" w:line="240" w:lineRule="auto"/>
        <w:ind w:left="4248"/>
        <w:jc w:val="center"/>
        <w:rPr>
          <w:rFonts w:eastAsia="Times New Roman" w:cstheme="minorHAnsi"/>
          <w:sz w:val="28"/>
          <w:szCs w:val="28"/>
          <w:lang w:eastAsia="pl-PL"/>
        </w:rPr>
      </w:pPr>
      <w:r>
        <w:rPr>
          <w:rFonts w:eastAsia="Times New Roman" w:cstheme="minorHAnsi"/>
          <w:sz w:val="28"/>
          <w:szCs w:val="28"/>
          <w:lang w:eastAsia="pl-PL"/>
        </w:rPr>
        <w:t>Grzegorz Wiśniewski</w:t>
      </w:r>
    </w:p>
    <w:p w14:paraId="4DE9623A" w14:textId="0D6A1BB2" w:rsidR="00D1562E" w:rsidRDefault="00D1562E" w:rsidP="00D1562E">
      <w:pPr>
        <w:spacing w:after="120" w:line="240" w:lineRule="auto"/>
        <w:ind w:left="4248"/>
        <w:jc w:val="center"/>
        <w:rPr>
          <w:rFonts w:eastAsia="Times New Roman" w:cstheme="minorHAnsi"/>
          <w:sz w:val="28"/>
          <w:szCs w:val="28"/>
          <w:lang w:eastAsia="pl-PL"/>
        </w:rPr>
      </w:pPr>
      <w:r w:rsidRPr="0063592D">
        <w:rPr>
          <w:rFonts w:eastAsia="Times New Roman" w:cstheme="minorHAnsi"/>
          <w:sz w:val="28"/>
          <w:szCs w:val="28"/>
          <w:lang w:eastAsia="pl-PL"/>
        </w:rPr>
        <w:t>Burmistrz Śremu</w:t>
      </w:r>
    </w:p>
    <w:p w14:paraId="6A45C5F6" w14:textId="5C61862D" w:rsidR="00BD5A34" w:rsidRPr="0063592D" w:rsidRDefault="00BD5A34" w:rsidP="00D1562E">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 xml:space="preserve">Wywieszono: </w:t>
      </w:r>
      <w:r w:rsidR="001E1EC1">
        <w:rPr>
          <w:rFonts w:eastAsia="Times New Roman" w:cstheme="minorHAnsi"/>
          <w:sz w:val="28"/>
          <w:szCs w:val="28"/>
          <w:lang w:eastAsia="pl-PL"/>
        </w:rPr>
        <w:t>02.02</w:t>
      </w:r>
      <w:r w:rsidR="00D1562E">
        <w:rPr>
          <w:rFonts w:eastAsia="Times New Roman" w:cstheme="minorHAnsi"/>
          <w:sz w:val="28"/>
          <w:szCs w:val="28"/>
          <w:lang w:eastAsia="pl-PL"/>
        </w:rPr>
        <w:t>.2026</w:t>
      </w:r>
      <w:r w:rsidRPr="0063592D">
        <w:rPr>
          <w:rFonts w:eastAsia="Times New Roman" w:cstheme="minorHAnsi"/>
          <w:sz w:val="28"/>
          <w:szCs w:val="28"/>
          <w:lang w:eastAsia="pl-PL"/>
        </w:rPr>
        <w:t xml:space="preserve"> r.</w:t>
      </w:r>
    </w:p>
    <w:p w14:paraId="11C855B2" w14:textId="77777777"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Zdjęto:</w:t>
      </w:r>
    </w:p>
    <w:p w14:paraId="3F186F67" w14:textId="3FA92056" w:rsidR="00D0263E" w:rsidRDefault="00D0263E" w:rsidP="00F80DB4">
      <w:pPr>
        <w:spacing w:after="120" w:line="240" w:lineRule="auto"/>
        <w:rPr>
          <w:rFonts w:eastAsia="Times New Roman" w:cstheme="minorHAnsi"/>
          <w:sz w:val="28"/>
          <w:szCs w:val="28"/>
          <w:lang w:eastAsia="pl-PL"/>
        </w:rPr>
      </w:pPr>
      <w:r w:rsidRPr="00DB7313">
        <w:rPr>
          <w:rFonts w:eastAsia="Times New Roman" w:cstheme="minorHAnsi"/>
          <w:sz w:val="28"/>
          <w:szCs w:val="28"/>
          <w:vertAlign w:val="superscript"/>
          <w:lang w:eastAsia="pl-PL"/>
        </w:rPr>
        <w:lastRenderedPageBreak/>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r w:rsidR="00566AC2" w:rsidRPr="00566AC2">
        <w:rPr>
          <w:rFonts w:eastAsia="Times New Roman" w:cstheme="minorHAnsi"/>
          <w:sz w:val="28"/>
          <w:szCs w:val="28"/>
          <w:lang w:eastAsia="pl-PL"/>
        </w:rPr>
        <w:t xml:space="preserve">Dz. U. z </w:t>
      </w:r>
      <w:r w:rsidR="00C552DF">
        <w:rPr>
          <w:rFonts w:eastAsia="Times New Roman" w:cstheme="minorHAnsi"/>
          <w:sz w:val="28"/>
          <w:szCs w:val="28"/>
          <w:lang w:eastAsia="pl-PL"/>
        </w:rPr>
        <w:t>2024 r. poz. 1112</w:t>
      </w:r>
      <w:r w:rsidR="00116E81">
        <w:rPr>
          <w:rFonts w:eastAsia="Times New Roman" w:cstheme="minorHAnsi"/>
          <w:sz w:val="28"/>
          <w:szCs w:val="28"/>
          <w:lang w:eastAsia="pl-PL"/>
        </w:rPr>
        <w:t>, 1940 i 1881</w:t>
      </w:r>
      <w:r w:rsidR="00D1562E">
        <w:rPr>
          <w:rFonts w:eastAsia="Times New Roman" w:cstheme="minorHAnsi"/>
          <w:sz w:val="28"/>
          <w:szCs w:val="28"/>
          <w:lang w:eastAsia="pl-PL"/>
        </w:rPr>
        <w:t xml:space="preserve"> oraz z 2025 r. 1535</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F80DB4">
      <w:pPr>
        <w:spacing w:after="120" w:line="240" w:lineRule="auto"/>
        <w:ind w:firstLine="708"/>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2BE9BEB5" w14:textId="77777777" w:rsidR="00EE7D4D" w:rsidRPr="00EE7D4D" w:rsidRDefault="00EE7D4D" w:rsidP="00EE7D4D">
      <w:pPr>
        <w:spacing w:after="0" w:line="240" w:lineRule="auto"/>
        <w:ind w:right="5668"/>
        <w:jc w:val="center"/>
        <w:rPr>
          <w:rFonts w:ascii="Calibri" w:eastAsia="Times New Roman" w:hAnsi="Calibri" w:cs="Calibri"/>
          <w:sz w:val="28"/>
          <w:szCs w:val="28"/>
          <w:lang w:eastAsia="pl-PL"/>
        </w:rPr>
      </w:pPr>
      <w:r w:rsidRPr="00EE7D4D">
        <w:rPr>
          <w:rFonts w:ascii="Calibri" w:eastAsia="Times New Roman" w:hAnsi="Calibri" w:cs="Calibri"/>
          <w:sz w:val="28"/>
          <w:szCs w:val="28"/>
          <w:lang w:eastAsia="pl-PL"/>
        </w:rPr>
        <w:lastRenderedPageBreak/>
        <w:t>Burmistrz Śremu</w:t>
      </w:r>
    </w:p>
    <w:p w14:paraId="4145E9F0" w14:textId="77777777" w:rsidR="00EE7D4D" w:rsidRPr="00EE7D4D" w:rsidRDefault="00EE7D4D" w:rsidP="00EE7D4D">
      <w:pPr>
        <w:spacing w:after="0" w:line="240" w:lineRule="auto"/>
        <w:ind w:right="5668"/>
        <w:jc w:val="center"/>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ul. Plac 20 Października 1</w:t>
      </w:r>
    </w:p>
    <w:p w14:paraId="322C8144" w14:textId="77777777" w:rsidR="00EE7D4D" w:rsidRPr="00EE7D4D" w:rsidRDefault="00EE7D4D" w:rsidP="00EE7D4D">
      <w:pPr>
        <w:spacing w:after="0" w:line="240" w:lineRule="auto"/>
        <w:ind w:right="5668"/>
        <w:jc w:val="center"/>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63-100 Śrem</w:t>
      </w:r>
    </w:p>
    <w:p w14:paraId="7067E8D0" w14:textId="77777777" w:rsidR="00EE7D4D" w:rsidRPr="00EE7D4D" w:rsidRDefault="00EE7D4D" w:rsidP="00EE7D4D">
      <w:pPr>
        <w:spacing w:after="0" w:line="240" w:lineRule="auto"/>
        <w:jc w:val="right"/>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Śrem, 30 stycznia 2026 r.</w:t>
      </w:r>
    </w:p>
    <w:p w14:paraId="5D5B6EF8" w14:textId="77777777" w:rsidR="00EE7D4D" w:rsidRPr="00EE7D4D" w:rsidRDefault="00EE7D4D" w:rsidP="00EE7D4D">
      <w:pPr>
        <w:spacing w:after="0" w:line="240" w:lineRule="auto"/>
        <w:jc w:val="both"/>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PPSOŚ.6220.2.2023.BM</w:t>
      </w:r>
    </w:p>
    <w:p w14:paraId="17BD003B" w14:textId="77777777" w:rsidR="00EE7D4D" w:rsidRPr="00EE7D4D" w:rsidRDefault="00EE7D4D" w:rsidP="00EE7D4D">
      <w:pPr>
        <w:spacing w:after="80" w:line="240" w:lineRule="auto"/>
        <w:jc w:val="center"/>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Decyzja</w:t>
      </w:r>
    </w:p>
    <w:p w14:paraId="48BE8CA2" w14:textId="77777777" w:rsidR="00EE7D4D" w:rsidRPr="00EE7D4D" w:rsidRDefault="00EE7D4D" w:rsidP="00EE7D4D">
      <w:pPr>
        <w:spacing w:after="120" w:line="240" w:lineRule="auto"/>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ab/>
        <w:t>Na podstawie art. 71 ust. 2 pkt 2, art. 75 ust. 1 pkt 4, art. 82 oraz art. 85 ustawy z dnia 3 października 2008 r. o udostępnianiu informacji o środowisku i jego ochronie, udziale społeczeństwa w ochronie środowiska oraz o ocenach oddziaływania na środowisko (</w:t>
      </w:r>
      <w:r w:rsidRPr="00EE7D4D">
        <w:rPr>
          <w:rFonts w:ascii="Calibri" w:eastAsia="Calibri" w:hAnsi="Calibri" w:cs="Calibri"/>
          <w:bCs/>
          <w:sz w:val="28"/>
          <w:szCs w:val="28"/>
        </w:rPr>
        <w:t>Dz. U. z 2024 r. poz. 1112, 1940 i 1881 oraz z 2025 r. poz. 1535)</w:t>
      </w:r>
      <w:r w:rsidRPr="00EE7D4D">
        <w:rPr>
          <w:rFonts w:ascii="Calibri" w:eastAsia="Times New Roman" w:hAnsi="Calibri" w:cs="Calibri"/>
          <w:sz w:val="28"/>
          <w:szCs w:val="28"/>
          <w:lang w:eastAsia="pl-PL"/>
        </w:rPr>
        <w:t xml:space="preserve">, zwanej dalej u.o.o.ś., </w:t>
      </w:r>
      <w:r w:rsidRPr="00EE7D4D">
        <w:rPr>
          <w:rFonts w:ascii="Calibri" w:eastAsia="Calibri" w:hAnsi="Calibri" w:cs="Calibri"/>
          <w:sz w:val="28"/>
          <w:szCs w:val="28"/>
        </w:rPr>
        <w:t xml:space="preserve">§ 3 ust. 2 pkt 2, w związku z § 3 ust. 1 pkt 104 lit. a tiret pierwsze podwójne tiret pierwsze </w:t>
      </w:r>
      <w:r w:rsidRPr="00EE7D4D">
        <w:rPr>
          <w:rFonts w:ascii="Calibri" w:eastAsia="Times New Roman" w:hAnsi="Calibri" w:cs="Calibri"/>
          <w:sz w:val="28"/>
          <w:szCs w:val="28"/>
          <w:lang w:eastAsia="pl-PL"/>
        </w:rPr>
        <w:t>rozporządzenia Rady Ministrów z dnia 10 września 2019 r. w sprawie przedsięwzięć mogących znacząco oddziaływać na środowisko (Dz. U. poz. 1839, z 2022 r. poz. 1071 i z 2023 r. poz. 1724) oraz art. 104 ustawy z dnia 14 czerwca 1960 r. – Kodeks postępowania administracyjnego (Dz. U. z 2025 r. poz. 1691), zwanej dalej K.p.a.,</w:t>
      </w:r>
    </w:p>
    <w:p w14:paraId="5125FB57" w14:textId="77777777" w:rsidR="00EE7D4D" w:rsidRPr="00EE7D4D" w:rsidRDefault="00EE7D4D" w:rsidP="00EE7D4D">
      <w:pPr>
        <w:spacing w:after="80" w:line="240" w:lineRule="auto"/>
        <w:jc w:val="center"/>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po rozpatrzeniu</w:t>
      </w:r>
    </w:p>
    <w:p w14:paraId="3928264D" w14:textId="31D54163" w:rsidR="00EE7D4D" w:rsidRPr="00EE7D4D" w:rsidRDefault="00EE7D4D" w:rsidP="00EE7D4D">
      <w:pPr>
        <w:spacing w:after="120" w:line="240" w:lineRule="auto"/>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 xml:space="preserve">wniosku </w:t>
      </w:r>
      <w:r w:rsidR="001E1EC1" w:rsidRPr="001E1EC1">
        <w:rPr>
          <w:rFonts w:ascii="Calibri" w:eastAsia="Times New Roman" w:hAnsi="Calibri" w:cs="Calibri"/>
          <w:sz w:val="28"/>
          <w:szCs w:val="28"/>
          <w:highlight w:val="black"/>
          <w:lang w:eastAsia="pl-PL"/>
        </w:rPr>
        <w:t>…………………………………………………………………………………………………..</w:t>
      </w:r>
      <w:r w:rsidRPr="00EE7D4D">
        <w:rPr>
          <w:rFonts w:ascii="Calibri" w:eastAsia="Times New Roman" w:hAnsi="Calibri" w:cs="Calibri"/>
          <w:sz w:val="28"/>
          <w:szCs w:val="28"/>
          <w:lang w:eastAsia="pl-PL"/>
        </w:rPr>
        <w:t xml:space="preserve">, </w:t>
      </w:r>
      <w:r w:rsidR="001E1EC1" w:rsidRPr="001E1EC1">
        <w:rPr>
          <w:rFonts w:ascii="Calibri" w:eastAsia="Times New Roman" w:hAnsi="Calibri" w:cs="Calibri"/>
          <w:sz w:val="28"/>
          <w:szCs w:val="28"/>
          <w:highlight w:val="black"/>
          <w:lang w:eastAsia="pl-PL"/>
        </w:rPr>
        <w:t>…………………</w:t>
      </w:r>
      <w:r w:rsidRPr="00EE7D4D">
        <w:rPr>
          <w:rFonts w:ascii="Calibri" w:eastAsia="Times New Roman" w:hAnsi="Calibri" w:cs="Calibri"/>
          <w:sz w:val="28"/>
          <w:szCs w:val="28"/>
          <w:lang w:eastAsia="pl-PL"/>
        </w:rPr>
        <w:t>, o wydanie decyzji o środowiskowych uwarunkowaniach dla przedsięwzięcia pod nazwą</w:t>
      </w:r>
      <w:r w:rsidRPr="00EE7D4D">
        <w:rPr>
          <w:rFonts w:ascii="Calibri" w:eastAsia="Calibri" w:hAnsi="Calibri" w:cs="Times New Roman"/>
          <w:kern w:val="2"/>
          <w:sz w:val="28"/>
          <w14:ligatures w14:val="standardContextual"/>
        </w:rPr>
        <w:t xml:space="preserve"> „</w:t>
      </w:r>
      <w:r w:rsidRPr="00EE7D4D">
        <w:rPr>
          <w:rFonts w:ascii="Calibri" w:eastAsia="Times New Roman" w:hAnsi="Calibri" w:cs="Calibri"/>
          <w:sz w:val="28"/>
          <w:szCs w:val="28"/>
          <w:lang w:eastAsia="pl-PL"/>
        </w:rPr>
        <w:t>legalizacja rozbudowy istniejącej obory (obora nr 1</w:t>
      </w:r>
      <w:r w:rsidRPr="00EE7D4D">
        <w:rPr>
          <w:rFonts w:ascii="Calibri" w:eastAsia="Times New Roman" w:hAnsi="Calibri" w:cs="Calibri"/>
          <w:sz w:val="28"/>
          <w:szCs w:val="28"/>
          <w:vertAlign w:val="superscript"/>
          <w:lang w:eastAsia="pl-PL"/>
        </w:rPr>
        <w:footnoteReference w:id="1"/>
      </w:r>
      <w:r w:rsidRPr="00EE7D4D">
        <w:rPr>
          <w:rFonts w:ascii="Calibri" w:eastAsia="Times New Roman" w:hAnsi="Calibri" w:cs="Calibri"/>
          <w:sz w:val="28"/>
          <w:szCs w:val="28"/>
          <w:lang w:eastAsia="pl-PL"/>
        </w:rPr>
        <w:t>) dla bydła mlecznego (o maksymalnej obsadzie 55,75 DJP</w:t>
      </w:r>
      <w:r w:rsidRPr="00EE7D4D">
        <w:rPr>
          <w:rFonts w:ascii="Calibri" w:eastAsia="Times New Roman" w:hAnsi="Calibri" w:cs="Calibri"/>
          <w:sz w:val="28"/>
          <w:szCs w:val="28"/>
          <w:vertAlign w:val="superscript"/>
          <w:lang w:eastAsia="pl-PL"/>
        </w:rPr>
        <w:footnoteReference w:id="2"/>
      </w:r>
      <w:r w:rsidRPr="00EE7D4D">
        <w:rPr>
          <w:rFonts w:ascii="Calibri" w:eastAsia="Times New Roman" w:hAnsi="Calibri" w:cs="Calibri"/>
          <w:sz w:val="28"/>
          <w:szCs w:val="28"/>
          <w:lang w:eastAsia="pl-PL"/>
        </w:rPr>
        <w:t>) o 71 DJP” na działce o numerze ewidencyjnym 265, obręb Dalewo,</w:t>
      </w:r>
    </w:p>
    <w:p w14:paraId="54522ED0" w14:textId="77777777" w:rsidR="00EE7D4D" w:rsidRPr="00EE7D4D" w:rsidRDefault="00EE7D4D" w:rsidP="00EE7D4D">
      <w:pPr>
        <w:spacing w:after="0" w:line="240" w:lineRule="auto"/>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 xml:space="preserve">i </w:t>
      </w:r>
      <w:r w:rsidRPr="00EE7D4D">
        <w:rPr>
          <w:rFonts w:ascii="Calibri" w:eastAsia="Times New Roman" w:hAnsi="Calibri" w:cs="Calibri"/>
          <w:b/>
          <w:bCs/>
          <w:sz w:val="28"/>
          <w:szCs w:val="28"/>
          <w:lang w:eastAsia="pl-PL"/>
        </w:rPr>
        <w:t>przeprowadzeniu postępowania w sprawie oceny oddziaływania na środowisko</w:t>
      </w:r>
      <w:r w:rsidRPr="00EE7D4D">
        <w:rPr>
          <w:rFonts w:ascii="Calibri" w:eastAsia="Times New Roman" w:hAnsi="Calibri" w:cs="Calibri"/>
          <w:sz w:val="28"/>
          <w:szCs w:val="28"/>
          <w:lang w:eastAsia="pl-PL"/>
        </w:rPr>
        <w:t>,</w:t>
      </w:r>
    </w:p>
    <w:p w14:paraId="6FDACF68" w14:textId="77777777" w:rsidR="00EE7D4D" w:rsidRPr="00EE7D4D" w:rsidRDefault="00EE7D4D" w:rsidP="00EE7D4D">
      <w:pPr>
        <w:spacing w:after="80" w:line="240" w:lineRule="auto"/>
        <w:jc w:val="center"/>
        <w:rPr>
          <w:rFonts w:ascii="Calibri" w:eastAsia="Times New Roman" w:hAnsi="Calibri" w:cs="Calibri"/>
          <w:b/>
          <w:bCs/>
          <w:sz w:val="28"/>
          <w:szCs w:val="28"/>
          <w:lang w:eastAsia="pl-PL"/>
        </w:rPr>
      </w:pPr>
      <w:r w:rsidRPr="00EE7D4D">
        <w:rPr>
          <w:rFonts w:ascii="Calibri" w:eastAsia="Times New Roman" w:hAnsi="Calibri" w:cs="Calibri"/>
          <w:b/>
          <w:bCs/>
          <w:sz w:val="28"/>
          <w:szCs w:val="28"/>
          <w:lang w:eastAsia="pl-PL"/>
        </w:rPr>
        <w:t>ustalam</w:t>
      </w:r>
    </w:p>
    <w:p w14:paraId="3853AD90" w14:textId="77777777" w:rsidR="00EE7D4D" w:rsidRPr="00EE7D4D" w:rsidRDefault="00EE7D4D" w:rsidP="00EE7D4D">
      <w:pPr>
        <w:spacing w:after="120" w:line="240" w:lineRule="auto"/>
        <w:rPr>
          <w:rFonts w:ascii="Calibri" w:eastAsia="Calibri" w:hAnsi="Calibri" w:cs="Calibri"/>
          <w:sz w:val="28"/>
          <w:szCs w:val="28"/>
        </w:rPr>
      </w:pPr>
      <w:r w:rsidRPr="00EE7D4D">
        <w:rPr>
          <w:rFonts w:ascii="Calibri" w:eastAsia="Times New Roman" w:hAnsi="Calibri" w:cs="Calibri"/>
          <w:sz w:val="28"/>
          <w:szCs w:val="28"/>
          <w:lang w:eastAsia="pl-PL"/>
        </w:rPr>
        <w:t xml:space="preserve">środowiskowe uwarunkowania dla zrealizowanego przedsięwzięcia </w:t>
      </w:r>
      <w:r w:rsidRPr="00EE7D4D">
        <w:rPr>
          <w:rFonts w:ascii="Calibri" w:eastAsia="Calibri" w:hAnsi="Calibri" w:cs="Calibri"/>
          <w:sz w:val="28"/>
          <w:szCs w:val="28"/>
        </w:rPr>
        <w:t>polegającego na rozbudowie obory nr 1 dla bydła mlecznego o 71 DJP, do maksymalnej obsady 126,75 DJP, na działce o numerze ewidencyjnym 265, obręb Dalewo,</w:t>
      </w:r>
      <w:r w:rsidRPr="00EE7D4D">
        <w:rPr>
          <w:rFonts w:ascii="Calibri" w:eastAsia="Times New Roman" w:hAnsi="Calibri" w:cs="Calibri"/>
          <w:sz w:val="28"/>
          <w:szCs w:val="28"/>
          <w:lang w:eastAsia="pl-PL"/>
        </w:rPr>
        <w:t xml:space="preserve"> </w:t>
      </w:r>
    </w:p>
    <w:p w14:paraId="7D362CA0" w14:textId="77777777" w:rsidR="00EE7D4D" w:rsidRPr="00EE7D4D" w:rsidRDefault="00EE7D4D" w:rsidP="00EE7D4D">
      <w:pPr>
        <w:spacing w:after="0" w:line="240" w:lineRule="auto"/>
        <w:jc w:val="both"/>
        <w:rPr>
          <w:rFonts w:ascii="Calibri" w:eastAsia="Times New Roman" w:hAnsi="Calibri" w:cs="Calibri"/>
          <w:b/>
          <w:sz w:val="28"/>
          <w:szCs w:val="28"/>
          <w:lang w:eastAsia="pl-PL"/>
        </w:rPr>
      </w:pPr>
      <w:r w:rsidRPr="00EE7D4D">
        <w:rPr>
          <w:rFonts w:ascii="Calibri" w:eastAsia="Times New Roman" w:hAnsi="Calibri" w:cs="Calibri"/>
          <w:b/>
          <w:sz w:val="28"/>
          <w:szCs w:val="28"/>
          <w:lang w:eastAsia="pl-PL"/>
        </w:rPr>
        <w:br w:type="page"/>
      </w:r>
    </w:p>
    <w:p w14:paraId="225AE2A0" w14:textId="77777777" w:rsidR="00EE7D4D" w:rsidRPr="00EE7D4D" w:rsidRDefault="00EE7D4D" w:rsidP="00EE7D4D">
      <w:pPr>
        <w:spacing w:after="120" w:line="240" w:lineRule="auto"/>
        <w:jc w:val="center"/>
        <w:rPr>
          <w:rFonts w:ascii="Calibri" w:eastAsia="Times New Roman" w:hAnsi="Calibri" w:cs="Calibri"/>
          <w:b/>
          <w:sz w:val="28"/>
          <w:szCs w:val="28"/>
          <w:lang w:eastAsia="pl-PL"/>
        </w:rPr>
      </w:pPr>
      <w:r w:rsidRPr="00EE7D4D">
        <w:rPr>
          <w:rFonts w:ascii="Calibri" w:eastAsia="Times New Roman" w:hAnsi="Calibri" w:cs="Calibri"/>
          <w:b/>
          <w:sz w:val="28"/>
          <w:szCs w:val="28"/>
          <w:lang w:eastAsia="pl-PL"/>
        </w:rPr>
        <w:lastRenderedPageBreak/>
        <w:t>określam:</w:t>
      </w:r>
    </w:p>
    <w:p w14:paraId="13B4C834" w14:textId="77777777" w:rsidR="00EE7D4D" w:rsidRPr="00EE7D4D" w:rsidRDefault="00EE7D4D">
      <w:pPr>
        <w:numPr>
          <w:ilvl w:val="0"/>
          <w:numId w:val="4"/>
        </w:numPr>
        <w:spacing w:after="120" w:line="240" w:lineRule="auto"/>
        <w:ind w:left="284" w:hanging="284"/>
        <w:jc w:val="both"/>
        <w:rPr>
          <w:rFonts w:ascii="Calibri" w:eastAsia="Times New Roman" w:hAnsi="Calibri" w:cs="Calibri"/>
          <w:b/>
          <w:sz w:val="28"/>
          <w:szCs w:val="28"/>
          <w:lang w:eastAsia="pl-PL"/>
        </w:rPr>
      </w:pPr>
      <w:r w:rsidRPr="00EE7D4D">
        <w:rPr>
          <w:rFonts w:ascii="Calibri" w:eastAsia="Times New Roman" w:hAnsi="Calibri" w:cs="Calibri"/>
          <w:b/>
          <w:sz w:val="28"/>
          <w:szCs w:val="28"/>
          <w:lang w:eastAsia="pl-PL"/>
        </w:rPr>
        <w:t>Rodzaj i miejsce realizacji przedsięwzięcia:</w:t>
      </w:r>
    </w:p>
    <w:p w14:paraId="19712F96" w14:textId="77777777" w:rsidR="00EE7D4D" w:rsidRPr="00EE7D4D" w:rsidRDefault="00EE7D4D" w:rsidP="00EE7D4D">
      <w:pPr>
        <w:tabs>
          <w:tab w:val="left" w:pos="284"/>
        </w:tabs>
        <w:spacing w:after="120" w:line="240" w:lineRule="auto"/>
        <w:ind w:left="284"/>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przedsięwzięcie dotyczy zrealizowanego przedsięwzięcia polegającego na rozbudowie obory nr 1 dla bydła mlecznego o 71 DJP, do maksymalnej obsady 126,75 DJP, na działce o numerze ewidencyjnym 265, obręb Dalewo. Obecnie na terenie gospodarstwa rolnego znajdują się dwie obory, w których utrzymywane jest bydło mleczne o łącznej obsadzie 134,45 DJP, w systemie chowu na głębokiej i płytkiej ściółce, luzem i na uwięzi. Powierzchnia zabudowy obory nr 1, przed rozbudową, wynosiła 588,75 m</w:t>
      </w:r>
      <w:r w:rsidRPr="00EE7D4D">
        <w:rPr>
          <w:rFonts w:ascii="Calibri" w:eastAsia="Times New Roman" w:hAnsi="Calibri" w:cs="Calibri"/>
          <w:sz w:val="28"/>
          <w:szCs w:val="28"/>
          <w:vertAlign w:val="superscript"/>
          <w:lang w:eastAsia="pl-PL"/>
        </w:rPr>
        <w:t>2</w:t>
      </w:r>
      <w:r w:rsidRPr="00EE7D4D">
        <w:rPr>
          <w:rFonts w:ascii="Calibri" w:eastAsia="Times New Roman" w:hAnsi="Calibri" w:cs="Calibri"/>
          <w:sz w:val="28"/>
          <w:szCs w:val="28"/>
          <w:lang w:eastAsia="pl-PL"/>
        </w:rPr>
        <w:t>. W wyniku rozbudowy zwiększyła się o 440,1 m</w:t>
      </w:r>
      <w:r w:rsidRPr="00EE7D4D">
        <w:rPr>
          <w:rFonts w:ascii="Calibri" w:eastAsia="Times New Roman" w:hAnsi="Calibri" w:cs="Calibri"/>
          <w:sz w:val="28"/>
          <w:szCs w:val="28"/>
          <w:vertAlign w:val="superscript"/>
          <w:lang w:eastAsia="pl-PL"/>
        </w:rPr>
        <w:t>2</w:t>
      </w:r>
      <w:r w:rsidRPr="00EE7D4D">
        <w:rPr>
          <w:rFonts w:ascii="Calibri" w:eastAsia="Times New Roman" w:hAnsi="Calibri" w:cs="Calibri"/>
          <w:sz w:val="28"/>
          <w:szCs w:val="28"/>
          <w:lang w:eastAsia="pl-PL"/>
        </w:rPr>
        <w:t xml:space="preserve"> i obecnie wynosi 1 028,85 m</w:t>
      </w:r>
      <w:r w:rsidRPr="00EE7D4D">
        <w:rPr>
          <w:rFonts w:ascii="Calibri" w:eastAsia="Times New Roman" w:hAnsi="Calibri" w:cs="Calibri"/>
          <w:sz w:val="28"/>
          <w:szCs w:val="28"/>
          <w:vertAlign w:val="superscript"/>
          <w:lang w:eastAsia="pl-PL"/>
        </w:rPr>
        <w:t>2</w:t>
      </w:r>
      <w:r w:rsidRPr="00EE7D4D">
        <w:rPr>
          <w:rFonts w:ascii="Calibri" w:eastAsia="Times New Roman" w:hAnsi="Calibri" w:cs="Calibri"/>
          <w:sz w:val="28"/>
          <w:szCs w:val="28"/>
          <w:lang w:eastAsia="pl-PL"/>
        </w:rPr>
        <w:t xml:space="preserve">. </w:t>
      </w:r>
    </w:p>
    <w:p w14:paraId="263B45EA" w14:textId="77777777" w:rsidR="00EE7D4D" w:rsidRPr="00EE7D4D" w:rsidRDefault="00EE7D4D">
      <w:pPr>
        <w:numPr>
          <w:ilvl w:val="0"/>
          <w:numId w:val="4"/>
        </w:numPr>
        <w:tabs>
          <w:tab w:val="left" w:pos="284"/>
        </w:tabs>
        <w:spacing w:after="120" w:line="240" w:lineRule="auto"/>
        <w:ind w:left="284" w:hanging="284"/>
        <w:rPr>
          <w:rFonts w:ascii="Calibri" w:eastAsia="Times New Roman" w:hAnsi="Calibri" w:cs="Calibri"/>
          <w:b/>
          <w:sz w:val="28"/>
          <w:szCs w:val="28"/>
          <w:lang w:eastAsia="pl-PL"/>
        </w:rPr>
      </w:pPr>
      <w:r w:rsidRPr="00EE7D4D">
        <w:rPr>
          <w:rFonts w:ascii="Calibri" w:eastAsia="Times New Roman" w:hAnsi="Calibri" w:cs="Calibri"/>
          <w:b/>
          <w:sz w:val="28"/>
          <w:szCs w:val="28"/>
          <w:lang w:eastAsia="pl-PL"/>
        </w:rPr>
        <w:t>Istotne warunki korzystania ze środowiska w fazie eksploatacji lub użytkowania przedsięwzięcia, ze szczególnym uwzględnieniem konieczności ochrony cennych wartości przyrodniczych, zasobów naturalnych i zabytków oraz ograniczenia uciążliwości dla terenów sąsiednich:</w:t>
      </w:r>
    </w:p>
    <w:p w14:paraId="4AF5F33B" w14:textId="77777777" w:rsidR="00EE7D4D" w:rsidRPr="00EE7D4D" w:rsidRDefault="00EE7D4D">
      <w:pPr>
        <w:numPr>
          <w:ilvl w:val="0"/>
          <w:numId w:val="5"/>
        </w:numPr>
        <w:spacing w:after="120" w:line="240" w:lineRule="auto"/>
        <w:ind w:left="851" w:hanging="502"/>
        <w:rPr>
          <w:rFonts w:ascii="Calibri" w:eastAsia="Times New Roman" w:hAnsi="Calibri" w:cs="Calibri"/>
          <w:bCs/>
          <w:sz w:val="28"/>
          <w:szCs w:val="28"/>
          <w:lang w:eastAsia="pl-PL"/>
        </w:rPr>
      </w:pPr>
      <w:r w:rsidRPr="00EE7D4D">
        <w:rPr>
          <w:rFonts w:ascii="Calibri" w:eastAsia="Times New Roman" w:hAnsi="Calibri" w:cs="Calibri"/>
          <w:bCs/>
          <w:sz w:val="28"/>
          <w:szCs w:val="28"/>
          <w:lang w:eastAsia="pl-PL"/>
        </w:rPr>
        <w:t>na terenie gospodarstwa rolnego utrzymywać obsadę bydła mlecznego nie większą niż 134,45 DJP;</w:t>
      </w:r>
    </w:p>
    <w:p w14:paraId="5880F460" w14:textId="77777777" w:rsidR="00EE7D4D" w:rsidRPr="00EE7D4D" w:rsidRDefault="00EE7D4D">
      <w:pPr>
        <w:numPr>
          <w:ilvl w:val="0"/>
          <w:numId w:val="5"/>
        </w:numPr>
        <w:spacing w:after="120" w:line="240" w:lineRule="auto"/>
        <w:ind w:left="851" w:hanging="488"/>
        <w:rPr>
          <w:rFonts w:ascii="Calibri" w:eastAsia="Times New Roman" w:hAnsi="Calibri" w:cs="Calibri"/>
          <w:bCs/>
          <w:sz w:val="28"/>
          <w:szCs w:val="28"/>
          <w:lang w:eastAsia="pl-PL"/>
        </w:rPr>
      </w:pPr>
      <w:r w:rsidRPr="00EE7D4D">
        <w:rPr>
          <w:rFonts w:ascii="Calibri" w:eastAsia="Times New Roman" w:hAnsi="Calibri" w:cs="Calibri"/>
          <w:bCs/>
          <w:sz w:val="28"/>
          <w:szCs w:val="28"/>
          <w:lang w:eastAsia="pl-PL"/>
        </w:rPr>
        <w:t xml:space="preserve">w rozbudowanej części obory nr 1 na głębokiej ściółce, luzem bez legowisk utrzymywać: </w:t>
      </w:r>
    </w:p>
    <w:p w14:paraId="662BEDD3" w14:textId="77777777" w:rsidR="00EE7D4D" w:rsidRPr="00EE7D4D" w:rsidRDefault="00EE7D4D">
      <w:pPr>
        <w:numPr>
          <w:ilvl w:val="0"/>
          <w:numId w:val="6"/>
        </w:numPr>
        <w:spacing w:after="120" w:line="240" w:lineRule="auto"/>
        <w:ind w:left="993" w:hanging="357"/>
        <w:rPr>
          <w:rFonts w:ascii="Calibri" w:eastAsia="Times New Roman" w:hAnsi="Calibri" w:cs="Calibri"/>
          <w:bCs/>
          <w:sz w:val="28"/>
          <w:szCs w:val="28"/>
          <w:lang w:eastAsia="pl-PL"/>
        </w:rPr>
      </w:pPr>
      <w:r w:rsidRPr="00EE7D4D">
        <w:rPr>
          <w:rFonts w:ascii="Calibri" w:eastAsia="Times New Roman" w:hAnsi="Calibri" w:cs="Calibri"/>
          <w:bCs/>
          <w:sz w:val="28"/>
          <w:szCs w:val="28"/>
          <w:lang w:eastAsia="pl-PL"/>
        </w:rPr>
        <w:t>w pięciu kojcach o powierzchni nie większej niż 51,33 m</w:t>
      </w:r>
      <w:r w:rsidRPr="00EE7D4D">
        <w:rPr>
          <w:rFonts w:ascii="Calibri" w:eastAsia="Times New Roman" w:hAnsi="Calibri" w:cs="Calibri"/>
          <w:bCs/>
          <w:sz w:val="28"/>
          <w:szCs w:val="28"/>
          <w:vertAlign w:val="superscript"/>
          <w:lang w:eastAsia="pl-PL"/>
        </w:rPr>
        <w:t>2</w:t>
      </w:r>
      <w:r w:rsidRPr="00EE7D4D">
        <w:rPr>
          <w:rFonts w:ascii="Calibri" w:eastAsia="Times New Roman" w:hAnsi="Calibri" w:cs="Calibri"/>
          <w:bCs/>
          <w:sz w:val="28"/>
          <w:szCs w:val="28"/>
          <w:lang w:eastAsia="pl-PL"/>
        </w:rPr>
        <w:t xml:space="preserve"> każdy po 11 krów mlecznych,</w:t>
      </w:r>
    </w:p>
    <w:p w14:paraId="3E4FA785" w14:textId="77777777" w:rsidR="00EE7D4D" w:rsidRPr="00EE7D4D" w:rsidRDefault="00EE7D4D">
      <w:pPr>
        <w:numPr>
          <w:ilvl w:val="0"/>
          <w:numId w:val="6"/>
        </w:numPr>
        <w:spacing w:after="120" w:line="240" w:lineRule="auto"/>
        <w:ind w:left="993" w:hanging="357"/>
        <w:rPr>
          <w:rFonts w:ascii="Calibri" w:eastAsia="Times New Roman" w:hAnsi="Calibri" w:cs="Calibri"/>
          <w:bCs/>
          <w:sz w:val="28"/>
          <w:szCs w:val="28"/>
          <w:lang w:eastAsia="pl-PL"/>
        </w:rPr>
      </w:pPr>
      <w:r w:rsidRPr="00EE7D4D">
        <w:rPr>
          <w:rFonts w:ascii="Calibri" w:eastAsia="Calibri" w:hAnsi="Calibri" w:cs="Times New Roman"/>
          <w:kern w:val="2"/>
          <w:sz w:val="28"/>
          <w:szCs w:val="28"/>
          <w14:ligatures w14:val="standardContextual"/>
        </w:rPr>
        <w:t>w dwóch kojcach o powierzchni nie większej niż 22,09 m</w:t>
      </w:r>
      <w:r w:rsidRPr="00EE7D4D">
        <w:rPr>
          <w:rFonts w:ascii="Calibri" w:eastAsia="Calibri" w:hAnsi="Calibri" w:cs="Times New Roman"/>
          <w:kern w:val="2"/>
          <w:sz w:val="28"/>
          <w:szCs w:val="28"/>
          <w:vertAlign w:val="superscript"/>
          <w14:ligatures w14:val="standardContextual"/>
        </w:rPr>
        <w:t>2</w:t>
      </w:r>
      <w:r w:rsidRPr="00EE7D4D">
        <w:rPr>
          <w:rFonts w:ascii="Calibri" w:eastAsia="Calibri" w:hAnsi="Calibri" w:cs="Times New Roman"/>
          <w:kern w:val="2"/>
          <w:sz w:val="28"/>
          <w:szCs w:val="28"/>
          <w14:ligatures w14:val="standardContextual"/>
        </w:rPr>
        <w:t xml:space="preserve"> każdy po 10 jałówek powyżej roku życia</w:t>
      </w:r>
      <w:r w:rsidRPr="00EE7D4D">
        <w:rPr>
          <w:rFonts w:ascii="Calibri" w:eastAsia="Times New Roman" w:hAnsi="Calibri" w:cs="Calibri"/>
          <w:bCs/>
          <w:sz w:val="28"/>
          <w:szCs w:val="28"/>
          <w:lang w:eastAsia="pl-PL"/>
        </w:rPr>
        <w:t>;</w:t>
      </w:r>
    </w:p>
    <w:p w14:paraId="10DA7A6D" w14:textId="77777777" w:rsidR="00EE7D4D" w:rsidRPr="00EE7D4D" w:rsidRDefault="00EE7D4D">
      <w:pPr>
        <w:numPr>
          <w:ilvl w:val="0"/>
          <w:numId w:val="5"/>
        </w:numPr>
        <w:spacing w:after="120" w:line="240" w:lineRule="auto"/>
        <w:ind w:left="851" w:hanging="502"/>
        <w:rPr>
          <w:rFonts w:ascii="Calibri" w:eastAsia="Times New Roman" w:hAnsi="Calibri" w:cs="Calibri"/>
          <w:bCs/>
          <w:sz w:val="28"/>
          <w:szCs w:val="28"/>
          <w:lang w:eastAsia="pl-PL"/>
        </w:rPr>
      </w:pPr>
      <w:r w:rsidRPr="00EE7D4D">
        <w:rPr>
          <w:rFonts w:ascii="Calibri" w:eastAsia="Times New Roman" w:hAnsi="Calibri" w:cs="Calibri"/>
          <w:bCs/>
          <w:sz w:val="28"/>
          <w:szCs w:val="28"/>
          <w:lang w:eastAsia="pl-PL"/>
        </w:rPr>
        <w:t>łącznie w oborze nr 1 utrzymywać nie więcej niż 126,75 DJP bydła mlecznego;</w:t>
      </w:r>
    </w:p>
    <w:p w14:paraId="28976AA9" w14:textId="77777777" w:rsidR="00EE7D4D" w:rsidRPr="00EE7D4D" w:rsidRDefault="00EE7D4D">
      <w:pPr>
        <w:numPr>
          <w:ilvl w:val="0"/>
          <w:numId w:val="5"/>
        </w:numPr>
        <w:spacing w:after="120" w:line="240" w:lineRule="auto"/>
        <w:ind w:left="851" w:hanging="502"/>
        <w:rPr>
          <w:rFonts w:ascii="Calibri" w:eastAsia="Times New Roman" w:hAnsi="Calibri" w:cs="Calibri"/>
          <w:bCs/>
          <w:sz w:val="28"/>
          <w:szCs w:val="28"/>
          <w:lang w:eastAsia="pl-PL"/>
        </w:rPr>
      </w:pPr>
      <w:r w:rsidRPr="00EE7D4D">
        <w:rPr>
          <w:rFonts w:ascii="Calibri" w:eastAsia="Times New Roman" w:hAnsi="Calibri" w:cs="Calibri"/>
          <w:bCs/>
          <w:sz w:val="28"/>
          <w:szCs w:val="28"/>
          <w:lang w:eastAsia="pl-PL"/>
        </w:rPr>
        <w:t>obiekty inwentarskie utrzymywać w czystości. W oborach zaprojektować sprawny system wentylacji zapewniającej odpowiednią temperaturę i wilgotność wewnątrz;</w:t>
      </w:r>
    </w:p>
    <w:p w14:paraId="53E39EAC" w14:textId="77777777" w:rsidR="00EE7D4D" w:rsidRPr="00EE7D4D" w:rsidRDefault="00EE7D4D">
      <w:pPr>
        <w:numPr>
          <w:ilvl w:val="0"/>
          <w:numId w:val="5"/>
        </w:numPr>
        <w:spacing w:after="120" w:line="240" w:lineRule="auto"/>
        <w:ind w:left="851" w:hanging="491"/>
        <w:rPr>
          <w:rFonts w:ascii="Calibri" w:eastAsia="Times New Roman" w:hAnsi="Calibri" w:cs="Calibri"/>
          <w:bCs/>
          <w:sz w:val="28"/>
          <w:szCs w:val="28"/>
          <w:lang w:eastAsia="pl-PL"/>
        </w:rPr>
      </w:pPr>
      <w:r w:rsidRPr="00EE7D4D">
        <w:rPr>
          <w:rFonts w:ascii="Calibri" w:eastAsia="Times New Roman" w:hAnsi="Calibri" w:cs="Calibri"/>
          <w:bCs/>
          <w:sz w:val="28"/>
          <w:szCs w:val="28"/>
          <w:lang w:eastAsia="pl-PL"/>
        </w:rPr>
        <w:t>pasze objętościowe przechowywać w szczelnych rękawach lub balotach;</w:t>
      </w:r>
    </w:p>
    <w:p w14:paraId="5E4B1F0C" w14:textId="77777777" w:rsidR="00EE7D4D" w:rsidRPr="00EE7D4D" w:rsidRDefault="00EE7D4D">
      <w:pPr>
        <w:numPr>
          <w:ilvl w:val="0"/>
          <w:numId w:val="5"/>
        </w:numPr>
        <w:spacing w:after="120" w:line="240" w:lineRule="auto"/>
        <w:ind w:left="851" w:hanging="491"/>
        <w:rPr>
          <w:rFonts w:ascii="Calibri" w:eastAsia="Times New Roman" w:hAnsi="Calibri" w:cs="Calibri"/>
          <w:bCs/>
          <w:sz w:val="28"/>
          <w:szCs w:val="28"/>
          <w:lang w:eastAsia="pl-PL"/>
        </w:rPr>
      </w:pPr>
      <w:r w:rsidRPr="00EE7D4D">
        <w:rPr>
          <w:rFonts w:ascii="Calibri" w:eastAsia="Times New Roman" w:hAnsi="Calibri" w:cs="Calibri"/>
          <w:bCs/>
          <w:sz w:val="28"/>
          <w:szCs w:val="28"/>
          <w:lang w:eastAsia="pl-PL"/>
        </w:rPr>
        <w:t>wodę na potrzeby przedsięwzięcia zapewnić z sieci wodociągowej;</w:t>
      </w:r>
    </w:p>
    <w:p w14:paraId="02F30527" w14:textId="77777777" w:rsidR="00EE7D4D" w:rsidRPr="00EE7D4D" w:rsidRDefault="00EE7D4D">
      <w:pPr>
        <w:numPr>
          <w:ilvl w:val="0"/>
          <w:numId w:val="5"/>
        </w:numPr>
        <w:spacing w:after="120" w:line="240" w:lineRule="auto"/>
        <w:ind w:left="851" w:hanging="491"/>
        <w:rPr>
          <w:rFonts w:ascii="Calibri" w:eastAsia="Times New Roman" w:hAnsi="Calibri" w:cs="Calibri"/>
          <w:bCs/>
          <w:sz w:val="28"/>
          <w:szCs w:val="28"/>
          <w:lang w:eastAsia="pl-PL"/>
        </w:rPr>
      </w:pPr>
      <w:r w:rsidRPr="00EE7D4D">
        <w:rPr>
          <w:rFonts w:ascii="Calibri" w:eastAsia="Times New Roman" w:hAnsi="Calibri" w:cs="Calibri"/>
          <w:bCs/>
          <w:sz w:val="28"/>
          <w:szCs w:val="28"/>
          <w:lang w:eastAsia="pl-PL"/>
        </w:rPr>
        <w:t>obiekty inwentarskie czyścić poprzez zamgławianie lub bielenie wapnem, natomiast dezynfekcję przeprowadzać poprzez zamgławianie, bez generowania ścieków;</w:t>
      </w:r>
    </w:p>
    <w:p w14:paraId="40194AF6" w14:textId="77777777" w:rsidR="00EE7D4D" w:rsidRPr="00EE7D4D" w:rsidRDefault="00EE7D4D">
      <w:pPr>
        <w:numPr>
          <w:ilvl w:val="0"/>
          <w:numId w:val="5"/>
        </w:numPr>
        <w:spacing w:before="120" w:after="120" w:line="240" w:lineRule="auto"/>
        <w:ind w:left="851" w:hanging="491"/>
        <w:rPr>
          <w:rFonts w:ascii="Calibri" w:eastAsia="Times New Roman" w:hAnsi="Calibri" w:cs="Calibri"/>
          <w:bCs/>
          <w:sz w:val="28"/>
          <w:szCs w:val="28"/>
          <w:lang w:eastAsia="pl-PL"/>
        </w:rPr>
      </w:pPr>
      <w:r w:rsidRPr="00EE7D4D">
        <w:rPr>
          <w:rFonts w:ascii="Calibri" w:eastAsia="Times New Roman" w:hAnsi="Calibri" w:cs="Calibri"/>
          <w:bCs/>
          <w:sz w:val="28"/>
          <w:szCs w:val="28"/>
          <w:lang w:eastAsia="pl-PL"/>
        </w:rPr>
        <w:lastRenderedPageBreak/>
        <w:t>ścieki przemysłowe powstające z mycia hali udojowej i urządzeń udojowych odprowadzać do gminnej kanalizacji sanitarnej;</w:t>
      </w:r>
    </w:p>
    <w:p w14:paraId="255D9623" w14:textId="77777777" w:rsidR="00EE7D4D" w:rsidRPr="00EE7D4D" w:rsidRDefault="00EE7D4D">
      <w:pPr>
        <w:numPr>
          <w:ilvl w:val="0"/>
          <w:numId w:val="5"/>
        </w:numPr>
        <w:spacing w:before="120" w:after="120" w:line="240" w:lineRule="auto"/>
        <w:ind w:left="851" w:hanging="491"/>
        <w:rPr>
          <w:rFonts w:ascii="Calibri" w:eastAsia="Times New Roman" w:hAnsi="Calibri" w:cs="Calibri"/>
          <w:bCs/>
          <w:sz w:val="28"/>
          <w:szCs w:val="28"/>
          <w:lang w:eastAsia="pl-PL"/>
        </w:rPr>
      </w:pPr>
      <w:r w:rsidRPr="00EE7D4D">
        <w:rPr>
          <w:rFonts w:ascii="Calibri" w:eastAsia="Times New Roman" w:hAnsi="Calibri" w:cs="Calibri"/>
          <w:bCs/>
          <w:sz w:val="28"/>
          <w:szCs w:val="28"/>
          <w:lang w:eastAsia="pl-PL"/>
        </w:rPr>
        <w:t>obornik magazynować na istniejącej płycie obornikowej. Gnojówkę z obiektów inwentarskich magazynować w zbiornikach bezodpływowych o pojemności umożliwiającej jej magazynowanie przez okres określony w przepisach szczegółowych;</w:t>
      </w:r>
    </w:p>
    <w:p w14:paraId="1255943C" w14:textId="77777777" w:rsidR="00EE7D4D" w:rsidRPr="00EE7D4D" w:rsidRDefault="00EE7D4D">
      <w:pPr>
        <w:numPr>
          <w:ilvl w:val="0"/>
          <w:numId w:val="5"/>
        </w:numPr>
        <w:spacing w:before="120" w:after="120" w:line="240" w:lineRule="auto"/>
        <w:ind w:left="851" w:hanging="491"/>
        <w:rPr>
          <w:rFonts w:ascii="Calibri" w:eastAsia="Times New Roman" w:hAnsi="Calibri" w:cs="Calibri"/>
          <w:bCs/>
          <w:sz w:val="28"/>
          <w:szCs w:val="28"/>
          <w:lang w:eastAsia="pl-PL"/>
        </w:rPr>
      </w:pPr>
      <w:r w:rsidRPr="00EE7D4D">
        <w:rPr>
          <w:rFonts w:ascii="Calibri" w:eastAsia="Times New Roman" w:hAnsi="Calibri" w:cs="Calibri"/>
          <w:bCs/>
          <w:sz w:val="28"/>
          <w:szCs w:val="28"/>
          <w:lang w:eastAsia="pl-PL"/>
        </w:rPr>
        <w:t>wywóz gnojówki prowadzić w sposób zhermetyzowany, z wykorzystaniem szczelnego złącza;</w:t>
      </w:r>
    </w:p>
    <w:p w14:paraId="78247B44" w14:textId="77777777" w:rsidR="00EE7D4D" w:rsidRPr="00EE7D4D" w:rsidRDefault="00EE7D4D">
      <w:pPr>
        <w:numPr>
          <w:ilvl w:val="0"/>
          <w:numId w:val="5"/>
        </w:numPr>
        <w:spacing w:before="120" w:after="120" w:line="240" w:lineRule="auto"/>
        <w:ind w:left="851" w:hanging="491"/>
        <w:rPr>
          <w:rFonts w:ascii="Calibri" w:eastAsia="Times New Roman" w:hAnsi="Calibri" w:cs="Calibri"/>
          <w:bCs/>
          <w:sz w:val="28"/>
          <w:szCs w:val="28"/>
          <w:lang w:eastAsia="pl-PL"/>
        </w:rPr>
      </w:pPr>
      <w:r w:rsidRPr="00EE7D4D">
        <w:rPr>
          <w:rFonts w:ascii="Calibri" w:eastAsia="Times New Roman" w:hAnsi="Calibri" w:cs="Calibri"/>
          <w:bCs/>
          <w:sz w:val="28"/>
          <w:szCs w:val="28"/>
          <w:lang w:eastAsia="pl-PL"/>
        </w:rPr>
        <w:t>nawozy naturalne powstające na terenie gospodarstwa rolnego wykorzystywać na gruntach własnych. Ewentualne nadwyżki przekazywać do zagospodarowania innym podmiotom na podstawie przepisów szczegółowych;</w:t>
      </w:r>
    </w:p>
    <w:p w14:paraId="2A99C5C2" w14:textId="77777777" w:rsidR="00EE7D4D" w:rsidRPr="00EE7D4D" w:rsidRDefault="00EE7D4D">
      <w:pPr>
        <w:numPr>
          <w:ilvl w:val="0"/>
          <w:numId w:val="5"/>
        </w:numPr>
        <w:spacing w:before="120" w:after="120" w:line="240" w:lineRule="auto"/>
        <w:ind w:left="851" w:hanging="491"/>
        <w:rPr>
          <w:rFonts w:ascii="Calibri" w:eastAsia="Times New Roman" w:hAnsi="Calibri" w:cs="Calibri"/>
          <w:bCs/>
          <w:sz w:val="28"/>
          <w:szCs w:val="28"/>
          <w:lang w:eastAsia="pl-PL"/>
        </w:rPr>
      </w:pPr>
      <w:r w:rsidRPr="00EE7D4D">
        <w:rPr>
          <w:rFonts w:ascii="Calibri" w:eastAsia="Times New Roman" w:hAnsi="Calibri" w:cs="Calibri"/>
          <w:bCs/>
          <w:sz w:val="28"/>
          <w:szCs w:val="28"/>
          <w:lang w:eastAsia="pl-PL"/>
        </w:rPr>
        <w:t>wody opadowe lub roztopowe z powierzchni dachowych oraz terenów utwardzonych odprowadzać na tereny biologicznie czynne wnioskodawcy, bez powodowania szkód na terenach sąsiednich;</w:t>
      </w:r>
    </w:p>
    <w:p w14:paraId="6844663C" w14:textId="77777777" w:rsidR="00EE7D4D" w:rsidRPr="00EE7D4D" w:rsidRDefault="00EE7D4D">
      <w:pPr>
        <w:numPr>
          <w:ilvl w:val="0"/>
          <w:numId w:val="5"/>
        </w:numPr>
        <w:spacing w:before="120" w:after="120" w:line="240" w:lineRule="auto"/>
        <w:ind w:left="851" w:hanging="491"/>
        <w:rPr>
          <w:rFonts w:ascii="Calibri" w:eastAsia="Times New Roman" w:hAnsi="Calibri" w:cs="Calibri"/>
          <w:bCs/>
          <w:sz w:val="28"/>
          <w:szCs w:val="28"/>
          <w:lang w:eastAsia="pl-PL"/>
        </w:rPr>
      </w:pPr>
      <w:r w:rsidRPr="00EE7D4D">
        <w:rPr>
          <w:rFonts w:ascii="Calibri" w:eastAsia="Times New Roman" w:hAnsi="Calibri" w:cs="Calibri"/>
          <w:bCs/>
          <w:sz w:val="28"/>
          <w:szCs w:val="28"/>
          <w:lang w:eastAsia="pl-PL"/>
        </w:rPr>
        <w:t>zwierzęta padłe i ubite z konieczności magazynować na terenie gospodarstwa rolnego w szczelnych workach foliowych umieszczonych w kontenerze na upadki, a następnie przekazywać podmiotom zewnętrznym zgodnie z przepisami szczegółowymi;</w:t>
      </w:r>
    </w:p>
    <w:p w14:paraId="231305EF" w14:textId="77777777" w:rsidR="00EE7D4D" w:rsidRPr="00EE7D4D" w:rsidRDefault="00EE7D4D">
      <w:pPr>
        <w:numPr>
          <w:ilvl w:val="0"/>
          <w:numId w:val="5"/>
        </w:numPr>
        <w:spacing w:before="120" w:after="120" w:line="240" w:lineRule="auto"/>
        <w:ind w:left="851" w:hanging="491"/>
        <w:rPr>
          <w:rFonts w:ascii="Calibri" w:eastAsia="Times New Roman" w:hAnsi="Calibri" w:cs="Calibri"/>
          <w:bCs/>
          <w:sz w:val="28"/>
          <w:szCs w:val="28"/>
          <w:lang w:eastAsia="pl-PL"/>
        </w:rPr>
      </w:pPr>
      <w:r w:rsidRPr="00EE7D4D">
        <w:rPr>
          <w:rFonts w:ascii="Calibri" w:eastAsia="Times New Roman" w:hAnsi="Calibri" w:cs="Calibri"/>
          <w:bCs/>
          <w:sz w:val="28"/>
          <w:szCs w:val="28"/>
          <w:lang w:eastAsia="pl-PL"/>
        </w:rPr>
        <w:t>ruch pojazdów po terenie gospodarstwa rolnego oraz wszelkie prace związane z funkcjonowaniem gospodarstwa rolnego ograniczyć do pory dnia, to jest godzin od 06.00 do 22.00;</w:t>
      </w:r>
    </w:p>
    <w:p w14:paraId="2BD75826" w14:textId="77777777" w:rsidR="00EE7D4D" w:rsidRPr="00EE7D4D" w:rsidRDefault="00EE7D4D">
      <w:pPr>
        <w:numPr>
          <w:ilvl w:val="0"/>
          <w:numId w:val="5"/>
        </w:numPr>
        <w:spacing w:before="120" w:after="120" w:line="240" w:lineRule="auto"/>
        <w:ind w:left="850" w:hanging="493"/>
        <w:rPr>
          <w:rFonts w:ascii="Calibri" w:eastAsia="Times New Roman" w:hAnsi="Calibri" w:cs="Calibri"/>
          <w:bCs/>
          <w:sz w:val="28"/>
          <w:szCs w:val="28"/>
          <w:lang w:eastAsia="pl-PL"/>
        </w:rPr>
      </w:pPr>
      <w:r w:rsidRPr="00EE7D4D">
        <w:rPr>
          <w:rFonts w:ascii="Calibri" w:eastAsia="Times New Roman" w:hAnsi="Calibri" w:cs="Calibri"/>
          <w:bCs/>
          <w:sz w:val="28"/>
          <w:szCs w:val="28"/>
          <w:lang w:eastAsia="pl-PL"/>
        </w:rPr>
        <w:t>wzdłuż wschodniej i zachodniej granicy przedmiotowej działki, na odcinku od 40 m do co najmniej 80 m mierzonym od frontu działki, zapewnić pas zieleni izolacyjnej o szerokości nie mniejszej niż 2 m, składającej się z drzew i krzewów zimozielonych, to jest zieleni wielopiętrowej, złożonej z gatunków o gęstym poszyciu, gwarantującej długotrwałe utrzymanie zieleni, odpornej na zanieczyszczenia, stanowiącej barierę funkcjonalną i optyczną oraz charakteryzującej się szybkim przyrostem. Do nasadzeń wykorzystać rodzime gatunki drzew i krzewów, w tym spośród następujących:</w:t>
      </w:r>
    </w:p>
    <w:p w14:paraId="7F5D77BA" w14:textId="77777777" w:rsidR="00EE7D4D" w:rsidRPr="00EE7D4D" w:rsidRDefault="00EE7D4D">
      <w:pPr>
        <w:numPr>
          <w:ilvl w:val="0"/>
          <w:numId w:val="10"/>
        </w:numPr>
        <w:spacing w:before="120" w:after="120" w:line="240" w:lineRule="auto"/>
        <w:ind w:left="1134" w:hanging="283"/>
        <w:rPr>
          <w:rFonts w:ascii="Calibri" w:eastAsia="Times New Roman" w:hAnsi="Calibri" w:cs="Calibri"/>
          <w:bCs/>
          <w:sz w:val="28"/>
          <w:szCs w:val="28"/>
          <w:lang w:eastAsia="pl-PL"/>
        </w:rPr>
      </w:pPr>
      <w:r w:rsidRPr="00EE7D4D">
        <w:rPr>
          <w:rFonts w:ascii="Calibri" w:eastAsia="Times New Roman" w:hAnsi="Calibri" w:cs="Calibri"/>
          <w:bCs/>
          <w:sz w:val="28"/>
          <w:szCs w:val="28"/>
          <w:lang w:eastAsia="pl-PL"/>
        </w:rPr>
        <w:t>piętro wyższe: Świerk pospolity (</w:t>
      </w:r>
      <w:r w:rsidRPr="00EE7D4D">
        <w:rPr>
          <w:rFonts w:ascii="Calibri" w:eastAsia="Times New Roman" w:hAnsi="Calibri" w:cs="Calibri"/>
          <w:bCs/>
          <w:i/>
          <w:iCs/>
          <w:sz w:val="28"/>
          <w:szCs w:val="28"/>
          <w:lang w:eastAsia="pl-PL"/>
        </w:rPr>
        <w:t>Picea abies</w:t>
      </w:r>
      <w:r w:rsidRPr="00EE7D4D">
        <w:rPr>
          <w:rFonts w:ascii="Calibri" w:eastAsia="Times New Roman" w:hAnsi="Calibri" w:cs="Calibri"/>
          <w:bCs/>
          <w:sz w:val="28"/>
          <w:szCs w:val="28"/>
          <w:lang w:eastAsia="pl-PL"/>
        </w:rPr>
        <w:t>), Sosna zwyczajna (</w:t>
      </w:r>
      <w:r w:rsidRPr="00EE7D4D">
        <w:rPr>
          <w:rFonts w:ascii="Calibri" w:eastAsia="Times New Roman" w:hAnsi="Calibri" w:cs="Calibri"/>
          <w:bCs/>
          <w:i/>
          <w:iCs/>
          <w:sz w:val="28"/>
          <w:szCs w:val="28"/>
          <w:lang w:eastAsia="pl-PL"/>
        </w:rPr>
        <w:t>Pinus sylvestris</w:t>
      </w:r>
      <w:r w:rsidRPr="00EE7D4D">
        <w:rPr>
          <w:rFonts w:ascii="Calibri" w:eastAsia="Times New Roman" w:hAnsi="Calibri" w:cs="Calibri"/>
          <w:bCs/>
          <w:sz w:val="28"/>
          <w:szCs w:val="28"/>
          <w:lang w:eastAsia="pl-PL"/>
        </w:rPr>
        <w:t>), Jodła pospolita (Abies alba),</w:t>
      </w:r>
    </w:p>
    <w:p w14:paraId="3FC7172D" w14:textId="77777777" w:rsidR="00EE7D4D" w:rsidRPr="00EE7D4D" w:rsidRDefault="00EE7D4D">
      <w:pPr>
        <w:numPr>
          <w:ilvl w:val="0"/>
          <w:numId w:val="10"/>
        </w:numPr>
        <w:spacing w:before="120" w:after="120" w:line="240" w:lineRule="auto"/>
        <w:ind w:left="1134" w:hanging="283"/>
        <w:rPr>
          <w:rFonts w:ascii="Calibri" w:eastAsia="Times New Roman" w:hAnsi="Calibri" w:cs="Calibri"/>
          <w:bCs/>
          <w:sz w:val="28"/>
          <w:szCs w:val="28"/>
          <w:lang w:eastAsia="pl-PL"/>
        </w:rPr>
      </w:pPr>
      <w:r w:rsidRPr="00EE7D4D">
        <w:rPr>
          <w:rFonts w:ascii="Calibri" w:eastAsia="Times New Roman" w:hAnsi="Calibri" w:cs="Calibri"/>
          <w:bCs/>
          <w:sz w:val="28"/>
          <w:szCs w:val="28"/>
          <w:lang w:eastAsia="pl-PL"/>
        </w:rPr>
        <w:t>piętro niższe: Cis pospolity (</w:t>
      </w:r>
      <w:r w:rsidRPr="00EE7D4D">
        <w:rPr>
          <w:rFonts w:ascii="Calibri" w:eastAsia="Times New Roman" w:hAnsi="Calibri" w:cs="Calibri"/>
          <w:bCs/>
          <w:i/>
          <w:iCs/>
          <w:sz w:val="28"/>
          <w:szCs w:val="28"/>
          <w:lang w:eastAsia="pl-PL"/>
        </w:rPr>
        <w:t>Taxus baccata</w:t>
      </w:r>
      <w:r w:rsidRPr="00EE7D4D">
        <w:rPr>
          <w:rFonts w:ascii="Calibri" w:eastAsia="Times New Roman" w:hAnsi="Calibri" w:cs="Calibri"/>
          <w:bCs/>
          <w:sz w:val="28"/>
          <w:szCs w:val="28"/>
          <w:lang w:eastAsia="pl-PL"/>
        </w:rPr>
        <w:t>), Jałowiec pospolity (</w:t>
      </w:r>
      <w:r w:rsidRPr="00EE7D4D">
        <w:rPr>
          <w:rFonts w:ascii="Calibri" w:eastAsia="Times New Roman" w:hAnsi="Calibri" w:cs="Calibri"/>
          <w:bCs/>
          <w:i/>
          <w:iCs/>
          <w:sz w:val="28"/>
          <w:szCs w:val="28"/>
          <w:lang w:eastAsia="pl-PL"/>
        </w:rPr>
        <w:t>Juniperus communis</w:t>
      </w:r>
      <w:r w:rsidRPr="00EE7D4D">
        <w:rPr>
          <w:rFonts w:ascii="Calibri" w:eastAsia="Times New Roman" w:hAnsi="Calibri" w:cs="Calibri"/>
          <w:bCs/>
          <w:sz w:val="28"/>
          <w:szCs w:val="28"/>
          <w:lang w:eastAsia="pl-PL"/>
        </w:rPr>
        <w:t>).</w:t>
      </w:r>
    </w:p>
    <w:p w14:paraId="53D0F5E2" w14:textId="77777777" w:rsidR="00EE7D4D" w:rsidRPr="00EE7D4D" w:rsidRDefault="00EE7D4D">
      <w:pPr>
        <w:numPr>
          <w:ilvl w:val="0"/>
          <w:numId w:val="4"/>
        </w:numPr>
        <w:tabs>
          <w:tab w:val="left" w:pos="284"/>
        </w:tabs>
        <w:spacing w:after="120" w:line="240" w:lineRule="auto"/>
        <w:ind w:left="284" w:hanging="284"/>
        <w:contextualSpacing/>
        <w:rPr>
          <w:rFonts w:ascii="Calibri" w:eastAsia="Times New Roman" w:hAnsi="Calibri" w:cs="Calibri"/>
          <w:b/>
          <w:sz w:val="28"/>
          <w:szCs w:val="28"/>
          <w:lang w:eastAsia="pl-PL"/>
        </w:rPr>
      </w:pPr>
      <w:r w:rsidRPr="00EE7D4D">
        <w:rPr>
          <w:rFonts w:ascii="Calibri" w:eastAsia="Times New Roman" w:hAnsi="Calibri" w:cs="Calibri"/>
          <w:b/>
          <w:sz w:val="28"/>
          <w:szCs w:val="28"/>
          <w:lang w:eastAsia="pl-PL"/>
        </w:rPr>
        <w:lastRenderedPageBreak/>
        <w:t>Wymagania dotyczące ochrony środowiska konieczne do uwzględnienia w dokumentacji wymaganej do wydania decyzji, o których mowa w art. 72 ust. 1, w szczególności w projekcie zagospodarowania działki lub terenu lub projekcie architektoniczno-budowlanym, w przypadku decyzji, o których mowa w art. 72 ust. 1 pkt 1 u.o.o.ś.:</w:t>
      </w:r>
    </w:p>
    <w:p w14:paraId="1275C575" w14:textId="77777777" w:rsidR="00EE7D4D" w:rsidRPr="00EE7D4D" w:rsidRDefault="00EE7D4D" w:rsidP="001E1EC1">
      <w:pPr>
        <w:spacing w:after="120" w:line="240" w:lineRule="auto"/>
        <w:ind w:left="284"/>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uwzględnić rozwiązania wskazane w ust. 2 decyzji.</w:t>
      </w:r>
    </w:p>
    <w:p w14:paraId="4B24D1A0" w14:textId="77777777" w:rsidR="00EE7D4D" w:rsidRPr="00EE7D4D" w:rsidRDefault="00EE7D4D">
      <w:pPr>
        <w:numPr>
          <w:ilvl w:val="0"/>
          <w:numId w:val="4"/>
        </w:numPr>
        <w:tabs>
          <w:tab w:val="left" w:pos="284"/>
        </w:tabs>
        <w:spacing w:after="120" w:line="240" w:lineRule="auto"/>
        <w:ind w:left="284" w:hanging="284"/>
        <w:contextualSpacing/>
        <w:rPr>
          <w:rFonts w:ascii="Calibri" w:eastAsia="Times New Roman" w:hAnsi="Calibri" w:cs="Calibri"/>
          <w:sz w:val="28"/>
          <w:szCs w:val="28"/>
          <w:lang w:eastAsia="pl-PL"/>
        </w:rPr>
      </w:pPr>
      <w:r w:rsidRPr="00EE7D4D">
        <w:rPr>
          <w:rFonts w:ascii="Calibri" w:eastAsia="Times New Roman" w:hAnsi="Calibri" w:cs="Calibri"/>
          <w:b/>
          <w:sz w:val="28"/>
          <w:szCs w:val="28"/>
          <w:lang w:eastAsia="pl-PL"/>
        </w:rPr>
        <w:t>Wymogi w zakresie przeciwdziałania skutkom awarii przemysłowych, w odniesieniu do przedsięwzięć zaliczanych do zakładów stwarzających zagrożenie wystąpienia poważnych awarii w rozumieniu ustawy z dnia 27 kwietnia 2001 r. - Prawo ochrony środowiska:</w:t>
      </w:r>
      <w:r w:rsidRPr="00EE7D4D">
        <w:rPr>
          <w:rFonts w:ascii="Calibri" w:eastAsia="Times New Roman" w:hAnsi="Calibri" w:cs="Calibri"/>
          <w:sz w:val="28"/>
          <w:szCs w:val="28"/>
          <w:lang w:eastAsia="pl-PL"/>
        </w:rPr>
        <w:t xml:space="preserve"> </w:t>
      </w:r>
    </w:p>
    <w:p w14:paraId="5E8AC2D6" w14:textId="77777777" w:rsidR="00EE7D4D" w:rsidRPr="00EE7D4D" w:rsidRDefault="00EE7D4D" w:rsidP="001E1EC1">
      <w:pPr>
        <w:spacing w:after="120" w:line="240" w:lineRule="auto"/>
        <w:ind w:left="284"/>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przedmiotowe przedsięwzięcie nie będzie zaliczane do zakładów stwarzających zagrożenie wystąpienia poważnych awarii.</w:t>
      </w:r>
    </w:p>
    <w:p w14:paraId="0C61722C" w14:textId="77777777" w:rsidR="00EE7D4D" w:rsidRPr="00EE7D4D" w:rsidRDefault="00EE7D4D">
      <w:pPr>
        <w:numPr>
          <w:ilvl w:val="0"/>
          <w:numId w:val="4"/>
        </w:numPr>
        <w:tabs>
          <w:tab w:val="left" w:pos="284"/>
        </w:tabs>
        <w:spacing w:after="120" w:line="240" w:lineRule="auto"/>
        <w:ind w:left="284" w:hanging="284"/>
        <w:contextualSpacing/>
        <w:rPr>
          <w:rFonts w:ascii="Calibri" w:eastAsia="Times New Roman" w:hAnsi="Calibri" w:cs="Calibri"/>
          <w:sz w:val="28"/>
          <w:szCs w:val="28"/>
          <w:lang w:eastAsia="pl-PL"/>
        </w:rPr>
      </w:pPr>
      <w:r w:rsidRPr="00EE7D4D">
        <w:rPr>
          <w:rFonts w:ascii="Calibri" w:eastAsia="Times New Roman" w:hAnsi="Calibri" w:cs="Calibri"/>
          <w:b/>
          <w:sz w:val="28"/>
          <w:szCs w:val="28"/>
          <w:lang w:eastAsia="pl-PL"/>
        </w:rPr>
        <w:t>Wymogi w zakresie ograniczania transgranicznego oddziaływania na środowisko w odniesieniu do przedsięwzięć, dla których przeprowadzono postępowanie dotyczące transgranicznego oddziaływania na środowisko:</w:t>
      </w:r>
      <w:r w:rsidRPr="00EE7D4D">
        <w:rPr>
          <w:rFonts w:ascii="Calibri" w:eastAsia="Times New Roman" w:hAnsi="Calibri" w:cs="Calibri"/>
          <w:sz w:val="28"/>
          <w:szCs w:val="28"/>
          <w:lang w:eastAsia="pl-PL"/>
        </w:rPr>
        <w:t xml:space="preserve"> </w:t>
      </w:r>
    </w:p>
    <w:p w14:paraId="1165C114" w14:textId="77777777" w:rsidR="00EE7D4D" w:rsidRPr="00EE7D4D" w:rsidRDefault="00EE7D4D" w:rsidP="001E1EC1">
      <w:pPr>
        <w:spacing w:after="120" w:line="240" w:lineRule="auto"/>
        <w:ind w:left="284"/>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przedsięwzięcie nie oddziałuje transgranicznie.</w:t>
      </w:r>
    </w:p>
    <w:p w14:paraId="07ACCD7F" w14:textId="77777777" w:rsidR="00EE7D4D" w:rsidRPr="00EE7D4D" w:rsidRDefault="00EE7D4D">
      <w:pPr>
        <w:numPr>
          <w:ilvl w:val="0"/>
          <w:numId w:val="4"/>
        </w:numPr>
        <w:tabs>
          <w:tab w:val="left" w:pos="284"/>
        </w:tabs>
        <w:spacing w:after="120" w:line="240" w:lineRule="auto"/>
        <w:ind w:left="284" w:hanging="284"/>
        <w:contextualSpacing/>
        <w:rPr>
          <w:rFonts w:ascii="Calibri" w:eastAsia="Times New Roman" w:hAnsi="Calibri" w:cs="Calibri"/>
          <w:sz w:val="28"/>
          <w:szCs w:val="28"/>
          <w:lang w:eastAsia="pl-PL"/>
        </w:rPr>
      </w:pPr>
      <w:r w:rsidRPr="00EE7D4D">
        <w:rPr>
          <w:rFonts w:ascii="Calibri" w:eastAsia="Times New Roman" w:hAnsi="Calibri" w:cs="Calibri"/>
          <w:b/>
          <w:sz w:val="28"/>
          <w:szCs w:val="28"/>
          <w:lang w:eastAsia="pl-PL"/>
        </w:rPr>
        <w:t>Gotowość instalacji do wychwytywania dwutlenku węgla w przypadku instalacji do spalania paliw w celu wytwarzania energii elektrycznej, o elektrycznej mocy znamionowej nie mniejszej niż 300 MW:</w:t>
      </w:r>
    </w:p>
    <w:p w14:paraId="0B544194" w14:textId="77777777" w:rsidR="00EE7D4D" w:rsidRPr="00EE7D4D" w:rsidRDefault="00EE7D4D" w:rsidP="001E1EC1">
      <w:pPr>
        <w:autoSpaceDE w:val="0"/>
        <w:autoSpaceDN w:val="0"/>
        <w:adjustRightInd w:val="0"/>
        <w:spacing w:after="120" w:line="240" w:lineRule="auto"/>
        <w:ind w:left="284"/>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przedsięwzięcie nie będzie wyposażone w instalację do spalania paliw w celu wytwarzania energii elektrycznej;</w:t>
      </w:r>
    </w:p>
    <w:p w14:paraId="3A648656" w14:textId="77777777" w:rsidR="00EE7D4D" w:rsidRPr="00EE7D4D" w:rsidRDefault="00EE7D4D" w:rsidP="00EE7D4D">
      <w:pPr>
        <w:tabs>
          <w:tab w:val="left" w:pos="280"/>
        </w:tabs>
        <w:autoSpaceDE w:val="0"/>
        <w:autoSpaceDN w:val="0"/>
        <w:adjustRightInd w:val="0"/>
        <w:spacing w:after="120" w:line="240" w:lineRule="auto"/>
        <w:ind w:left="284" w:hanging="284"/>
        <w:jc w:val="center"/>
        <w:rPr>
          <w:rFonts w:ascii="Calibri" w:eastAsia="Times New Roman" w:hAnsi="Calibri" w:cs="Calibri"/>
          <w:sz w:val="20"/>
          <w:szCs w:val="20"/>
          <w:lang w:eastAsia="pl-PL"/>
        </w:rPr>
      </w:pPr>
    </w:p>
    <w:p w14:paraId="3D82543B" w14:textId="77777777" w:rsidR="00EE7D4D" w:rsidRPr="00EE7D4D" w:rsidRDefault="00EE7D4D" w:rsidP="00EE7D4D">
      <w:pPr>
        <w:tabs>
          <w:tab w:val="left" w:pos="280"/>
        </w:tabs>
        <w:autoSpaceDE w:val="0"/>
        <w:autoSpaceDN w:val="0"/>
        <w:adjustRightInd w:val="0"/>
        <w:spacing w:after="120" w:line="240" w:lineRule="auto"/>
        <w:ind w:left="284" w:hanging="284"/>
        <w:jc w:val="center"/>
        <w:rPr>
          <w:rFonts w:ascii="Calibri" w:eastAsia="Times New Roman" w:hAnsi="Calibri" w:cs="Calibri"/>
          <w:b/>
          <w:bCs/>
          <w:sz w:val="28"/>
          <w:szCs w:val="28"/>
          <w:lang w:eastAsia="pl-PL"/>
        </w:rPr>
      </w:pPr>
      <w:r w:rsidRPr="00EE7D4D">
        <w:rPr>
          <w:rFonts w:ascii="Calibri" w:eastAsia="Times New Roman" w:hAnsi="Calibri" w:cs="Calibri"/>
          <w:b/>
          <w:bCs/>
          <w:sz w:val="28"/>
          <w:szCs w:val="28"/>
          <w:lang w:eastAsia="pl-PL"/>
        </w:rPr>
        <w:t>stwierdzam konieczność unikania, zapobiegania, ograniczania oraz monitorowania oddziaływania przedsięwzięcia na środowisko, w zakresie:</w:t>
      </w:r>
    </w:p>
    <w:p w14:paraId="4BE61DBF" w14:textId="77777777" w:rsidR="00EE7D4D" w:rsidRPr="00EE7D4D" w:rsidRDefault="00EE7D4D">
      <w:pPr>
        <w:numPr>
          <w:ilvl w:val="0"/>
          <w:numId w:val="2"/>
        </w:numPr>
        <w:autoSpaceDE w:val="0"/>
        <w:autoSpaceDN w:val="0"/>
        <w:adjustRightInd w:val="0"/>
        <w:spacing w:after="120" w:line="240" w:lineRule="auto"/>
        <w:ind w:left="284" w:hanging="284"/>
        <w:jc w:val="both"/>
        <w:rPr>
          <w:rFonts w:ascii="Calibri" w:eastAsia="Times New Roman" w:hAnsi="Calibri" w:cs="Calibri"/>
          <w:bCs/>
          <w:sz w:val="28"/>
          <w:szCs w:val="28"/>
          <w:lang w:eastAsia="pl-PL"/>
        </w:rPr>
      </w:pPr>
      <w:r w:rsidRPr="00EE7D4D">
        <w:rPr>
          <w:rFonts w:ascii="Calibri" w:eastAsia="Times New Roman" w:hAnsi="Calibri" w:cs="Calibri"/>
          <w:bCs/>
          <w:sz w:val="28"/>
          <w:szCs w:val="28"/>
          <w:lang w:eastAsia="pl-PL"/>
        </w:rPr>
        <w:t>emisji substancji zanieczyszczających do powietrza, w tym hałasu;</w:t>
      </w:r>
    </w:p>
    <w:p w14:paraId="560FF8B5" w14:textId="77777777" w:rsidR="00EE7D4D" w:rsidRPr="00EE7D4D" w:rsidRDefault="00EE7D4D">
      <w:pPr>
        <w:numPr>
          <w:ilvl w:val="0"/>
          <w:numId w:val="2"/>
        </w:numPr>
        <w:autoSpaceDE w:val="0"/>
        <w:autoSpaceDN w:val="0"/>
        <w:adjustRightInd w:val="0"/>
        <w:spacing w:after="120" w:line="240" w:lineRule="auto"/>
        <w:ind w:left="284" w:hanging="284"/>
        <w:jc w:val="both"/>
        <w:rPr>
          <w:rFonts w:ascii="Calibri" w:eastAsia="Times New Roman" w:hAnsi="Calibri" w:cs="Calibri"/>
          <w:bCs/>
          <w:sz w:val="28"/>
          <w:szCs w:val="28"/>
          <w:lang w:eastAsia="pl-PL"/>
        </w:rPr>
      </w:pPr>
      <w:r w:rsidRPr="00EE7D4D">
        <w:rPr>
          <w:rFonts w:ascii="Calibri" w:eastAsia="Times New Roman" w:hAnsi="Calibri" w:cs="Calibri"/>
          <w:bCs/>
          <w:sz w:val="28"/>
          <w:szCs w:val="28"/>
          <w:lang w:eastAsia="pl-PL"/>
        </w:rPr>
        <w:t>emisji zanieczyszczeń do środowiska gruntowo-wodnego;</w:t>
      </w:r>
    </w:p>
    <w:p w14:paraId="3DC52D2B" w14:textId="77777777" w:rsidR="00EE7D4D" w:rsidRPr="00EE7D4D" w:rsidRDefault="00EE7D4D">
      <w:pPr>
        <w:numPr>
          <w:ilvl w:val="0"/>
          <w:numId w:val="2"/>
        </w:numPr>
        <w:autoSpaceDE w:val="0"/>
        <w:autoSpaceDN w:val="0"/>
        <w:adjustRightInd w:val="0"/>
        <w:spacing w:after="120" w:line="240" w:lineRule="auto"/>
        <w:ind w:left="284" w:hanging="284"/>
        <w:jc w:val="both"/>
        <w:rPr>
          <w:rFonts w:ascii="Calibri" w:eastAsia="Times New Roman" w:hAnsi="Calibri" w:cs="Calibri"/>
          <w:bCs/>
          <w:sz w:val="28"/>
          <w:szCs w:val="28"/>
          <w:lang w:eastAsia="pl-PL"/>
        </w:rPr>
      </w:pPr>
      <w:r w:rsidRPr="00EE7D4D">
        <w:rPr>
          <w:rFonts w:ascii="Calibri" w:eastAsia="Times New Roman" w:hAnsi="Calibri" w:cs="Calibri"/>
          <w:sz w:val="28"/>
          <w:szCs w:val="28"/>
          <w:lang w:eastAsia="pl-PL"/>
        </w:rPr>
        <w:t xml:space="preserve">gospodarki odpadami </w:t>
      </w:r>
    </w:p>
    <w:p w14:paraId="5062964C" w14:textId="77777777" w:rsidR="00EE7D4D" w:rsidRPr="00EE7D4D" w:rsidRDefault="00EE7D4D" w:rsidP="00EE7D4D">
      <w:pPr>
        <w:autoSpaceDE w:val="0"/>
        <w:autoSpaceDN w:val="0"/>
        <w:adjustRightInd w:val="0"/>
        <w:spacing w:after="120" w:line="240" w:lineRule="auto"/>
        <w:rPr>
          <w:rFonts w:ascii="Calibri" w:eastAsia="Times New Roman" w:hAnsi="Calibri" w:cs="Calibri"/>
          <w:bCs/>
          <w:sz w:val="28"/>
          <w:szCs w:val="28"/>
          <w:lang w:eastAsia="pl-PL"/>
        </w:rPr>
      </w:pPr>
      <w:r w:rsidRPr="00EE7D4D">
        <w:rPr>
          <w:rFonts w:ascii="Calibri" w:eastAsia="Times New Roman" w:hAnsi="Calibri" w:cs="Calibri"/>
          <w:sz w:val="28"/>
          <w:szCs w:val="28"/>
          <w:lang w:eastAsia="pl-PL"/>
        </w:rPr>
        <w:t>- zgodnie z warunkami określonymi w ust. 2 decyzji i przepisach szczegółowych;</w:t>
      </w:r>
    </w:p>
    <w:p w14:paraId="712CCCFB" w14:textId="77777777" w:rsidR="00EE7D4D" w:rsidRPr="00EE7D4D" w:rsidRDefault="00EE7D4D" w:rsidP="00EE7D4D">
      <w:pPr>
        <w:tabs>
          <w:tab w:val="left" w:pos="284"/>
        </w:tabs>
        <w:autoSpaceDE w:val="0"/>
        <w:autoSpaceDN w:val="0"/>
        <w:adjustRightInd w:val="0"/>
        <w:spacing w:after="120" w:line="240" w:lineRule="auto"/>
        <w:ind w:left="284" w:hanging="284"/>
        <w:jc w:val="center"/>
        <w:rPr>
          <w:rFonts w:ascii="Calibri" w:eastAsia="Times New Roman" w:hAnsi="Calibri" w:cs="Calibri"/>
          <w:bCs/>
          <w:sz w:val="20"/>
          <w:szCs w:val="20"/>
          <w:lang w:eastAsia="pl-PL"/>
        </w:rPr>
      </w:pPr>
    </w:p>
    <w:p w14:paraId="5EC09E2F" w14:textId="77777777" w:rsidR="00EE7D4D" w:rsidRPr="00EE7D4D" w:rsidRDefault="00EE7D4D" w:rsidP="00EE7D4D">
      <w:pPr>
        <w:tabs>
          <w:tab w:val="left" w:pos="284"/>
        </w:tabs>
        <w:autoSpaceDE w:val="0"/>
        <w:autoSpaceDN w:val="0"/>
        <w:adjustRightInd w:val="0"/>
        <w:spacing w:after="120" w:line="240" w:lineRule="auto"/>
        <w:ind w:left="284" w:hanging="284"/>
        <w:jc w:val="center"/>
        <w:rPr>
          <w:rFonts w:ascii="Calibri" w:eastAsia="Times New Roman" w:hAnsi="Calibri" w:cs="Calibri"/>
          <w:b/>
          <w:bCs/>
          <w:sz w:val="28"/>
          <w:szCs w:val="28"/>
          <w:lang w:eastAsia="pl-PL"/>
        </w:rPr>
      </w:pPr>
      <w:r w:rsidRPr="00EE7D4D">
        <w:rPr>
          <w:rFonts w:ascii="Calibri" w:eastAsia="Times New Roman" w:hAnsi="Calibri" w:cs="Calibri"/>
          <w:b/>
          <w:sz w:val="28"/>
          <w:szCs w:val="28"/>
          <w:lang w:eastAsia="pl-PL"/>
        </w:rPr>
        <w:t>nie</w:t>
      </w:r>
      <w:r w:rsidRPr="00EE7D4D">
        <w:rPr>
          <w:rFonts w:ascii="Calibri" w:eastAsia="Times New Roman" w:hAnsi="Calibri" w:cs="Calibri"/>
          <w:sz w:val="28"/>
          <w:szCs w:val="28"/>
          <w:lang w:eastAsia="pl-PL"/>
        </w:rPr>
        <w:t xml:space="preserve"> </w:t>
      </w:r>
      <w:r w:rsidRPr="00EE7D4D">
        <w:rPr>
          <w:rFonts w:ascii="Calibri" w:eastAsia="Times New Roman" w:hAnsi="Calibri" w:cs="Calibri"/>
          <w:b/>
          <w:bCs/>
          <w:sz w:val="28"/>
          <w:szCs w:val="28"/>
          <w:lang w:eastAsia="pl-PL"/>
        </w:rPr>
        <w:t>stwierdzam konieczności utworzenia obszaru ograniczonego użytkowania;</w:t>
      </w:r>
    </w:p>
    <w:p w14:paraId="1E816B96" w14:textId="77777777" w:rsidR="00EE7D4D" w:rsidRPr="00EE7D4D" w:rsidRDefault="00EE7D4D" w:rsidP="00EE7D4D">
      <w:pPr>
        <w:tabs>
          <w:tab w:val="left" w:pos="284"/>
        </w:tabs>
        <w:autoSpaceDE w:val="0"/>
        <w:autoSpaceDN w:val="0"/>
        <w:adjustRightInd w:val="0"/>
        <w:spacing w:after="120" w:line="240" w:lineRule="auto"/>
        <w:ind w:left="284" w:hanging="284"/>
        <w:jc w:val="center"/>
        <w:rPr>
          <w:rFonts w:ascii="Calibri" w:eastAsia="Times New Roman" w:hAnsi="Calibri" w:cs="Calibri"/>
          <w:sz w:val="28"/>
          <w:szCs w:val="28"/>
          <w:lang w:eastAsia="pl-PL"/>
        </w:rPr>
      </w:pPr>
      <w:r w:rsidRPr="00EE7D4D">
        <w:rPr>
          <w:rFonts w:ascii="Calibri" w:eastAsia="Times New Roman" w:hAnsi="Calibri" w:cs="Calibri"/>
          <w:b/>
          <w:bCs/>
          <w:sz w:val="28"/>
          <w:szCs w:val="28"/>
          <w:lang w:eastAsia="pl-PL"/>
        </w:rPr>
        <w:t xml:space="preserve">nie stwierdzam konieczności przeprowadzenia oceny oddziaływania przedsięwzięcia na środowisko oraz postępowania w sprawie </w:t>
      </w:r>
      <w:r w:rsidRPr="00EE7D4D">
        <w:rPr>
          <w:rFonts w:ascii="Calibri" w:eastAsia="Times New Roman" w:hAnsi="Calibri" w:cs="Calibri"/>
          <w:b/>
          <w:bCs/>
          <w:sz w:val="28"/>
          <w:szCs w:val="28"/>
          <w:lang w:eastAsia="pl-PL"/>
        </w:rPr>
        <w:lastRenderedPageBreak/>
        <w:t>transgranicznego oddziaływania na środowisko w ramach postępowania w sprawie wydania decyzji, o których mowa w art. 72 ust. 1 pkt 1 u.o.o.ś</w:t>
      </w:r>
      <w:r w:rsidRPr="00EE7D4D">
        <w:rPr>
          <w:rFonts w:ascii="Calibri" w:eastAsia="Times New Roman" w:hAnsi="Calibri" w:cs="Calibri"/>
          <w:sz w:val="28"/>
          <w:szCs w:val="28"/>
          <w:lang w:eastAsia="pl-PL"/>
        </w:rPr>
        <w:t>.;</w:t>
      </w:r>
    </w:p>
    <w:p w14:paraId="66090C4B" w14:textId="77777777" w:rsidR="00EE7D4D" w:rsidRPr="00EE7D4D" w:rsidRDefault="00EE7D4D" w:rsidP="00EE7D4D">
      <w:pPr>
        <w:tabs>
          <w:tab w:val="left" w:pos="284"/>
        </w:tabs>
        <w:autoSpaceDE w:val="0"/>
        <w:autoSpaceDN w:val="0"/>
        <w:adjustRightInd w:val="0"/>
        <w:spacing w:after="120" w:line="240" w:lineRule="auto"/>
        <w:ind w:left="284" w:hanging="284"/>
        <w:jc w:val="center"/>
        <w:rPr>
          <w:rFonts w:ascii="Calibri" w:eastAsia="Times New Roman" w:hAnsi="Calibri" w:cs="Calibri"/>
          <w:sz w:val="20"/>
          <w:szCs w:val="20"/>
          <w:lang w:eastAsia="pl-PL"/>
        </w:rPr>
      </w:pPr>
    </w:p>
    <w:p w14:paraId="042978EF" w14:textId="77777777" w:rsidR="00EE7D4D" w:rsidRPr="00EE7D4D" w:rsidRDefault="00EE7D4D" w:rsidP="00EE7D4D">
      <w:pPr>
        <w:tabs>
          <w:tab w:val="left" w:pos="284"/>
        </w:tabs>
        <w:autoSpaceDE w:val="0"/>
        <w:autoSpaceDN w:val="0"/>
        <w:adjustRightInd w:val="0"/>
        <w:spacing w:after="120" w:line="240" w:lineRule="auto"/>
        <w:jc w:val="center"/>
        <w:rPr>
          <w:rFonts w:ascii="Calibri" w:eastAsia="Times New Roman" w:hAnsi="Calibri" w:cs="Calibri"/>
          <w:b/>
          <w:bCs/>
          <w:sz w:val="28"/>
          <w:szCs w:val="28"/>
          <w:lang w:eastAsia="pl-PL"/>
        </w:rPr>
      </w:pPr>
      <w:r w:rsidRPr="00EE7D4D">
        <w:rPr>
          <w:rFonts w:ascii="Calibri" w:eastAsia="Times New Roman" w:hAnsi="Calibri" w:cs="Calibri"/>
          <w:b/>
          <w:bCs/>
          <w:sz w:val="28"/>
          <w:szCs w:val="28"/>
          <w:lang w:eastAsia="pl-PL"/>
        </w:rPr>
        <w:t>nie nakładam obowiązku przedstawienia analizy porealizacyjnej.</w:t>
      </w:r>
    </w:p>
    <w:p w14:paraId="46111A94" w14:textId="77777777" w:rsidR="00EE7D4D" w:rsidRPr="00EE7D4D" w:rsidRDefault="00EE7D4D" w:rsidP="00EE7D4D">
      <w:pPr>
        <w:spacing w:after="120" w:line="240" w:lineRule="auto"/>
        <w:jc w:val="center"/>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Uzasadnienie</w:t>
      </w:r>
    </w:p>
    <w:p w14:paraId="19356A9F" w14:textId="32BBC38B" w:rsidR="00EE7D4D" w:rsidRPr="00EE7D4D" w:rsidRDefault="00EE7D4D" w:rsidP="00EE7D4D">
      <w:pPr>
        <w:spacing w:after="120" w:line="240" w:lineRule="auto"/>
        <w:ind w:firstLine="708"/>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 xml:space="preserve">26.01.2023 r. do Burmistrza Śremu wpłynął wniosek </w:t>
      </w:r>
      <w:r w:rsidR="001E1EC1" w:rsidRPr="001E1EC1">
        <w:rPr>
          <w:rFonts w:ascii="Calibri" w:eastAsia="Times New Roman" w:hAnsi="Calibri" w:cs="Calibri"/>
          <w:sz w:val="28"/>
          <w:szCs w:val="28"/>
          <w:highlight w:val="black"/>
          <w:lang w:eastAsia="pl-PL"/>
        </w:rPr>
        <w:t>………………………</w:t>
      </w:r>
      <w:r w:rsidRPr="00EE7D4D">
        <w:rPr>
          <w:rFonts w:ascii="Calibri" w:eastAsia="Times New Roman" w:hAnsi="Calibri" w:cs="Calibri"/>
          <w:sz w:val="28"/>
          <w:szCs w:val="28"/>
          <w:lang w:eastAsia="pl-PL"/>
        </w:rPr>
        <w:t xml:space="preserve"> </w:t>
      </w:r>
      <w:r w:rsidR="001E1EC1" w:rsidRPr="001E1EC1">
        <w:rPr>
          <w:rFonts w:ascii="Calibri" w:eastAsia="Times New Roman" w:hAnsi="Calibri" w:cs="Calibri"/>
          <w:sz w:val="28"/>
          <w:szCs w:val="28"/>
          <w:highlight w:val="black"/>
          <w:lang w:eastAsia="pl-PL"/>
        </w:rPr>
        <w:t>…………………………………………………………………………………………………………………</w:t>
      </w:r>
      <w:r w:rsidRPr="00EE7D4D">
        <w:rPr>
          <w:rFonts w:ascii="Calibri" w:eastAsia="Times New Roman" w:hAnsi="Calibri" w:cs="Calibri"/>
          <w:sz w:val="28"/>
          <w:szCs w:val="28"/>
          <w:lang w:eastAsia="pl-PL"/>
        </w:rPr>
        <w:t>, uzupełniony 09.02.2023 r., o wydanie decyzji o środowiskowych uwarunkowaniach dla przedsięwzięcia polegającego pierwotnie na „rozbudowie istniejącej obory dla bydła mlecznego o maksymalnej obsadzie 45 DJP”, na działce o numerze ewidencyjnym 265, obręb Dalewo. Do wniosku załączona została karta informacyjna przedsięwzięcia sporządzona 09.11.2021 r. wraz z wymaganymi załącznikami.</w:t>
      </w:r>
    </w:p>
    <w:p w14:paraId="31481AD9" w14:textId="77777777" w:rsidR="00EE7D4D" w:rsidRPr="00EE7D4D" w:rsidRDefault="00EE7D4D" w:rsidP="00EE7D4D">
      <w:pPr>
        <w:spacing w:after="120" w:line="240" w:lineRule="auto"/>
        <w:ind w:firstLine="708"/>
        <w:rPr>
          <w:rFonts w:ascii="Calibri" w:eastAsia="Times New Roman" w:hAnsi="Calibri" w:cs="Calibri"/>
          <w:sz w:val="28"/>
          <w:szCs w:val="28"/>
          <w:lang w:eastAsia="pl-PL"/>
        </w:rPr>
      </w:pPr>
      <w:r w:rsidRPr="00EE7D4D">
        <w:rPr>
          <w:rFonts w:ascii="Calibri" w:eastAsia="Times New Roman" w:hAnsi="Calibri" w:cs="Calibri"/>
          <w:b/>
          <w:bCs/>
          <w:sz w:val="28"/>
          <w:szCs w:val="28"/>
          <w:lang w:eastAsia="pl-PL"/>
        </w:rPr>
        <w:t xml:space="preserve">Przedmiotowe przedsięwzięcie jest przedsięwzięciem zrealizowanym, o łącznej obsadzie wynoszącej pierwotnie 151,25 DJP. </w:t>
      </w:r>
      <w:r w:rsidRPr="00EE7D4D">
        <w:rPr>
          <w:rFonts w:ascii="Calibri" w:eastAsia="Times New Roman" w:hAnsi="Calibri" w:cs="Calibri"/>
          <w:sz w:val="28"/>
          <w:szCs w:val="28"/>
          <w:lang w:eastAsia="pl-PL"/>
        </w:rPr>
        <w:t>Wnioskodawca zamierza złożyć wniosek o legalizację części obiektu budowlanego, stosownie do przepisów Prawa budowalnego.</w:t>
      </w:r>
    </w:p>
    <w:p w14:paraId="363ABC71" w14:textId="77777777" w:rsidR="00EE7D4D" w:rsidRPr="00EE7D4D" w:rsidRDefault="00EE7D4D" w:rsidP="00EE7D4D">
      <w:pPr>
        <w:spacing w:after="120" w:line="240" w:lineRule="auto"/>
        <w:ind w:firstLine="708"/>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Zgodnie z art. 73 ust.1 u.o.o.ś. postępowanie w sprawie wydania decyzji o środowiskowych uwarunkowaniach wszczyna się na wniosek podmiotu planującego podjęcie realizacji przedsięwzięcia.</w:t>
      </w:r>
    </w:p>
    <w:p w14:paraId="065C0B14" w14:textId="77777777" w:rsidR="00EE7D4D" w:rsidRPr="00EE7D4D" w:rsidRDefault="00EE7D4D" w:rsidP="00EE7D4D">
      <w:pPr>
        <w:spacing w:after="120" w:line="240" w:lineRule="auto"/>
        <w:ind w:firstLine="708"/>
        <w:rPr>
          <w:rFonts w:ascii="Calibri" w:eastAsia="Times New Roman" w:hAnsi="Calibri" w:cs="Calibri"/>
          <w:sz w:val="28"/>
          <w:szCs w:val="28"/>
          <w:lang w:eastAsia="pl-PL"/>
        </w:rPr>
      </w:pPr>
      <w:r w:rsidRPr="00EE7D4D">
        <w:rPr>
          <w:rFonts w:ascii="Calibri" w:eastAsia="Calibri" w:hAnsi="Calibri" w:cs="Calibri"/>
          <w:sz w:val="28"/>
          <w:szCs w:val="28"/>
        </w:rPr>
        <w:t xml:space="preserve">W przypadku przedmiotowego przedsięwzięcia właściwym organem do wydania decyzji o środowiskowych uwarunkowaniach jest Burmistrz Śremu (art. 75 ust. 1 pkt 4 u.o.o.ś.). </w:t>
      </w:r>
    </w:p>
    <w:p w14:paraId="1421B172" w14:textId="667BF233"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 xml:space="preserve">Zgodnie z art. 71 ust. 2 u.o.o.ś. uzyskanie decyzji o środowiskowych uwarunkowaniach wymagane jest dla planowanych przedsięwzięć mogących zawsze znacząco oddziaływać na środowisko oraz przedsięwzięć mogących potencjalnie znacząco oddziaływać na środowisko. Zgodnie z dominującym stanowiskiem sądów administracyjnych postępowanie środowiskowe rozstrzyga o warunkach środowiskowych, jakie muszą zostać spełnione celem umożliwienia podjęcia określonej działalności, a ich określenie jest celowe również po zakończeniu realizacji inwestycji, czyli na etapie eksploatacji (wyroki Naczelnego Sądu Administracyjnego z dnia: 4 listopada 2025 r., III OSK 705/24; 18 maja 2016 r., II OSK 1063/15; 26 października 2011 r., II OSK 1820/11). W ocenie Naczelnego Sądu Administracyjnego, przedstawionej w przywołanych orzeczeniach, „kwestia tego czy na działce inwestora jest już zrealizowana inwestycja nie powinna mieć znaczenia, gdyż rolą organu </w:t>
      </w:r>
      <w:r w:rsidRPr="00EE7D4D">
        <w:rPr>
          <w:rFonts w:ascii="Calibri" w:eastAsia="Calibri" w:hAnsi="Calibri" w:cs="Times New Roman"/>
          <w:kern w:val="2"/>
          <w:sz w:val="28"/>
          <w14:ligatures w14:val="standardContextual"/>
        </w:rPr>
        <w:lastRenderedPageBreak/>
        <w:t>w</w:t>
      </w:r>
      <w:r w:rsidR="001E1EC1">
        <w:rPr>
          <w:rFonts w:ascii="Calibri" w:eastAsia="Calibri" w:hAnsi="Calibri" w:cs="Times New Roman"/>
          <w:kern w:val="2"/>
          <w:sz w:val="28"/>
          <w14:ligatures w14:val="standardContextual"/>
        </w:rPr>
        <w:t> </w:t>
      </w:r>
      <w:r w:rsidRPr="00EE7D4D">
        <w:rPr>
          <w:rFonts w:ascii="Calibri" w:eastAsia="Calibri" w:hAnsi="Calibri" w:cs="Times New Roman"/>
          <w:kern w:val="2"/>
          <w:sz w:val="28"/>
          <w14:ligatures w14:val="standardContextual"/>
        </w:rPr>
        <w:t>tego typu postępowaniu jest określenie warunków środowiskowych, jakie winno spełniać dane zamierzenie.”.</w:t>
      </w:r>
    </w:p>
    <w:p w14:paraId="6BA11836"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 xml:space="preserve">Reasumując, przedsięwzięcie dotyczy zrealizowanego przedsięwzięcia, to jest rozbudowy obory nr 1 dla bydła mlecznego o obsadę pierwotnie wynoszącą 45 DJP. W wyniku realizacji przedsięwzięcia obsada zwierząt w gospodarstwie rolnym pierwotnie wynosiła nie więcej niż 151,75 DJP. </w:t>
      </w:r>
    </w:p>
    <w:p w14:paraId="1E2AB97E" w14:textId="77777777" w:rsidR="00EE7D4D" w:rsidRPr="00EE7D4D" w:rsidRDefault="00EE7D4D" w:rsidP="00EE7D4D">
      <w:pPr>
        <w:spacing w:after="120" w:line="240" w:lineRule="auto"/>
        <w:ind w:firstLine="708"/>
        <w:rPr>
          <w:rFonts w:ascii="Calibri" w:eastAsia="Calibri" w:hAnsi="Calibri" w:cs="Calibri"/>
          <w:sz w:val="28"/>
          <w:szCs w:val="28"/>
        </w:rPr>
      </w:pPr>
      <w:r w:rsidRPr="00EE7D4D">
        <w:rPr>
          <w:rFonts w:ascii="Calibri" w:eastAsia="Calibri" w:hAnsi="Calibri" w:cs="Calibri"/>
          <w:b/>
          <w:sz w:val="28"/>
          <w:szCs w:val="28"/>
        </w:rPr>
        <w:t xml:space="preserve">Przedsięwzięcie zakwalifikowano </w:t>
      </w:r>
      <w:bookmarkStart w:id="0" w:name="_Hlk120605488"/>
      <w:r w:rsidRPr="00EE7D4D">
        <w:rPr>
          <w:rFonts w:ascii="Calibri" w:eastAsia="Calibri" w:hAnsi="Calibri" w:cs="Calibri"/>
          <w:b/>
          <w:sz w:val="28"/>
          <w:szCs w:val="28"/>
        </w:rPr>
        <w:t>do przedsięwzięć mogących potencjalnie znacząco oddziaływać na środowisko</w:t>
      </w:r>
      <w:r w:rsidRPr="00EE7D4D">
        <w:rPr>
          <w:rFonts w:ascii="Calibri" w:eastAsia="Calibri" w:hAnsi="Calibri" w:cs="Calibri"/>
          <w:bCs/>
          <w:sz w:val="28"/>
          <w:szCs w:val="28"/>
        </w:rPr>
        <w:t>, dla których obowiązek przeprowadzenia oceny oddziaływania na środowisko może być stwierdzony,</w:t>
      </w:r>
      <w:r w:rsidRPr="00EE7D4D">
        <w:rPr>
          <w:rFonts w:ascii="Calibri" w:eastAsia="Calibri" w:hAnsi="Calibri" w:cs="Calibri"/>
          <w:sz w:val="28"/>
          <w:szCs w:val="28"/>
        </w:rPr>
        <w:t xml:space="preserve"> wymienionych w rozporządzeniu </w:t>
      </w:r>
      <w:bookmarkEnd w:id="0"/>
      <w:r w:rsidRPr="00EE7D4D">
        <w:rPr>
          <w:rFonts w:ascii="Calibri" w:eastAsia="Calibri" w:hAnsi="Calibri" w:cs="Calibri"/>
          <w:sz w:val="28"/>
          <w:szCs w:val="28"/>
        </w:rPr>
        <w:t>Rady Ministrów z dnia 10 września 2019 r. w sprawie przedsięwzięć mogących znacząco oddziaływać na środowisko (</w:t>
      </w:r>
      <w:r w:rsidRPr="00EE7D4D">
        <w:rPr>
          <w:rFonts w:ascii="Calibri" w:eastAsia="Times New Roman" w:hAnsi="Calibri" w:cs="Calibri"/>
          <w:bCs/>
          <w:sz w:val="28"/>
          <w:szCs w:val="28"/>
          <w:lang w:eastAsia="pl-PL"/>
        </w:rPr>
        <w:t xml:space="preserve">Dz. U. poz. 1839 i z 2022 r. poz. 1071) </w:t>
      </w:r>
      <w:r w:rsidRPr="00EE7D4D">
        <w:rPr>
          <w:rFonts w:ascii="Calibri" w:eastAsia="Calibri" w:hAnsi="Calibri" w:cs="Calibri"/>
          <w:sz w:val="28"/>
          <w:szCs w:val="28"/>
        </w:rPr>
        <w:t>w </w:t>
      </w:r>
      <w:r w:rsidRPr="00EE7D4D">
        <w:rPr>
          <w:rFonts w:ascii="Calibri" w:eastAsia="Calibri" w:hAnsi="Calibri" w:cs="Calibri"/>
          <w:b/>
          <w:bCs/>
          <w:sz w:val="28"/>
          <w:szCs w:val="28"/>
        </w:rPr>
        <w:t>§ 3 ust. 2 pkt 2</w:t>
      </w:r>
      <w:r w:rsidRPr="00EE7D4D">
        <w:rPr>
          <w:rFonts w:ascii="Calibri" w:eastAsia="Calibri" w:hAnsi="Calibri" w:cs="Calibri"/>
          <w:sz w:val="28"/>
          <w:szCs w:val="28"/>
        </w:rPr>
        <w:t>: „</w:t>
      </w:r>
      <w:r w:rsidRPr="00EE7D4D">
        <w:rPr>
          <w:rFonts w:ascii="Calibri" w:eastAsia="Calibri" w:hAnsi="Calibri" w:cs="Calibri"/>
          <w:b/>
          <w:bCs/>
          <w:sz w:val="28"/>
          <w:szCs w:val="28"/>
        </w:rPr>
        <w:t>przedsięwzięcia polegające na rozbudowie</w:t>
      </w:r>
      <w:r w:rsidRPr="00EE7D4D">
        <w:rPr>
          <w:rFonts w:ascii="Calibri" w:eastAsia="Calibri" w:hAnsi="Calibri" w:cs="Calibri"/>
          <w:sz w:val="28"/>
          <w:szCs w:val="28"/>
        </w:rPr>
        <w:t xml:space="preserve">, przebudowie lub montażu realizowanego lub </w:t>
      </w:r>
      <w:r w:rsidRPr="00EE7D4D">
        <w:rPr>
          <w:rFonts w:ascii="Calibri" w:eastAsia="Calibri" w:hAnsi="Calibri" w:cs="Calibri"/>
          <w:b/>
          <w:bCs/>
          <w:sz w:val="28"/>
          <w:szCs w:val="28"/>
        </w:rPr>
        <w:t>zrealizowanego przedsięwzięcia</w:t>
      </w:r>
      <w:r w:rsidRPr="00EE7D4D">
        <w:rPr>
          <w:rFonts w:ascii="Calibri" w:eastAsia="Calibri" w:hAnsi="Calibri" w:cs="Calibri"/>
          <w:sz w:val="28"/>
          <w:szCs w:val="28"/>
        </w:rPr>
        <w:t xml:space="preserve"> wymienionego w ust. 1. (…);”, w związku z </w:t>
      </w:r>
      <w:r w:rsidRPr="00EE7D4D">
        <w:rPr>
          <w:rFonts w:ascii="Calibri" w:eastAsia="Calibri" w:hAnsi="Calibri" w:cs="Calibri"/>
          <w:b/>
          <w:bCs/>
          <w:sz w:val="28"/>
          <w:szCs w:val="28"/>
        </w:rPr>
        <w:t>§ 3 ust. 1 pkt 104 lit. a tiret pierwsze podwójny tiret pierwsze</w:t>
      </w:r>
      <w:r w:rsidRPr="00EE7D4D">
        <w:rPr>
          <w:rFonts w:ascii="Calibri" w:eastAsia="Calibri" w:hAnsi="Calibri" w:cs="Calibri"/>
          <w:sz w:val="28"/>
          <w:szCs w:val="28"/>
        </w:rPr>
        <w:t xml:space="preserve">: „chów lub hodowla zwierząt, inne niż wymienione w pkt 103 w liczbie nie mniejszej niż 40 DJP i mniejszej niż 210 DJP - jeżeli ta działalność będzie prowadzona w odległości mniejszej niż 210 m od terenów lub gruntów, o których mowa w rozporządzeniu Ministra Rozwoju, Pracy i Technologii z dnia 27 lipca 2021 r. w sprawie ewidencji gruntów i budynków, tj. mieszkaniowych, rolnych zabudowanych zajętych pod budynki mieszkalne, innych zabudowanych z wyłączeniem cmentarzy i grzebowisk dla zwierząt, zurbanizowanych niezabudowanych lub w trakcie zabudowy, rekreacyjno-wypoczynkowych z wyłączeniem kurhanów, pomników przyrody oraz terenów zieleni nieurządzonej niezaliczonej do lasów oraz gruntów zadrzewionych i zakrzewionych, nie uwzględniając nieruchomości gospodarstwa, na którego terenie chów lub hodowla będą prowadzone”. </w:t>
      </w:r>
    </w:p>
    <w:p w14:paraId="681AE393" w14:textId="77777777" w:rsidR="00EE7D4D" w:rsidRPr="00EE7D4D" w:rsidRDefault="00EE7D4D" w:rsidP="00EE7D4D">
      <w:pPr>
        <w:spacing w:after="0" w:line="240" w:lineRule="auto"/>
        <w:jc w:val="both"/>
        <w:rPr>
          <w:rFonts w:ascii="Calibri" w:eastAsia="Times New Roman" w:hAnsi="Calibri" w:cs="Aptos"/>
          <w:kern w:val="2"/>
          <w:sz w:val="28"/>
          <w:szCs w:val="28"/>
          <w:lang w:eastAsia="pl-PL"/>
          <w14:ligatures w14:val="standardContextual"/>
        </w:rPr>
      </w:pPr>
      <w:r w:rsidRPr="00EE7D4D">
        <w:rPr>
          <w:rFonts w:ascii="Calibri" w:eastAsia="Times New Roman" w:hAnsi="Calibri" w:cs="Aptos"/>
          <w:kern w:val="2"/>
          <w:sz w:val="28"/>
          <w:szCs w:val="28"/>
          <w:lang w:eastAsia="pl-PL"/>
          <w14:ligatures w14:val="standardContextual"/>
        </w:rPr>
        <w:br w:type="page"/>
      </w:r>
    </w:p>
    <w:p w14:paraId="6A995F35" w14:textId="77777777" w:rsidR="00EE7D4D" w:rsidRPr="00EE7D4D" w:rsidRDefault="00EE7D4D" w:rsidP="00EE7D4D">
      <w:pPr>
        <w:spacing w:after="120" w:line="240" w:lineRule="auto"/>
        <w:ind w:firstLine="708"/>
        <w:rPr>
          <w:rFonts w:ascii="Calibri" w:eastAsia="Times New Roman" w:hAnsi="Calibri" w:cs="Aptos"/>
          <w:kern w:val="2"/>
          <w:sz w:val="28"/>
          <w:szCs w:val="28"/>
          <w:lang w:eastAsia="pl-PL"/>
          <w14:ligatures w14:val="standardContextual"/>
        </w:rPr>
      </w:pPr>
      <w:r w:rsidRPr="00EE7D4D">
        <w:rPr>
          <w:rFonts w:ascii="Calibri" w:eastAsia="Times New Roman" w:hAnsi="Calibri" w:cs="Aptos"/>
          <w:kern w:val="2"/>
          <w:sz w:val="28"/>
          <w:szCs w:val="28"/>
          <w:lang w:eastAsia="pl-PL"/>
          <w14:ligatures w14:val="standardContextual"/>
        </w:rPr>
        <w:lastRenderedPageBreak/>
        <w:t>Stosownie do art. 74 ust. 3a u.o.o.ś. Burmistrz Śremu ustalił krąg podmiotów, którym przysługuje przymiot strony. Przymiot strony postępowania otrzymali: wnioskodawca i właściciele terenu, na którym realizowane będzie przedsięwzięcie (działka o numerze ewidencyjnym 265, obręb Dalewo) oraz podmioty, którym przysługuje prawo rzeczowe do nieruchomości znajdujących się w obszarze wyznaczonym w odległości 100 m od granic terenu przedsięwzięcia. Obszar ten objął więc działki o numerach ewidencyjnych: 296/2; 268; 317/7; 207; 262; 293; 264/2; 263; 264/1; 253/4; 266; 256; 295; 246; 267; 261; 247; 244; 254; 294; 319; 285; 255; 320/2; 269/3, obręb Dalewo.</w:t>
      </w:r>
    </w:p>
    <w:p w14:paraId="18E6682C"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Zgodnie z art. 74 ust. 3 u.o.o.ś. strony postępowania zostały powiadomione o wszczęciu postępowania w formie obwieszczenia z 14.02.2023 r. Obwieszczenie zamieszczono w Biuletynie Informacji Publicznej Urzędu Miejskiego w Śremie (</w:t>
      </w:r>
      <w:hyperlink r:id="rId9" w:history="1">
        <w:r w:rsidRPr="00EE7D4D">
          <w:rPr>
            <w:rFonts w:ascii="Calibri" w:eastAsia="Calibri" w:hAnsi="Calibri" w:cs="Times New Roman"/>
            <w:color w:val="467886"/>
            <w:kern w:val="2"/>
            <w:sz w:val="28"/>
            <w:u w:val="single"/>
            <w14:ligatures w14:val="standardContextual"/>
          </w:rPr>
          <w:t>https://bip.srem.pl/public/?id=223630</w:t>
        </w:r>
      </w:hyperlink>
      <w:r w:rsidRPr="00EE7D4D">
        <w:rPr>
          <w:rFonts w:ascii="Calibri" w:eastAsia="Calibri" w:hAnsi="Calibri" w:cs="Times New Roman"/>
          <w:kern w:val="2"/>
          <w:sz w:val="28"/>
          <w14:ligatures w14:val="standardContextual"/>
        </w:rPr>
        <w:t>), w gablotach informacyjnych Urzędu oraz na tablicy ogłoszeniowej w Dalewie.</w:t>
      </w:r>
    </w:p>
    <w:p w14:paraId="5A371362" w14:textId="77777777" w:rsidR="00EE7D4D" w:rsidRPr="00EE7D4D" w:rsidRDefault="00EE7D4D" w:rsidP="00EE7D4D">
      <w:pPr>
        <w:spacing w:after="120" w:line="240" w:lineRule="auto"/>
        <w:ind w:firstLine="708"/>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 xml:space="preserve">Zgodnie z art. 64 ust. 1 u.o.o.ś. Burmistrz Śremu, pismem z 14.02.2023 r., wystąpił do Państwowego Powiatowego Inspektora Sanitarnego w Śremie,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o oddziaływaniu przedsięwzięcia na środowisko, zwanego dalej raportem. </w:t>
      </w:r>
    </w:p>
    <w:p w14:paraId="0DEF87AC" w14:textId="77777777" w:rsidR="00EE7D4D" w:rsidRPr="00EE7D4D" w:rsidRDefault="00EE7D4D" w:rsidP="00EE7D4D">
      <w:pPr>
        <w:spacing w:after="120" w:line="240" w:lineRule="auto"/>
        <w:ind w:firstLine="709"/>
        <w:rPr>
          <w:rFonts w:ascii="Calibri" w:eastAsia="Times New Roman" w:hAnsi="Calibri" w:cs="Calibri"/>
          <w:bCs/>
          <w:sz w:val="28"/>
          <w:szCs w:val="28"/>
          <w:lang w:eastAsia="pl-PL"/>
        </w:rPr>
      </w:pPr>
      <w:bookmarkStart w:id="1" w:name="_Hlk132282912"/>
      <w:r w:rsidRPr="00EE7D4D">
        <w:rPr>
          <w:rFonts w:ascii="Calibri" w:eastAsia="Times New Roman" w:hAnsi="Calibri" w:cs="Calibri"/>
          <w:bCs/>
          <w:sz w:val="28"/>
          <w:szCs w:val="28"/>
          <w:lang w:eastAsia="pl-PL"/>
        </w:rPr>
        <w:t>Dyrektor Zarządu Zlewni Państwowego Gospodarstwa Wodnego Wody Polskie w Poznaniu, w piśmie z 23.02.2023 r. znak PO.ZZŚ.4.4901.101.2023.JD.1, nie stwierdził potrzeby przeprowadzenia oceny oddziaływania przedsięwzięcia na środowisko i wskazał konieczność uwzględnienia w decyzji o środowiskowych uwarunkowaniach określone warunki i wymagania.</w:t>
      </w:r>
    </w:p>
    <w:p w14:paraId="393488A2" w14:textId="77777777" w:rsidR="00EE7D4D" w:rsidRPr="00EE7D4D" w:rsidRDefault="00EE7D4D" w:rsidP="00EE7D4D">
      <w:pPr>
        <w:spacing w:after="120" w:line="240" w:lineRule="auto"/>
        <w:ind w:firstLine="709"/>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Państwowy Powiatowy Inspektor Sanitarny w Śremie w piśmie z 28.02.2023 r. znak ON-NS.9011.18.4.2023 wyraził opinię, że przeprowadzenie oceny oddziaływania na środowisko nie jest wymagane</w:t>
      </w:r>
      <w:r w:rsidRPr="00EE7D4D">
        <w:rPr>
          <w:rFonts w:ascii="Calibri" w:eastAsia="Times New Roman" w:hAnsi="Calibri" w:cs="Calibri"/>
          <w:b/>
          <w:bCs/>
          <w:sz w:val="28"/>
          <w:szCs w:val="28"/>
          <w:lang w:eastAsia="pl-PL"/>
        </w:rPr>
        <w:t xml:space="preserve"> </w:t>
      </w:r>
      <w:r w:rsidRPr="00EE7D4D">
        <w:rPr>
          <w:rFonts w:ascii="Calibri" w:eastAsia="Times New Roman" w:hAnsi="Calibri" w:cs="Calibri"/>
          <w:sz w:val="28"/>
          <w:szCs w:val="28"/>
          <w:lang w:eastAsia="pl-PL"/>
        </w:rPr>
        <w:t xml:space="preserve">i wskazał warunki. </w:t>
      </w:r>
    </w:p>
    <w:p w14:paraId="2F6A7CB4" w14:textId="77777777" w:rsidR="00EE7D4D" w:rsidRPr="00EE7D4D" w:rsidRDefault="00EE7D4D" w:rsidP="00EE7D4D">
      <w:pPr>
        <w:spacing w:after="120" w:line="240" w:lineRule="auto"/>
        <w:ind w:firstLine="708"/>
        <w:rPr>
          <w:rFonts w:ascii="Calibri" w:eastAsia="Times New Roman" w:hAnsi="Calibri" w:cs="Calibri"/>
          <w:bCs/>
          <w:sz w:val="28"/>
          <w:szCs w:val="28"/>
          <w:lang w:eastAsia="pl-PL"/>
        </w:rPr>
      </w:pPr>
      <w:r w:rsidRPr="00EE7D4D">
        <w:rPr>
          <w:rFonts w:ascii="Calibri" w:eastAsia="Times New Roman" w:hAnsi="Calibri" w:cs="Calibri"/>
          <w:bCs/>
          <w:sz w:val="28"/>
          <w:szCs w:val="28"/>
          <w:lang w:eastAsia="pl-PL"/>
        </w:rPr>
        <w:t xml:space="preserve">Regionalny Dyrektor Ochrony Środowiska w Poznaniu, w postanowieniu z 28.02.2023 r. znak WOO-II.4220.26.2023.DG.1, wyraził opinię, że dla przedsięwzięcia istnieje potrzeba przeprowadzenia oceny oddziaływania na środowisko i ustalił zakres raportu. </w:t>
      </w:r>
    </w:p>
    <w:bookmarkEnd w:id="1"/>
    <w:p w14:paraId="233ED4AB"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lastRenderedPageBreak/>
        <w:t xml:space="preserve">13.03.2023 r. do Burmistrza wpłynęło pismo wnioskodawcy w sprawie skorygowania wniosku o wydanie decyzji o środowiskowych uwarunkowaniach. </w:t>
      </w:r>
      <w:r w:rsidRPr="00EE7D4D">
        <w:rPr>
          <w:rFonts w:ascii="Calibri" w:eastAsia="Calibri" w:hAnsi="Calibri" w:cs="Times New Roman"/>
          <w:b/>
          <w:bCs/>
          <w:kern w:val="2"/>
          <w:sz w:val="28"/>
          <w14:ligatures w14:val="standardContextual"/>
        </w:rPr>
        <w:t>Wnioskodawca zweryfikował stan rzeczywisty gospodarstwa rolnego i wskazał, że przedsięwzięcie dotyczy rozbudowy obory nr 1 dla bydła mlecznego o obsadę bydła wynoszącą 72 DJP. Łączna obsada zwierząt w gospodarstwie rolnym wyniesie 151,75 DJP</w:t>
      </w:r>
      <w:r w:rsidRPr="00EE7D4D">
        <w:rPr>
          <w:rFonts w:ascii="Calibri" w:eastAsia="Calibri" w:hAnsi="Calibri" w:cs="Times New Roman"/>
          <w:kern w:val="2"/>
          <w:sz w:val="28"/>
          <w14:ligatures w14:val="standardContextual"/>
        </w:rPr>
        <w:t xml:space="preserve">. </w:t>
      </w:r>
    </w:p>
    <w:p w14:paraId="3C715E57"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W związku ze zmianą wniosku Burmistrz Śremu, pismem z 14.03.2023 r., wystąpił do Państwowego Powiatowego Inspektora Sanitarnego w Śremie, Regionalnego Dyrektora Ochrony Środowiska w Poznaniu oraz Dyrektora Zarządu Zlewni Państwowego Gospodarstwa Wodnego Wody Polskie w Poznaniu, o ponowną opinię w sprawie obowiązku przeprowadzenia oceny oddziaływania przedmiotowego przedsięwzięcia na środowisko i określenia zakresu ewentualnego raportu.</w:t>
      </w:r>
    </w:p>
    <w:p w14:paraId="643D0E9D" w14:textId="77777777" w:rsidR="00EE7D4D" w:rsidRPr="00EE7D4D" w:rsidRDefault="00EE7D4D" w:rsidP="00EE7D4D">
      <w:pPr>
        <w:spacing w:after="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b/>
          <w:bCs/>
          <w:kern w:val="2"/>
          <w:sz w:val="28"/>
          <w14:ligatures w14:val="standardContextual"/>
        </w:rPr>
        <w:t>Dyrektor Zarządu Zlewni Państwowego Gospodarstwa Wodnego Wody Polskie w Poznaniu</w:t>
      </w:r>
      <w:r w:rsidRPr="00EE7D4D">
        <w:rPr>
          <w:rFonts w:ascii="Calibri" w:eastAsia="Calibri" w:hAnsi="Calibri" w:cs="Times New Roman"/>
          <w:kern w:val="2"/>
          <w:sz w:val="28"/>
          <w14:ligatures w14:val="standardContextual"/>
        </w:rPr>
        <w:t xml:space="preserve">, w piśmie z 27.03.2023 r. znak PO.ZZŚ.4.4901.101.2023.JD.2, </w:t>
      </w:r>
      <w:r w:rsidRPr="00EE7D4D">
        <w:rPr>
          <w:rFonts w:ascii="Calibri" w:eastAsia="Calibri" w:hAnsi="Calibri" w:cs="Times New Roman"/>
          <w:b/>
          <w:bCs/>
          <w:kern w:val="2"/>
          <w:sz w:val="28"/>
          <w14:ligatures w14:val="standardContextual"/>
        </w:rPr>
        <w:t>nie stwierdził potrzeby przeprowadzenia oceny oddziaływania</w:t>
      </w:r>
      <w:r w:rsidRPr="00EE7D4D">
        <w:rPr>
          <w:rFonts w:ascii="Calibri" w:eastAsia="Calibri" w:hAnsi="Calibri" w:cs="Times New Roman"/>
          <w:kern w:val="2"/>
          <w:sz w:val="28"/>
          <w14:ligatures w14:val="standardContextual"/>
        </w:rPr>
        <w:t xml:space="preserve"> przedsięwzięcia na środowisko i wskazał konieczność określenia w decyzji o środowiskowych uwarunkowaniach następujących warunków i wymagań:</w:t>
      </w:r>
    </w:p>
    <w:p w14:paraId="1566832A" w14:textId="77777777" w:rsidR="00EE7D4D" w:rsidRPr="00EE7D4D" w:rsidRDefault="00EE7D4D" w:rsidP="00EE7D4D">
      <w:pPr>
        <w:spacing w:after="0" w:line="240" w:lineRule="auto"/>
        <w:ind w:left="426" w:hanging="426"/>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„1)</w:t>
      </w:r>
      <w:r w:rsidRPr="00EE7D4D">
        <w:rPr>
          <w:rFonts w:ascii="Calibri" w:eastAsia="Calibri" w:hAnsi="Calibri" w:cs="Times New Roman"/>
          <w:kern w:val="2"/>
          <w:sz w:val="28"/>
          <w14:ligatures w14:val="standardContextual"/>
        </w:rPr>
        <w:tab/>
        <w:t>na etapie realizacji przedsięwzięcia:</w:t>
      </w:r>
    </w:p>
    <w:p w14:paraId="18C2ABD7" w14:textId="77777777" w:rsidR="00EE7D4D" w:rsidRPr="00EE7D4D" w:rsidRDefault="00EE7D4D" w:rsidP="00EE7D4D">
      <w:pPr>
        <w:spacing w:after="0" w:line="240" w:lineRule="auto"/>
        <w:ind w:left="284" w:hanging="284"/>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a)</w:t>
      </w:r>
      <w:r w:rsidRPr="00EE7D4D">
        <w:rPr>
          <w:rFonts w:ascii="Calibri" w:eastAsia="Calibri" w:hAnsi="Calibri" w:cs="Times New Roman"/>
          <w:kern w:val="2"/>
          <w:sz w:val="28"/>
          <w14:ligatures w14:val="standardContextual"/>
        </w:rPr>
        <w:tab/>
        <w:t>zaplecze techniczne, miejsca magazynowania materiałów budowlanych i odpadów oraz miejsca postoju dla maszyn budowlanych i sprzętu transportowego należy zorganizować na terenie utwardzonym;</w:t>
      </w:r>
    </w:p>
    <w:p w14:paraId="7F4718D0" w14:textId="77777777" w:rsidR="00EE7D4D" w:rsidRPr="00EE7D4D" w:rsidRDefault="00EE7D4D" w:rsidP="00EE7D4D">
      <w:pPr>
        <w:spacing w:after="0" w:line="240" w:lineRule="auto"/>
        <w:ind w:left="284" w:hanging="284"/>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b)</w:t>
      </w:r>
      <w:r w:rsidRPr="00EE7D4D">
        <w:rPr>
          <w:rFonts w:ascii="Calibri" w:eastAsia="Calibri" w:hAnsi="Calibri" w:cs="Times New Roman"/>
          <w:kern w:val="2"/>
          <w:sz w:val="28"/>
          <w14:ligatures w14:val="standardContextual"/>
        </w:rPr>
        <w:tab/>
        <w:t>we wszystkich ww. miejscach prac budowlanych należy zapewnić dostępność sorbentów, właściwych w zakresie ilości i rodzaju do potencjalnego zagrożenia, mogącego wystąpić w następstwie sytuacji awaryjnych;</w:t>
      </w:r>
    </w:p>
    <w:p w14:paraId="658FEF3A" w14:textId="77777777" w:rsidR="00EE7D4D" w:rsidRPr="00EE7D4D" w:rsidRDefault="00EE7D4D" w:rsidP="00EE7D4D">
      <w:pPr>
        <w:spacing w:after="0" w:line="240" w:lineRule="auto"/>
        <w:ind w:left="284" w:hanging="284"/>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c)</w:t>
      </w:r>
      <w:r w:rsidRPr="00EE7D4D">
        <w:rPr>
          <w:rFonts w:ascii="Calibri" w:eastAsia="Calibri" w:hAnsi="Calibri" w:cs="Times New Roman"/>
          <w:kern w:val="2"/>
          <w:sz w:val="28"/>
          <w14:ligatures w14:val="standardContextual"/>
        </w:rPr>
        <w:tab/>
        <w:t>powstające w trakcie realizacji planowanego przedsięwzięcia odpady należy gromadzić w wyznaczonych miejscach, w oznakowanych, szczelnych pojemnikach lub kontenerach na utwardzonym, szczelnym podłożu w sposób zabezpieczające przed zanieczyszczeniem środowiska gruntowo – wodnego;</w:t>
      </w:r>
    </w:p>
    <w:p w14:paraId="5DD97416" w14:textId="77777777" w:rsidR="00EE7D4D" w:rsidRPr="00EE7D4D" w:rsidRDefault="00EE7D4D" w:rsidP="00EE7D4D">
      <w:pPr>
        <w:spacing w:after="0" w:line="240" w:lineRule="auto"/>
        <w:ind w:left="284" w:hanging="284"/>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d)</w:t>
      </w:r>
      <w:r w:rsidRPr="00EE7D4D">
        <w:rPr>
          <w:rFonts w:ascii="Calibri" w:eastAsia="Calibri" w:hAnsi="Calibri" w:cs="Times New Roman"/>
          <w:kern w:val="2"/>
          <w:sz w:val="28"/>
          <w14:ligatures w14:val="standardContextual"/>
        </w:rPr>
        <w:tab/>
        <w:t>posadzki w przebudowywanym obiekcie inwentarskim należy wykonać jako szczelne, nieprzepuszczalne, gwarantujące zabezpieczenie środowiska gruntowo – wodnego przed zanieczyszczeniem odciekami.</w:t>
      </w:r>
    </w:p>
    <w:p w14:paraId="7A475F08" w14:textId="77777777" w:rsidR="00EE7D4D" w:rsidRPr="00EE7D4D" w:rsidRDefault="00EE7D4D" w:rsidP="00EE7D4D">
      <w:pPr>
        <w:spacing w:after="0" w:line="240" w:lineRule="auto"/>
        <w:ind w:left="284" w:hanging="284"/>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2)</w:t>
      </w:r>
      <w:r w:rsidRPr="00EE7D4D">
        <w:rPr>
          <w:rFonts w:ascii="Calibri" w:eastAsia="Calibri" w:hAnsi="Calibri" w:cs="Times New Roman"/>
          <w:kern w:val="2"/>
          <w:sz w:val="28"/>
          <w14:ligatures w14:val="standardContextual"/>
        </w:rPr>
        <w:tab/>
        <w:t>maksymalna obsada zwierząt na terenie całego gospodarstwa nie może przekroczyć 151,75 DJP;</w:t>
      </w:r>
    </w:p>
    <w:p w14:paraId="1F15BD74" w14:textId="77777777" w:rsidR="00EE7D4D" w:rsidRPr="00EE7D4D" w:rsidRDefault="00EE7D4D" w:rsidP="00EE7D4D">
      <w:pPr>
        <w:spacing w:after="0" w:line="240" w:lineRule="auto"/>
        <w:ind w:left="284" w:hanging="284"/>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3)</w:t>
      </w:r>
      <w:r w:rsidRPr="00EE7D4D">
        <w:rPr>
          <w:rFonts w:ascii="Calibri" w:eastAsia="Calibri" w:hAnsi="Calibri" w:cs="Times New Roman"/>
          <w:kern w:val="2"/>
          <w:sz w:val="28"/>
          <w14:ligatures w14:val="standardContextual"/>
        </w:rPr>
        <w:tab/>
        <w:t>zaopatrzenie całego gospodarstwa w wodę należy realizować z gminnej sieci wodociągowej, na podstawie stosownej umowy z gestorem sieci;</w:t>
      </w:r>
    </w:p>
    <w:p w14:paraId="2011D53F" w14:textId="77777777" w:rsidR="00EE7D4D" w:rsidRPr="00EE7D4D" w:rsidRDefault="00EE7D4D" w:rsidP="00EE7D4D">
      <w:pPr>
        <w:spacing w:after="0" w:line="240" w:lineRule="auto"/>
        <w:ind w:left="284" w:hanging="284"/>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lastRenderedPageBreak/>
        <w:t>4)</w:t>
      </w:r>
      <w:r w:rsidRPr="00EE7D4D">
        <w:rPr>
          <w:rFonts w:ascii="Calibri" w:eastAsia="Calibri" w:hAnsi="Calibri" w:cs="Times New Roman"/>
          <w:kern w:val="2"/>
          <w:sz w:val="28"/>
          <w14:ligatures w14:val="standardContextual"/>
        </w:rPr>
        <w:tab/>
        <w:t>ścieki z terenu gospodarstwa należy odprowadzać do gminnej sieci kanalizacji sanitarnej na podstawie stosownej umowy z gestorem sieci;</w:t>
      </w:r>
    </w:p>
    <w:p w14:paraId="672E9E03" w14:textId="77777777" w:rsidR="00EE7D4D" w:rsidRPr="00EE7D4D" w:rsidRDefault="00EE7D4D" w:rsidP="00EE7D4D">
      <w:pPr>
        <w:spacing w:after="0" w:line="240" w:lineRule="auto"/>
        <w:ind w:left="284" w:hanging="284"/>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5)</w:t>
      </w:r>
      <w:r w:rsidRPr="00EE7D4D">
        <w:rPr>
          <w:rFonts w:ascii="Calibri" w:eastAsia="Calibri" w:hAnsi="Calibri" w:cs="Times New Roman"/>
          <w:kern w:val="2"/>
          <w:sz w:val="28"/>
          <w14:ligatures w14:val="standardContextual"/>
        </w:rPr>
        <w:tab/>
        <w:t>powstające w gospodarstwie odchody (obornik i gnojowica) należy gromadzić i przechowywać w sposób zapobiegający przedostawaniu się odcieków do wód i gruntu, tj. na płycie obornikowej i w zbiorniku na gnojowicę, o pojemności umożliwiającej magazynowanie odchodów przez okres wskazany w przepisach szczegółowych;</w:t>
      </w:r>
    </w:p>
    <w:p w14:paraId="0270C7EA" w14:textId="77777777" w:rsidR="00EE7D4D" w:rsidRPr="00EE7D4D" w:rsidRDefault="00EE7D4D" w:rsidP="00EE7D4D">
      <w:pPr>
        <w:spacing w:after="0" w:line="240" w:lineRule="auto"/>
        <w:ind w:left="284" w:hanging="284"/>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6)</w:t>
      </w:r>
      <w:r w:rsidRPr="00EE7D4D">
        <w:rPr>
          <w:rFonts w:ascii="Calibri" w:eastAsia="Calibri" w:hAnsi="Calibri" w:cs="Times New Roman"/>
          <w:kern w:val="2"/>
          <w:sz w:val="28"/>
          <w14:ligatures w14:val="standardContextual"/>
        </w:rPr>
        <w:tab/>
        <w:t>nawozy naturalne pochodzące z gospodarstwa należy wykorzystać na odpowiedniej powierzchni gruntów, w sposób wskazany w przepisach szczegółowych;</w:t>
      </w:r>
    </w:p>
    <w:p w14:paraId="3BB201EC" w14:textId="77777777" w:rsidR="00EE7D4D" w:rsidRPr="00EE7D4D" w:rsidRDefault="00EE7D4D" w:rsidP="00EE7D4D">
      <w:pPr>
        <w:spacing w:after="0" w:line="240" w:lineRule="auto"/>
        <w:ind w:left="284" w:hanging="284"/>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7)</w:t>
      </w:r>
      <w:r w:rsidRPr="00EE7D4D">
        <w:rPr>
          <w:rFonts w:ascii="Calibri" w:eastAsia="Calibri" w:hAnsi="Calibri" w:cs="Times New Roman"/>
          <w:kern w:val="2"/>
          <w:sz w:val="28"/>
          <w14:ligatures w14:val="standardContextual"/>
        </w:rPr>
        <w:tab/>
        <w:t>zwierzęta padłe i ubite z konieczności należy magazynować w szczelnych, zamkniętych pomieszczeniach przeznaczonych na padłe zwierzęta, a następnie przekazywać wyspecjalizowanym podmiotom zajmującym się utylizacją padłych sztuk zwierząt;</w:t>
      </w:r>
    </w:p>
    <w:p w14:paraId="37009121" w14:textId="77777777" w:rsidR="00EE7D4D" w:rsidRPr="00EE7D4D" w:rsidRDefault="00EE7D4D" w:rsidP="00EE7D4D">
      <w:pPr>
        <w:spacing w:after="120" w:line="240" w:lineRule="auto"/>
        <w:ind w:left="284" w:hanging="284"/>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8)</w:t>
      </w:r>
      <w:r w:rsidRPr="00EE7D4D">
        <w:rPr>
          <w:rFonts w:ascii="Calibri" w:eastAsia="Calibri" w:hAnsi="Calibri" w:cs="Times New Roman"/>
          <w:kern w:val="2"/>
          <w:sz w:val="28"/>
          <w14:ligatures w14:val="standardContextual"/>
        </w:rPr>
        <w:tab/>
        <w:t>wody opadowe i roztopowe pochodzące z terenu inwestycji należy zagospodarować na terenach nieutwardzonych, biologicznie czynnych w obrębie działki inwestycyjnej.”.</w:t>
      </w:r>
    </w:p>
    <w:p w14:paraId="2BCC7A07" w14:textId="77777777" w:rsidR="00EE7D4D" w:rsidRPr="00EE7D4D" w:rsidRDefault="00EE7D4D" w:rsidP="00EE7D4D">
      <w:pPr>
        <w:spacing w:after="120" w:line="240" w:lineRule="auto"/>
        <w:ind w:firstLine="708"/>
        <w:rPr>
          <w:rFonts w:ascii="Calibri" w:eastAsia="Calibri" w:hAnsi="Calibri" w:cs="Times New Roman"/>
          <w:color w:val="EE0000"/>
          <w:kern w:val="2"/>
          <w:sz w:val="28"/>
          <w14:ligatures w14:val="standardContextual"/>
        </w:rPr>
      </w:pPr>
      <w:r w:rsidRPr="00EE7D4D">
        <w:rPr>
          <w:rFonts w:ascii="Calibri" w:eastAsia="Calibri" w:hAnsi="Calibri" w:cs="Times New Roman"/>
          <w:kern w:val="2"/>
          <w:sz w:val="28"/>
          <w14:ligatures w14:val="standardContextual"/>
        </w:rPr>
        <w:t xml:space="preserve">Burmistrz Śremu stwierdził, </w:t>
      </w:r>
      <w:r w:rsidRPr="00EE7D4D">
        <w:rPr>
          <w:rFonts w:ascii="Calibri" w:eastAsia="Calibri" w:hAnsi="Calibri" w:cs="Times New Roman"/>
          <w:color w:val="000000"/>
          <w:kern w:val="2"/>
          <w:sz w:val="28"/>
          <w14:ligatures w14:val="standardContextual"/>
        </w:rPr>
        <w:t xml:space="preserve">że ustalenia zawarte w punkcie 1 dotyczą etapu prowadzenia prac budowlanych, które w analizowanej sprawie zostały już wykonane, a ich uwzględnienie w decyzji jest niecelowe. </w:t>
      </w:r>
      <w:r w:rsidRPr="00EE7D4D">
        <w:rPr>
          <w:rFonts w:ascii="Calibri" w:eastAsia="Calibri" w:hAnsi="Calibri" w:cs="Times New Roman"/>
          <w:kern w:val="2"/>
          <w:sz w:val="28"/>
          <w14:ligatures w14:val="standardContextual"/>
        </w:rPr>
        <w:t>Nakładanie warunków na etap realizacji, który już nastąpił, naruszałoby zasadę celowości i wykonalności decyzji.</w:t>
      </w:r>
    </w:p>
    <w:p w14:paraId="5E722C9E"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Burmistrz Śremu zweryfikował również ustalenia punktu 5 i stwierdził, że zgodnie z raportem w gospodarstwie rolnym nie powstaje gnojowica, lecz obornik i gnojówka, co znalazło odzwierciedlenie w warunkach decyzji.</w:t>
      </w:r>
    </w:p>
    <w:p w14:paraId="5D268D93"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b/>
          <w:bCs/>
          <w:kern w:val="2"/>
          <w:sz w:val="28"/>
          <w14:ligatures w14:val="standardContextual"/>
        </w:rPr>
        <w:t>Regionalny Dyrektor Ochrony Środowiska w Poznaniu</w:t>
      </w:r>
      <w:r w:rsidRPr="00EE7D4D">
        <w:rPr>
          <w:rFonts w:ascii="Calibri" w:eastAsia="Calibri" w:hAnsi="Calibri" w:cs="Times New Roman"/>
          <w:kern w:val="2"/>
          <w:sz w:val="28"/>
          <w14:ligatures w14:val="standardContextual"/>
        </w:rPr>
        <w:t xml:space="preserve">, w postanowieniu z 06.04.2023 r. znak WOO-II.4220.26.2023.DG.2, wyraził opinię, że dla przedsięwzięcia </w:t>
      </w:r>
      <w:r w:rsidRPr="00EE7D4D">
        <w:rPr>
          <w:rFonts w:ascii="Calibri" w:eastAsia="Calibri" w:hAnsi="Calibri" w:cs="Times New Roman"/>
          <w:b/>
          <w:bCs/>
          <w:kern w:val="2"/>
          <w:sz w:val="28"/>
          <w14:ligatures w14:val="standardContextual"/>
        </w:rPr>
        <w:t>istnieje potrzeba przeprowadzenia oceny oddziaływania na środowisko</w:t>
      </w:r>
      <w:r w:rsidRPr="00EE7D4D">
        <w:rPr>
          <w:rFonts w:ascii="Calibri" w:eastAsia="Calibri" w:hAnsi="Calibri" w:cs="Times New Roman"/>
          <w:kern w:val="2"/>
          <w:sz w:val="28"/>
          <w14:ligatures w14:val="standardContextual"/>
        </w:rPr>
        <w:t xml:space="preserve"> i ustalił zakres raportu. </w:t>
      </w:r>
    </w:p>
    <w:p w14:paraId="2B123AFD"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b/>
          <w:bCs/>
          <w:kern w:val="2"/>
          <w:sz w:val="28"/>
          <w14:ligatures w14:val="standardContextual"/>
        </w:rPr>
        <w:t>Państwowy Powiatowy Inspektor Sanitarny w Śremie</w:t>
      </w:r>
      <w:r w:rsidRPr="00EE7D4D">
        <w:rPr>
          <w:rFonts w:ascii="Calibri" w:eastAsia="Calibri" w:hAnsi="Calibri" w:cs="Times New Roman"/>
          <w:kern w:val="2"/>
          <w:sz w:val="28"/>
          <w14:ligatures w14:val="standardContextual"/>
        </w:rPr>
        <w:t xml:space="preserve"> w piśmie z 19.04.2023 r. znak ON-NS.9011.18.6.2023 </w:t>
      </w:r>
      <w:r w:rsidRPr="00EE7D4D">
        <w:rPr>
          <w:rFonts w:ascii="Calibri" w:eastAsia="Calibri" w:hAnsi="Calibri" w:cs="Times New Roman"/>
          <w:b/>
          <w:bCs/>
          <w:kern w:val="2"/>
          <w:sz w:val="28"/>
          <w14:ligatures w14:val="standardContextual"/>
        </w:rPr>
        <w:t xml:space="preserve">wyraził opinię o potrzebie przeprowadzenia oceny oddziaływania </w:t>
      </w:r>
      <w:r w:rsidRPr="00EE7D4D">
        <w:rPr>
          <w:rFonts w:ascii="Calibri" w:eastAsia="Calibri" w:hAnsi="Calibri" w:cs="Times New Roman"/>
          <w:kern w:val="2"/>
          <w:sz w:val="28"/>
          <w14:ligatures w14:val="standardContextual"/>
        </w:rPr>
        <w:t xml:space="preserve">przedsięwzięcia na środowisko. </w:t>
      </w:r>
    </w:p>
    <w:p w14:paraId="756DB5AD" w14:textId="77777777" w:rsidR="00EE7D4D" w:rsidRPr="00EE7D4D" w:rsidRDefault="00EE7D4D" w:rsidP="00EE7D4D">
      <w:pPr>
        <w:spacing w:after="120" w:line="240" w:lineRule="auto"/>
        <w:ind w:firstLine="708"/>
        <w:rPr>
          <w:rFonts w:ascii="Calibri" w:eastAsia="Times New Roman" w:hAnsi="Calibri" w:cs="Calibri"/>
          <w:kern w:val="2"/>
          <w:sz w:val="28"/>
          <w:szCs w:val="28"/>
          <w:lang w:eastAsia="pl-PL"/>
          <w14:ligatures w14:val="standardContextual"/>
        </w:rPr>
      </w:pPr>
      <w:r w:rsidRPr="00EE7D4D">
        <w:rPr>
          <w:rFonts w:ascii="Calibri" w:eastAsia="Times New Roman" w:hAnsi="Calibri" w:cs="Calibri"/>
          <w:kern w:val="2"/>
          <w:sz w:val="28"/>
          <w:szCs w:val="28"/>
          <w:lang w:eastAsia="pl-PL"/>
          <w14:ligatures w14:val="standardContextual"/>
        </w:rPr>
        <w:t xml:space="preserve">Po przeanalizowaniu stanowisk Organów opiniujących oraz informacji zawartych w karcie informacyjnej przedsięwzięcia, Burmistrz Śremu, na mocy postanowienia z 02.05.2023 r., nałożył obowiązek przeprowadzenia oceny oddziaływania na środowisko dla wskazanego przedsięwzięcia i określił zakres raportu. </w:t>
      </w:r>
    </w:p>
    <w:p w14:paraId="0CDFAFC7" w14:textId="77777777" w:rsidR="00EE7D4D" w:rsidRPr="00EE7D4D" w:rsidRDefault="00EE7D4D" w:rsidP="00EE7D4D">
      <w:pPr>
        <w:spacing w:after="120" w:line="240" w:lineRule="auto"/>
        <w:ind w:firstLine="708"/>
        <w:rPr>
          <w:rFonts w:ascii="Calibri" w:eastAsia="Times New Roman" w:hAnsi="Calibri" w:cs="Calibri"/>
          <w:kern w:val="2"/>
          <w:sz w:val="28"/>
          <w:szCs w:val="28"/>
          <w:lang w:eastAsia="pl-PL"/>
          <w14:ligatures w14:val="standardContextual"/>
        </w:rPr>
      </w:pPr>
      <w:r w:rsidRPr="00EE7D4D">
        <w:rPr>
          <w:rFonts w:ascii="Calibri" w:eastAsia="Times New Roman" w:hAnsi="Calibri" w:cs="Calibri"/>
          <w:kern w:val="2"/>
          <w:sz w:val="28"/>
          <w:szCs w:val="28"/>
          <w:lang w:eastAsia="pl-PL"/>
          <w14:ligatures w14:val="standardContextual"/>
        </w:rPr>
        <w:lastRenderedPageBreak/>
        <w:t xml:space="preserve">05.04.2024 r. do Burmistrza Śremu wpłynął raport sporządzony w kwietniu 2024 r. przez Pana Macieja Augustyniaka wraz z pełnomocnictwem. </w:t>
      </w:r>
    </w:p>
    <w:p w14:paraId="7C671791" w14:textId="77777777" w:rsidR="00EE7D4D" w:rsidRPr="00EE7D4D" w:rsidRDefault="00EE7D4D" w:rsidP="00EE7D4D">
      <w:pPr>
        <w:spacing w:after="120" w:line="240" w:lineRule="auto"/>
        <w:ind w:firstLine="708"/>
        <w:rPr>
          <w:rFonts w:ascii="Calibri" w:eastAsia="Times New Roman" w:hAnsi="Calibri" w:cs="Calibri"/>
          <w:kern w:val="2"/>
          <w:sz w:val="28"/>
          <w:szCs w:val="28"/>
          <w:lang w:eastAsia="pl-PL"/>
          <w14:ligatures w14:val="standardContextual"/>
        </w:rPr>
      </w:pPr>
      <w:r w:rsidRPr="00EE7D4D">
        <w:rPr>
          <w:rFonts w:ascii="Calibri" w:eastAsia="Times New Roman" w:hAnsi="Calibri" w:cs="Calibri"/>
          <w:kern w:val="2"/>
          <w:sz w:val="28"/>
          <w:szCs w:val="28"/>
          <w:lang w:eastAsia="pl-PL"/>
          <w14:ligatures w14:val="standardContextual"/>
        </w:rPr>
        <w:t>Zgodnie z art. 33 ust. 1 i art. 79 ust. 1 u.o.o.ś. w celu zapewnienia udziału społeczeństwa w postępowaniu, w Biuletynie Informacji Publicznej Urzędu Miejskiego w Śremie (</w:t>
      </w:r>
      <w:hyperlink r:id="rId10" w:history="1">
        <w:r w:rsidRPr="00EE7D4D">
          <w:rPr>
            <w:rFonts w:ascii="Calibri" w:eastAsia="Calibri" w:hAnsi="Calibri" w:cs="Times New Roman"/>
            <w:color w:val="467886"/>
            <w:kern w:val="2"/>
            <w:sz w:val="28"/>
            <w:u w:val="single"/>
            <w14:ligatures w14:val="standardContextual"/>
          </w:rPr>
          <w:t>https://bip.srem.pl/public/?id=229275</w:t>
        </w:r>
      </w:hyperlink>
      <w:r w:rsidRPr="00EE7D4D">
        <w:rPr>
          <w:rFonts w:ascii="Calibri" w:eastAsia="Times New Roman" w:hAnsi="Calibri" w:cs="Calibri"/>
          <w:kern w:val="2"/>
          <w:sz w:val="28"/>
          <w:szCs w:val="28"/>
          <w:lang w:eastAsia="pl-PL"/>
          <w14:ligatures w14:val="standardContextual"/>
        </w:rPr>
        <w:t>), w gablotach informacyjnych Urzędu, na tablicach ogłoszeniowych w Dalewie oraz w prasie lokalnej (tydzien.net.pl nr 16 (1270) z 18.04.2024 r.) zamieszczono informacje o: złożeniu wniosku w sprawie wydania decyzji o środowiskowych uwarunkowaniach na realizację przedmiotowego przedsięwzięcia; przystąpieniu do przeprowadzenia oceny oddziaływania na środowisko dla przedmiotowego przedsięwzięcia; organie właściwym do wydania decyzji oraz organach właściwych do dokonania uzgodnienia i wyrażenia opinii; możliwości zapoznania się z dokumentacją sprawy oraz składania uwag i wniosków w terminie 30 dni, to jest od 18.04.2024 r. do 17.05.2024 r. We wskazanym terminie do Burmistrza Śremu nie wpłynęły jakiekolwiek uwagi społeczeństwa.</w:t>
      </w:r>
    </w:p>
    <w:p w14:paraId="1A00114F"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 xml:space="preserve">03.07.2024 r. do Burmistrza Śremu wpłynęło uzupełnienie raportu sporządzone w czerwcu 2024 r. Natomiast 04.07.2024 r. do Burmistrza Śremu wpłynął wniosek o </w:t>
      </w:r>
      <w:r w:rsidRPr="00EE7D4D">
        <w:rPr>
          <w:rFonts w:ascii="Calibri" w:eastAsia="Calibri" w:hAnsi="Calibri" w:cs="Times New Roman"/>
          <w:b/>
          <w:bCs/>
          <w:kern w:val="2"/>
          <w:sz w:val="28"/>
          <w14:ligatures w14:val="standardContextual"/>
        </w:rPr>
        <w:t>sprostowanie nazwy przedsięwzięcia na: „Rozbudowa istniejącej obory dla bydła mlecznego o maksymalnej obsadzie 71 DJP, na działce o numerze ewidencyjnym 265, obręb Dalewo”</w:t>
      </w:r>
      <w:r w:rsidRPr="00EE7D4D">
        <w:rPr>
          <w:rFonts w:ascii="Calibri" w:eastAsia="Calibri" w:hAnsi="Calibri" w:cs="Times New Roman"/>
          <w:kern w:val="2"/>
          <w:sz w:val="28"/>
          <w14:ligatures w14:val="standardContextual"/>
        </w:rPr>
        <w:t>.</w:t>
      </w:r>
    </w:p>
    <w:p w14:paraId="0FA4D274" w14:textId="77777777" w:rsidR="00EE7D4D" w:rsidRPr="00EE7D4D" w:rsidRDefault="00EE7D4D" w:rsidP="00EE7D4D">
      <w:pPr>
        <w:spacing w:after="120" w:line="240" w:lineRule="auto"/>
        <w:ind w:firstLine="709"/>
        <w:rPr>
          <w:rFonts w:ascii="Calibri" w:eastAsia="Times New Roman" w:hAnsi="Calibri" w:cs="Aptos"/>
          <w:kern w:val="2"/>
          <w:sz w:val="28"/>
          <w:szCs w:val="28"/>
          <w:lang w:eastAsia="pl-PL"/>
          <w14:ligatures w14:val="standardContextual"/>
        </w:rPr>
      </w:pPr>
      <w:r w:rsidRPr="00EE7D4D">
        <w:rPr>
          <w:rFonts w:ascii="Calibri" w:eastAsia="Times New Roman" w:hAnsi="Calibri" w:cs="Aptos"/>
          <w:kern w:val="2"/>
          <w:sz w:val="28"/>
          <w:szCs w:val="28"/>
          <w:lang w:eastAsia="pl-PL"/>
          <w14:ligatures w14:val="standardContextual"/>
        </w:rPr>
        <w:t xml:space="preserve">Na podstawie art. 77 ust. 1 pkt 1 i 2 u.o.o.ś. Burmistrz Śremu, pismem z 04.07.2024 r., wystąpił do Regionalnego Dyrektora Ochrony Środowiska w Poznaniu o uzgodnienie środowiskowych uwarunkowań dla przedmiotowego przedsięwzięcia oraz Państwowego Powiatowego Inspektora Sanitarnego w Śremie o opinię w sprawie warunków realizacji przedsięwzięcia. </w:t>
      </w:r>
      <w:bookmarkStart w:id="2" w:name="mip45490946"/>
      <w:bookmarkEnd w:id="2"/>
      <w:r w:rsidRPr="00EE7D4D">
        <w:rPr>
          <w:rFonts w:ascii="Calibri" w:eastAsia="Times New Roman" w:hAnsi="Calibri" w:cs="Aptos"/>
          <w:kern w:val="2"/>
          <w:sz w:val="28"/>
          <w:szCs w:val="28"/>
          <w:lang w:eastAsia="pl-PL"/>
          <w14:ligatures w14:val="standardContextual"/>
        </w:rPr>
        <w:t xml:space="preserve">Przepisy art. 77 ust. 1 pkt 4 u.o.o.ś. stosuje się odpowiednio. </w:t>
      </w:r>
    </w:p>
    <w:p w14:paraId="412A5BF2" w14:textId="77777777" w:rsidR="00EE7D4D" w:rsidRPr="00EE7D4D" w:rsidRDefault="00EE7D4D" w:rsidP="00EE7D4D">
      <w:pPr>
        <w:spacing w:after="0" w:line="240" w:lineRule="auto"/>
        <w:ind w:firstLine="709"/>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Państwowy Powiatowy Inspektor Sanitarny w Śremie, w piśmie z 31.07.2024 r. znak ON-NS.9011.18.25.2024, zaopiniował warunki w zakresie wymagań higienicznych i zdrowotnych do decyzji o środowiskowych uwarunkowaniach z następującymi uwagami:</w:t>
      </w:r>
    </w:p>
    <w:p w14:paraId="11162869" w14:textId="77777777" w:rsidR="00EE7D4D" w:rsidRPr="00EE7D4D" w:rsidRDefault="00EE7D4D" w:rsidP="00EE7D4D">
      <w:pPr>
        <w:spacing w:after="0" w:line="240" w:lineRule="auto"/>
        <w:ind w:left="284" w:hanging="284"/>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 xml:space="preserve">„1) </w:t>
      </w:r>
      <w:bookmarkStart w:id="3" w:name="_Hlk200533311"/>
      <w:r w:rsidRPr="00EE7D4D">
        <w:rPr>
          <w:rFonts w:ascii="Calibri" w:eastAsia="Calibri" w:hAnsi="Calibri" w:cs="Times New Roman"/>
          <w:kern w:val="2"/>
          <w:sz w:val="28"/>
          <w14:ligatures w14:val="standardContextual"/>
        </w:rPr>
        <w:t>Zapewnić zieleń izolacyjną składającą się z drzew i krzewów zimozielonych, tj.: zieleń wielopiętrową, złożoną z gatunków o gęstym poszyciu, gwarantującą długotrwałe utrzymanie zieleni, odporną na zanieczyszczenia, stanowiącą barierę funkcjonalną i optyczną oraz charakteryzującą się szybkim przyrostem wzdłuż wschodniej i zachodniej granicy działki inwestycyjnej</w:t>
      </w:r>
      <w:bookmarkEnd w:id="3"/>
      <w:r w:rsidRPr="00EE7D4D">
        <w:rPr>
          <w:rFonts w:ascii="Calibri" w:eastAsia="Calibri" w:hAnsi="Calibri" w:cs="Times New Roman"/>
          <w:kern w:val="2"/>
          <w:sz w:val="28"/>
          <w14:ligatures w14:val="standardContextual"/>
        </w:rPr>
        <w:t>;</w:t>
      </w:r>
    </w:p>
    <w:p w14:paraId="1A19014A" w14:textId="77777777" w:rsidR="00EE7D4D" w:rsidRPr="00EE7D4D" w:rsidRDefault="00EE7D4D">
      <w:pPr>
        <w:numPr>
          <w:ilvl w:val="0"/>
          <w:numId w:val="7"/>
        </w:numPr>
        <w:tabs>
          <w:tab w:val="left" w:pos="284"/>
        </w:tabs>
        <w:spacing w:after="120" w:line="240" w:lineRule="auto"/>
        <w:ind w:left="284" w:hanging="284"/>
        <w:contextualSpacing/>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lastRenderedPageBreak/>
        <w:t>Nie należy wykonywać hałaśliwych operacji w porze nocnej. Ograniczyć wszelkie prace związane z funkcjonowaniem gospodarstwa do pory dziennej tj. 6:00 – 22:00.”</w:t>
      </w:r>
    </w:p>
    <w:p w14:paraId="4C532FC0"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Regionalny Dyrektor Ochrony Środowiska w Poznaniu, pismem z 02.08.2024 r., zwrócił się do Burmistrza Śremu, o wezwanie wnioskodawcy do złożenia dodatkowych wyjaśnień i uzupełnień do raportu. Burmistrz Śremu, pismami z 06.08.2024 r. i 11.09.2024 r., wezwał wnioskodawcę do przedłożenia wymaganych informacji. Uzupełnienia raportu z 05.09.2024 r. (data wpływu 09.09.2024 r.) i 03.10.2024 r. (data wpływu 04.10.2024 r.) Burmistrz Śremu przekazał Regionalnemu Dyrektorowi Ochrony Środowiska w Poznaniu pismem z 15.10.2024 r.</w:t>
      </w:r>
    </w:p>
    <w:p w14:paraId="2E5BB79C"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 xml:space="preserve">12.12.2024 r. do Burmistrza Śremu wpłynęło pismo Regionalnego Dyrektora Ochrony Środowiska w Poznaniu, o wezwanie wnioskodawcy do złożenia kolejnych wyjaśnień i uzupełnień do raportu. Burmistrz Śremu, pismem z 16.12.2024 r., wezwał wnioskodawcę do przedłożenia wymaganych informacji. </w:t>
      </w:r>
    </w:p>
    <w:p w14:paraId="0F9FB3DE"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 xml:space="preserve">25.04.2025 r. do Burmistrza Śremu wpłynęło uzupełnienie raportu sporządzone w kwietniu 2025 r., skorygowane pismem z 07.05.2025 r. (data wpływu 12.05.2025 r.), w którym </w:t>
      </w:r>
      <w:r w:rsidRPr="00EE7D4D">
        <w:rPr>
          <w:rFonts w:ascii="Calibri" w:eastAsia="Calibri" w:hAnsi="Calibri" w:cs="Times New Roman"/>
          <w:b/>
          <w:bCs/>
          <w:kern w:val="2"/>
          <w:sz w:val="28"/>
          <w14:ligatures w14:val="standardContextual"/>
        </w:rPr>
        <w:t>wnioskodawca wniósł o zmianę nazwy przedsięwzięcia na: „Legalizacja rozbudowy istniejącej obory (obora nr 1) dla bydła mlecznego (o maksymalnej obsadzie 55,75 DJP) o 71 DJP, na działce o numerze ewidencyjnym 265, obręb Dalewo”</w:t>
      </w:r>
      <w:r w:rsidRPr="00EE7D4D">
        <w:rPr>
          <w:rFonts w:ascii="Calibri" w:eastAsia="Calibri" w:hAnsi="Calibri" w:cs="Times New Roman"/>
          <w:kern w:val="2"/>
          <w:sz w:val="28"/>
          <w14:ligatures w14:val="standardContextual"/>
        </w:rPr>
        <w:t xml:space="preserve">. </w:t>
      </w:r>
    </w:p>
    <w:p w14:paraId="7CC3F71A"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Burmistrz Śremu, pismem z 15.05.2025 r., przekazał Regionalnemu Dyrektorowi Ochrony Środowiska w Poznaniu uzupełnienie raportu.</w:t>
      </w:r>
    </w:p>
    <w:p w14:paraId="04EBAE23" w14:textId="77777777" w:rsidR="00EE7D4D" w:rsidRPr="00EE7D4D" w:rsidRDefault="00EE7D4D" w:rsidP="00EE7D4D">
      <w:pPr>
        <w:spacing w:after="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 xml:space="preserve">Postanowieniem z 15.10.2025 r. znak WOO-I.4221.197.2024.JW.4 </w:t>
      </w:r>
      <w:r w:rsidRPr="00EE7D4D">
        <w:rPr>
          <w:rFonts w:ascii="Calibri" w:eastAsia="Calibri" w:hAnsi="Calibri" w:cs="Times New Roman"/>
          <w:b/>
          <w:bCs/>
          <w:kern w:val="2"/>
          <w:sz w:val="28"/>
          <w14:ligatures w14:val="standardContextual"/>
        </w:rPr>
        <w:t>Regionalny Dyrektor Ochrony Środowiska w Poznaniu uzgodnił realizację planowanego przedsięwzięcia</w:t>
      </w:r>
      <w:r w:rsidRPr="00EE7D4D">
        <w:rPr>
          <w:rFonts w:ascii="Calibri" w:eastAsia="Calibri" w:hAnsi="Calibri" w:cs="Times New Roman"/>
          <w:kern w:val="2"/>
          <w:sz w:val="28"/>
          <w14:ligatures w14:val="standardContextual"/>
        </w:rPr>
        <w:t xml:space="preserve"> i określił następujące warunki tej realizacji:</w:t>
      </w:r>
    </w:p>
    <w:p w14:paraId="60843AC5" w14:textId="77777777" w:rsidR="00EE7D4D" w:rsidRPr="00EE7D4D" w:rsidRDefault="00EE7D4D" w:rsidP="00EE7D4D">
      <w:pPr>
        <w:spacing w:after="0" w:line="240" w:lineRule="auto"/>
        <w:ind w:left="426" w:hanging="426"/>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„1. Na terenie gospodarstwa utrzymywać obsadę bydła mlecznego nie większą niż 134,45 DJP.</w:t>
      </w:r>
    </w:p>
    <w:p w14:paraId="4BCF9166" w14:textId="77777777" w:rsidR="00EE7D4D" w:rsidRPr="00EE7D4D" w:rsidRDefault="00EE7D4D" w:rsidP="00EE7D4D">
      <w:pPr>
        <w:spacing w:after="0" w:line="240" w:lineRule="auto"/>
        <w:ind w:left="284" w:hanging="284"/>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2. W legalizowanej części obory nr 1 na głębokiej ściółce, luzem bez legowisk utrzymywać:</w:t>
      </w:r>
    </w:p>
    <w:p w14:paraId="7509DD3A" w14:textId="77777777" w:rsidR="00EE7D4D" w:rsidRPr="00EE7D4D" w:rsidRDefault="00EE7D4D" w:rsidP="00EE7D4D">
      <w:pPr>
        <w:spacing w:after="0" w:line="240" w:lineRule="auto"/>
        <w:ind w:left="567" w:hanging="283"/>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A. w 5 kojcach o powierzchni nie większej niż 51,33 m2 każdy po 11 krów mlecznych,</w:t>
      </w:r>
    </w:p>
    <w:p w14:paraId="1678FED9" w14:textId="77777777" w:rsidR="00EE7D4D" w:rsidRPr="00EE7D4D" w:rsidRDefault="00EE7D4D" w:rsidP="00EE7D4D">
      <w:pPr>
        <w:spacing w:after="0" w:line="240" w:lineRule="auto"/>
        <w:ind w:left="567" w:hanging="283"/>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B. w 2 kojcach o powierzchni nie większej niż 22,09 m2 każdy po 10 jałówek powyżej 1 roku życia.</w:t>
      </w:r>
    </w:p>
    <w:p w14:paraId="3AD57937" w14:textId="77777777" w:rsidR="00EE7D4D" w:rsidRPr="00EE7D4D" w:rsidRDefault="00EE7D4D" w:rsidP="00EE7D4D">
      <w:pPr>
        <w:spacing w:after="0" w:line="240" w:lineRule="auto"/>
        <w:ind w:left="284" w:hanging="284"/>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3. Łącznie w oborze nr 1 utrzymywać nie więcej niż 126,75 DJP bydła mlecznego.</w:t>
      </w:r>
    </w:p>
    <w:p w14:paraId="2A97F72B" w14:textId="77777777" w:rsidR="00EE7D4D" w:rsidRPr="00EE7D4D" w:rsidRDefault="00EE7D4D" w:rsidP="00EE7D4D">
      <w:pPr>
        <w:spacing w:after="0" w:line="240" w:lineRule="auto"/>
        <w:ind w:left="284" w:hanging="284"/>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lastRenderedPageBreak/>
        <w:t>4. Obiekty inwentarskie utrzymywać w czystości. W obiektach zaprojektować sprawny system wentylacji zapewniającej odpowiednią temperaturę i wilgotność wewnątrz.</w:t>
      </w:r>
    </w:p>
    <w:p w14:paraId="22F1EB57" w14:textId="77777777" w:rsidR="00EE7D4D" w:rsidRPr="00EE7D4D" w:rsidRDefault="00EE7D4D" w:rsidP="00EE7D4D">
      <w:pPr>
        <w:spacing w:after="0" w:line="240" w:lineRule="auto"/>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5. Pasze objętościowe przechowywać w szczelnych rękawach lub balotach.</w:t>
      </w:r>
    </w:p>
    <w:p w14:paraId="35DE1D5B" w14:textId="77777777" w:rsidR="00EE7D4D" w:rsidRPr="00EE7D4D" w:rsidRDefault="00EE7D4D" w:rsidP="00EE7D4D">
      <w:pPr>
        <w:spacing w:after="0" w:line="240" w:lineRule="auto"/>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6. Wodę na potrzeby przedsięwzięcia zapewnić z sieci wodociągowej.</w:t>
      </w:r>
    </w:p>
    <w:p w14:paraId="2519011B" w14:textId="77777777" w:rsidR="00EE7D4D" w:rsidRPr="00EE7D4D" w:rsidRDefault="00EE7D4D" w:rsidP="00EE7D4D">
      <w:pPr>
        <w:spacing w:after="0" w:line="240" w:lineRule="auto"/>
        <w:ind w:left="284" w:hanging="284"/>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7. Budynki inwentarskie czyścić poprzez zamgławianie lub bielenie, natomiast dezynfekcję przeprowadzać poprzez zamgławianie, bez generowania ścieków.</w:t>
      </w:r>
    </w:p>
    <w:p w14:paraId="4B4C2281" w14:textId="77777777" w:rsidR="00EE7D4D" w:rsidRPr="00EE7D4D" w:rsidRDefault="00EE7D4D" w:rsidP="00EE7D4D">
      <w:pPr>
        <w:spacing w:after="0" w:line="240" w:lineRule="auto"/>
        <w:ind w:left="284" w:hanging="284"/>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8. Ścieki przemysłowe powstające z mycia hali udojowej i urządzeń udojowych odprowadzać do gminnej kanalizacji sanitarnej.</w:t>
      </w:r>
    </w:p>
    <w:p w14:paraId="42D48375" w14:textId="77777777" w:rsidR="00EE7D4D" w:rsidRPr="00EE7D4D" w:rsidRDefault="00EE7D4D" w:rsidP="00EE7D4D">
      <w:pPr>
        <w:spacing w:after="0" w:line="240" w:lineRule="auto"/>
        <w:ind w:left="284" w:hanging="284"/>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9. Przepompowywanie gnojowicy ze zbiorników realizować z wykorzystaniem hermetycznego złącza.</w:t>
      </w:r>
    </w:p>
    <w:p w14:paraId="6DC3FC1D" w14:textId="77777777" w:rsidR="00EE7D4D" w:rsidRPr="00EE7D4D" w:rsidRDefault="00EE7D4D" w:rsidP="00EE7D4D">
      <w:pPr>
        <w:spacing w:after="0" w:line="240" w:lineRule="auto"/>
        <w:ind w:left="425" w:hanging="425"/>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10. Obornik magazynować na istniejącej płycie obornikowej. Gnojówkę z obiektów inwentarskich magazynować w zbiornikach bezodpływowych o pojemności umożliwiającej jej magazynowanie przez okres określony w przepisach szczegółowych.</w:t>
      </w:r>
    </w:p>
    <w:p w14:paraId="12ABD1DC" w14:textId="77777777" w:rsidR="00EE7D4D" w:rsidRPr="00EE7D4D" w:rsidRDefault="00EE7D4D" w:rsidP="00EE7D4D">
      <w:pPr>
        <w:spacing w:after="0" w:line="240" w:lineRule="auto"/>
        <w:ind w:left="425" w:hanging="425"/>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11. Wywóz gnojówki prowadzić w sposób zhermetyzowany, z wykorzystaniem szczelnego złącza.</w:t>
      </w:r>
    </w:p>
    <w:p w14:paraId="649E98FF" w14:textId="77777777" w:rsidR="00EE7D4D" w:rsidRPr="00EE7D4D" w:rsidRDefault="00EE7D4D" w:rsidP="00EE7D4D">
      <w:pPr>
        <w:spacing w:after="0" w:line="240" w:lineRule="auto"/>
        <w:ind w:left="425" w:hanging="425"/>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12. Nawozy naturalne powstające na terenie gospodarstwa wykorzystywać na gruntach własnych. Ewentualne nadwyżki przekazywać do zagospodarowania innym podmiotom na podstawie przepisów szczegółowych.</w:t>
      </w:r>
    </w:p>
    <w:p w14:paraId="336051B1" w14:textId="77777777" w:rsidR="00EE7D4D" w:rsidRPr="00EE7D4D" w:rsidRDefault="00EE7D4D" w:rsidP="00EE7D4D">
      <w:pPr>
        <w:spacing w:after="0" w:line="240" w:lineRule="auto"/>
        <w:ind w:left="425" w:hanging="425"/>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13. Wody opadowe lub roztopowe z powierzchni dachowych oraz terenów utwardzonych odprowadzać na tereny biologicznie czynne wnioskodawcy, bez powodowania szkód na terenach sąsiednich.</w:t>
      </w:r>
    </w:p>
    <w:p w14:paraId="112AD217" w14:textId="77777777" w:rsidR="00EE7D4D" w:rsidRPr="00EE7D4D" w:rsidRDefault="00EE7D4D" w:rsidP="00EE7D4D">
      <w:pPr>
        <w:spacing w:after="0" w:line="240" w:lineRule="auto"/>
        <w:ind w:left="425" w:hanging="425"/>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14. Zwierzęta padłe i ubite z konieczności magazynować na terenie gospodarstwa w szczelnych workach foliowych umieszczonych w kontenerze na upadki, a następnie przekazywać podmiotom zewnętrznym zgodnie z przepisami szczegółowymi.</w:t>
      </w:r>
    </w:p>
    <w:p w14:paraId="32CA6737" w14:textId="77777777" w:rsidR="00EE7D4D" w:rsidRPr="00EE7D4D" w:rsidRDefault="00EE7D4D" w:rsidP="00EE7D4D">
      <w:pPr>
        <w:spacing w:after="120" w:line="240" w:lineRule="auto"/>
        <w:ind w:left="425" w:hanging="425"/>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15. Ruch pojazdów po terenie gospodarstwa ograniczyć do pory dnia, tj. do godzin 06.00–22.00.”.</w:t>
      </w:r>
    </w:p>
    <w:p w14:paraId="19E67EED" w14:textId="77777777" w:rsidR="00EE7D4D" w:rsidRPr="00EE7D4D" w:rsidRDefault="00EE7D4D" w:rsidP="00EE7D4D">
      <w:pPr>
        <w:tabs>
          <w:tab w:val="left" w:pos="0"/>
        </w:tabs>
        <w:spacing w:after="120" w:line="240" w:lineRule="auto"/>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ab/>
        <w:t>Jednocześnie Organ uzgadniający nie stwierdził konieczności ponownego przeprowadzenia oceny oddziaływania przedsięwzięcia na środowisko oraz postępowania w sprawie transgranicznego oddziaływania na środowisko w ramach postępowania w sprawie wydania decyzji, o których mowa w art. 72 ust. 1 pkt 1 u.o.o.ś.</w:t>
      </w:r>
    </w:p>
    <w:p w14:paraId="3AA00AB0" w14:textId="77777777" w:rsidR="00EE7D4D" w:rsidRPr="00EE7D4D" w:rsidRDefault="00EE7D4D" w:rsidP="00EE7D4D">
      <w:pPr>
        <w:tabs>
          <w:tab w:val="left" w:pos="0"/>
        </w:tabs>
        <w:spacing w:after="120" w:line="240" w:lineRule="auto"/>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ab/>
      </w:r>
    </w:p>
    <w:p w14:paraId="28C6CB72" w14:textId="77777777" w:rsidR="00EE7D4D" w:rsidRPr="00EE7D4D" w:rsidRDefault="00EE7D4D" w:rsidP="00EE7D4D">
      <w:pPr>
        <w:spacing w:after="0" w:line="240" w:lineRule="auto"/>
        <w:jc w:val="both"/>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br w:type="page"/>
      </w:r>
    </w:p>
    <w:p w14:paraId="6D778F28" w14:textId="77777777" w:rsidR="00EE7D4D" w:rsidRPr="00EE7D4D" w:rsidRDefault="00EE7D4D" w:rsidP="00EE7D4D">
      <w:pPr>
        <w:tabs>
          <w:tab w:val="left" w:pos="0"/>
        </w:tabs>
        <w:spacing w:after="120" w:line="240" w:lineRule="auto"/>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lastRenderedPageBreak/>
        <w:tab/>
        <w:t>Burmistrz Śremu zweryfikował ustalenie punktu 9 i stwierdził, że zgodnie z raportem w wyniku chowu ściółkowego w gospodarstwie rolnym nie powstaje gnojowica, ale obornik i gnojówka, co znalazło swoje odzwierciedlenie w warunkach decyzji.</w:t>
      </w:r>
    </w:p>
    <w:p w14:paraId="1EBBDAF5" w14:textId="77777777" w:rsidR="00EE7D4D" w:rsidRPr="00EE7D4D" w:rsidRDefault="00EE7D4D" w:rsidP="00EE7D4D">
      <w:pPr>
        <w:tabs>
          <w:tab w:val="left" w:pos="0"/>
        </w:tabs>
        <w:spacing w:after="120" w:line="240" w:lineRule="auto"/>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ab/>
        <w:t>W związku z uzupełnieniami raportu, stosownie do art. 77 ust 1 pkt 2, Burmistrz Śremu, pismem z 20.10.2025 r., wystąpił do Państwowego Powiatowego Inspektora Sanitarnego w Śremie, o ponowne wyrażenie opinii w sprawie warunków realizacji przedsięwzięcia.</w:t>
      </w:r>
    </w:p>
    <w:p w14:paraId="27CBB25C" w14:textId="77777777" w:rsidR="00EE7D4D" w:rsidRPr="00EE7D4D" w:rsidRDefault="00EE7D4D" w:rsidP="00EE7D4D">
      <w:pPr>
        <w:tabs>
          <w:tab w:val="left" w:pos="0"/>
        </w:tabs>
        <w:spacing w:after="0" w:line="240" w:lineRule="auto"/>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ab/>
      </w:r>
      <w:r w:rsidRPr="00EE7D4D">
        <w:rPr>
          <w:rFonts w:ascii="Calibri" w:eastAsia="Calibri" w:hAnsi="Calibri" w:cs="Times New Roman"/>
          <w:b/>
          <w:bCs/>
          <w:kern w:val="2"/>
          <w:sz w:val="28"/>
          <w14:ligatures w14:val="standardContextual"/>
        </w:rPr>
        <w:t>Państwowy Powiatowy Inspektor Sanitarny w Śremie</w:t>
      </w:r>
      <w:r w:rsidRPr="00EE7D4D">
        <w:rPr>
          <w:rFonts w:ascii="Calibri" w:eastAsia="Calibri" w:hAnsi="Calibri" w:cs="Times New Roman"/>
          <w:kern w:val="2"/>
          <w:sz w:val="28"/>
          <w14:ligatures w14:val="standardContextual"/>
        </w:rPr>
        <w:t xml:space="preserve">, w piśmie z 20.11.2025 r. znak ON-NS.9011.587.2025, </w:t>
      </w:r>
      <w:r w:rsidRPr="00EE7D4D">
        <w:rPr>
          <w:rFonts w:ascii="Calibri" w:eastAsia="Calibri" w:hAnsi="Calibri" w:cs="Times New Roman"/>
          <w:b/>
          <w:bCs/>
          <w:kern w:val="2"/>
          <w:sz w:val="28"/>
          <w14:ligatures w14:val="standardContextual"/>
        </w:rPr>
        <w:t>zaopiniował warunki</w:t>
      </w:r>
      <w:r w:rsidRPr="00EE7D4D">
        <w:rPr>
          <w:rFonts w:ascii="Calibri" w:eastAsia="Calibri" w:hAnsi="Calibri" w:cs="Times New Roman"/>
          <w:kern w:val="2"/>
          <w:sz w:val="28"/>
          <w14:ligatures w14:val="standardContextual"/>
        </w:rPr>
        <w:t xml:space="preserve"> w zakresie wymagań higienicznych i zdrowotnych do decyzji o środowiskowych uwarunkowaniach z następującymi uwagami:</w:t>
      </w:r>
    </w:p>
    <w:p w14:paraId="4C864698" w14:textId="77777777" w:rsidR="00EE7D4D" w:rsidRPr="00EE7D4D" w:rsidRDefault="00EE7D4D" w:rsidP="00EE7D4D">
      <w:pPr>
        <w:tabs>
          <w:tab w:val="left" w:pos="284"/>
        </w:tabs>
        <w:spacing w:after="0" w:line="240" w:lineRule="auto"/>
        <w:ind w:left="425" w:hanging="425"/>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 xml:space="preserve">„1) </w:t>
      </w:r>
      <w:bookmarkStart w:id="4" w:name="_Hlk219963371"/>
      <w:r w:rsidRPr="00EE7D4D">
        <w:rPr>
          <w:rFonts w:ascii="Calibri" w:eastAsia="Calibri" w:hAnsi="Calibri" w:cs="Times New Roman"/>
          <w:kern w:val="2"/>
          <w:sz w:val="28"/>
          <w14:ligatures w14:val="standardContextual"/>
        </w:rPr>
        <w:t>Zapewnić zieleń izolacyjną składającą się z drzew i krzewów zimozielonych, tj.: zieleń wielopiętrową, złożoną z gatunków o gęstym poszyciu, gwarantującą długotrwałe utrzymanie zieleni, odporną na zanieczyszczenia, stanowiącą barierę funkcjonalną i optyczną oraz charakteryzującą się szybkim przyrostem wzdłuż wschodniej i zachodniej granicy działki inwestycyjnej;</w:t>
      </w:r>
    </w:p>
    <w:p w14:paraId="564F0085" w14:textId="77777777" w:rsidR="00EE7D4D" w:rsidRPr="00EE7D4D" w:rsidRDefault="00EE7D4D" w:rsidP="00EE7D4D">
      <w:pPr>
        <w:spacing w:after="120" w:line="240" w:lineRule="auto"/>
        <w:ind w:left="426" w:hanging="426"/>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2)</w:t>
      </w:r>
      <w:r w:rsidRPr="00EE7D4D">
        <w:rPr>
          <w:rFonts w:ascii="Calibri" w:eastAsia="Calibri" w:hAnsi="Calibri" w:cs="Times New Roman"/>
          <w:kern w:val="2"/>
          <w:sz w:val="28"/>
          <w14:ligatures w14:val="standardContextual"/>
        </w:rPr>
        <w:tab/>
        <w:t>Nie należy wykonywać hałaśliwych operacji w porze nocnej. Ograniczyć wszelkie prace związane z funkcjonowaniem gospodarstwa do pory dziennej tj. 6:00 – 22:00</w:t>
      </w:r>
      <w:bookmarkEnd w:id="4"/>
      <w:r w:rsidRPr="00EE7D4D">
        <w:rPr>
          <w:rFonts w:ascii="Calibri" w:eastAsia="Calibri" w:hAnsi="Calibri" w:cs="Times New Roman"/>
          <w:kern w:val="2"/>
          <w:sz w:val="28"/>
          <w14:ligatures w14:val="standardContextual"/>
        </w:rPr>
        <w:t>.”</w:t>
      </w:r>
    </w:p>
    <w:p w14:paraId="2FD3DD36"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Stosownie do art. 33 ust. 1 i art. 79 ust. 1 u.o.o.ś. Burmistrz Śremu zapewnił udział społeczeństwa w postępowaniu. W Biuletynie Informacji Publicznej Urzędu Miejskiego w Śremie (</w:t>
      </w:r>
      <w:hyperlink r:id="rId11" w:history="1">
        <w:r w:rsidRPr="00EE7D4D">
          <w:rPr>
            <w:rFonts w:ascii="Calibri" w:eastAsia="Calibri" w:hAnsi="Calibri" w:cs="Times New Roman"/>
            <w:color w:val="467886"/>
            <w:kern w:val="2"/>
            <w:sz w:val="28"/>
            <w:u w:val="single"/>
            <w14:ligatures w14:val="standardContextual"/>
          </w:rPr>
          <w:t>https://bip.srem.pl/public/?id=233260</w:t>
        </w:r>
      </w:hyperlink>
      <w:r w:rsidRPr="00EE7D4D">
        <w:rPr>
          <w:rFonts w:ascii="Calibri" w:eastAsia="Calibri" w:hAnsi="Calibri" w:cs="Times New Roman"/>
          <w:kern w:val="2"/>
          <w:sz w:val="28"/>
          <w14:ligatures w14:val="standardContextual"/>
        </w:rPr>
        <w:t>), w gablotach informacyjnych Urzędu oraz na tablicach ogłoszeniowych w Dalewie, zamieszczono informacje o: złożeniu wniosku w sprawie wydania decyzji o środowiskowych uwarunkowaniach na realizację przedmiotowego przedsięwzięcia; przeprowadzonej ocenie oddziaływania na środowisko dla przedmiotowego przedsięwzięcia; organie właściwym do wydania decyzji oraz organach właściwych do dokonania uzgodnienia i wyrażenia opinii; możliwości zapoznania się z dokumentacją sprawy oraz składania uwag i wniosków w terminie 30 dni, to jest od 01.12.2025 r. do 30.12.2025 r. We wskazanym terminie do Burmistrza Śremu nie wpłynęły jakiekolwiek uwagi społeczeństwa.</w:t>
      </w:r>
    </w:p>
    <w:p w14:paraId="6DDA33DC" w14:textId="77777777" w:rsidR="00EE7D4D" w:rsidRPr="00EE7D4D" w:rsidRDefault="00EE7D4D" w:rsidP="00EE7D4D">
      <w:pPr>
        <w:spacing w:after="0" w:line="240" w:lineRule="auto"/>
        <w:jc w:val="both"/>
        <w:rPr>
          <w:rFonts w:ascii="Calibri" w:eastAsia="Times New Roman" w:hAnsi="Calibri" w:cs="Calibri"/>
          <w:sz w:val="28"/>
          <w:szCs w:val="28"/>
          <w:lang w:eastAsia="pl-PL"/>
        </w:rPr>
      </w:pPr>
      <w:r w:rsidRPr="00EE7D4D">
        <w:rPr>
          <w:rFonts w:ascii="Calibri" w:eastAsia="Times New Roman" w:hAnsi="Calibri" w:cs="Calibri"/>
          <w:sz w:val="28"/>
          <w:szCs w:val="28"/>
          <w:lang w:eastAsia="pl-PL"/>
        </w:rPr>
        <w:br w:type="page"/>
      </w:r>
    </w:p>
    <w:p w14:paraId="6704778E" w14:textId="77777777" w:rsidR="00EE7D4D" w:rsidRPr="00EE7D4D" w:rsidRDefault="00EE7D4D" w:rsidP="00EE7D4D">
      <w:pPr>
        <w:spacing w:after="120" w:line="240" w:lineRule="auto"/>
        <w:ind w:firstLine="708"/>
        <w:rPr>
          <w:rFonts w:ascii="Calibri" w:eastAsia="Times New Roman" w:hAnsi="Calibri" w:cs="Calibri"/>
          <w:sz w:val="28"/>
          <w:szCs w:val="28"/>
          <w:lang w:eastAsia="pl-PL"/>
        </w:rPr>
      </w:pPr>
      <w:r w:rsidRPr="00EE7D4D">
        <w:rPr>
          <w:rFonts w:ascii="Calibri" w:eastAsia="Times New Roman" w:hAnsi="Calibri" w:cs="Calibri"/>
          <w:sz w:val="28"/>
          <w:szCs w:val="28"/>
          <w:lang w:eastAsia="pl-PL"/>
        </w:rPr>
        <w:lastRenderedPageBreak/>
        <w:t>Następnie zgodnie z art. 74 ust. 3 u.o.o.ś. strony postępowania zostały powiadomione, w formie obwieszczenia z 05.01.2026 r., o możliwości zapoznania się i wypowiedzenia co do zebranych dowodów i materiałów oraz zgłoszonych żądań w sprawie, w terminie pięciu dni od dnia dokonania zawiadomienia. Obwieszczenie zamieszczono w Biuletynie Informacji Publicznej Urzędu Miejskiego w Śremie (</w:t>
      </w:r>
      <w:hyperlink r:id="rId12" w:history="1">
        <w:r w:rsidRPr="00EE7D4D">
          <w:rPr>
            <w:rFonts w:ascii="Calibri" w:eastAsia="Calibri" w:hAnsi="Calibri" w:cs="Times New Roman"/>
            <w:color w:val="467886"/>
            <w:kern w:val="2"/>
            <w:sz w:val="28"/>
            <w:u w:val="single"/>
            <w14:ligatures w14:val="standardContextual"/>
          </w:rPr>
          <w:t>https://bip.srem.pl/public/?id=238291</w:t>
        </w:r>
      </w:hyperlink>
      <w:r w:rsidRPr="00EE7D4D">
        <w:rPr>
          <w:rFonts w:ascii="Calibri" w:eastAsia="Times New Roman" w:hAnsi="Calibri" w:cs="Calibri"/>
          <w:sz w:val="28"/>
          <w:szCs w:val="28"/>
          <w:lang w:eastAsia="pl-PL"/>
        </w:rPr>
        <w:t xml:space="preserve">), w gablotach informacyjnych Urzędu oraz na tablicach ogłoszeniowych w Dalewie. Żadna ze stron postępowania nie skorzystała z przysługującego jej prawa. </w:t>
      </w:r>
    </w:p>
    <w:p w14:paraId="316B6D83" w14:textId="77777777" w:rsidR="00EE7D4D" w:rsidRPr="00EE7D4D" w:rsidRDefault="00EE7D4D" w:rsidP="00EE7D4D">
      <w:pPr>
        <w:spacing w:after="120" w:line="240" w:lineRule="auto"/>
        <w:ind w:firstLine="708"/>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Zgodnie z art. 80 ust. 1 u.o.o.ś., jeżeli była przeprowadzona ocena oddziaływania przedsięwzięcia na środowisko, właściwy organ wydaje decyzję o środowiskowych uwarunkowaniach biorąc pod uwagę: wyniki uzgodnień i opinii, o których mowa w art. 77 ust. 1 u.o.o.ś.; ustalenia zawarte w raporcie; wyniki postępowania z udziałem społeczeństwa; wyniki postępowania w sprawie transgranicznego oddziaływania na środowisko, jeżeli zostało przeprowadzone.</w:t>
      </w:r>
      <w:bookmarkStart w:id="5" w:name="mip45490988"/>
      <w:bookmarkEnd w:id="5"/>
      <w:r w:rsidRPr="00EE7D4D">
        <w:rPr>
          <w:rFonts w:ascii="Calibri" w:eastAsia="Times New Roman" w:hAnsi="Calibri" w:cs="Calibri"/>
          <w:sz w:val="28"/>
          <w:szCs w:val="28"/>
          <w:lang w:eastAsia="pl-PL"/>
        </w:rPr>
        <w:t xml:space="preserve"> </w:t>
      </w:r>
    </w:p>
    <w:p w14:paraId="0154F5CA" w14:textId="77777777" w:rsidR="00EE7D4D" w:rsidRPr="00EE7D4D" w:rsidRDefault="00EE7D4D" w:rsidP="00EE7D4D">
      <w:pPr>
        <w:spacing w:after="120" w:line="240" w:lineRule="auto"/>
        <w:ind w:firstLine="708"/>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Zgodnie z art. 62 ust. 1 u.o.o.ś. w ramach oceny oddziaływania przedsięwzięcia na środowisko określa się, analizuje oraz ocenia: bezpośredni i pośredni wpływ danego przedsięwzięcia na środowisko, w tym klimat oraz ludność, w tym zdrowie i warunki życia ludzi, dobra materialne, zabytki, krajobraz, w tym krajobraz kulturowy, wzajemne oddziaływanie między wyżej wymienionymi elementami, a także dostępność do złóż kopalin; ryzyko wystąpienia poważnych awarii oraz katastrof naturalnych i budowlanych; podatność danego przedsięwzięcia na zmiany klimatu; możliwości oraz sposoby zapobiegania i zmniejszania negatywnego oddziaływania przedsięwzięcia na środowisko; wymagany zakres monitoringu.</w:t>
      </w:r>
    </w:p>
    <w:p w14:paraId="3365E687" w14:textId="77777777" w:rsidR="00EE7D4D" w:rsidRPr="00EE7D4D" w:rsidRDefault="00EE7D4D" w:rsidP="00EE7D4D">
      <w:pPr>
        <w:spacing w:after="120" w:line="240" w:lineRule="auto"/>
        <w:ind w:firstLine="708"/>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Wobec powyższego przedstawia się, co następuje.</w:t>
      </w:r>
    </w:p>
    <w:p w14:paraId="67499FF5"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Przedmiotowe przedsięwzięcie dotyczy zrealizowanego przedsięwzięcia polegającego na rozbudowie obory nr 1 dla bydła mlecznego o 71 DJP na działce o numerze ewidencyjnym 265, obręb Dalewo. Obecnie na terenie gospodarstwa rolnego znajdują się dwie obory, w których utrzymywane jest bydło mleczne o łącznej obsadzie 134,45 DJP, w systemie chowu na głębokiej, i płytkiej ściółce, luzem i na uwięzi.</w:t>
      </w:r>
      <w:bookmarkStart w:id="6" w:name="_Hlk219964364"/>
    </w:p>
    <w:p w14:paraId="0E8A7A52" w14:textId="77777777" w:rsidR="00EE7D4D" w:rsidRPr="00EE7D4D" w:rsidRDefault="00EE7D4D" w:rsidP="00EE7D4D">
      <w:pPr>
        <w:spacing w:after="0" w:line="240" w:lineRule="auto"/>
        <w:jc w:val="both"/>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br w:type="page"/>
      </w:r>
    </w:p>
    <w:p w14:paraId="718364C4"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lastRenderedPageBreak/>
        <w:t>Powierzchnia zabudowy obory nr 1, przed rozbudową, wynosiła 588,75 m</w:t>
      </w:r>
      <w:r w:rsidRPr="00EE7D4D">
        <w:rPr>
          <w:rFonts w:ascii="Calibri" w:eastAsia="Calibri" w:hAnsi="Calibri" w:cs="Times New Roman"/>
          <w:kern w:val="2"/>
          <w:sz w:val="28"/>
          <w:vertAlign w:val="superscript"/>
          <w14:ligatures w14:val="standardContextual"/>
        </w:rPr>
        <w:t>2</w:t>
      </w:r>
      <w:r w:rsidRPr="00EE7D4D">
        <w:rPr>
          <w:rFonts w:ascii="Calibri" w:eastAsia="Calibri" w:hAnsi="Calibri" w:cs="Times New Roman"/>
          <w:kern w:val="2"/>
          <w:sz w:val="28"/>
          <w14:ligatures w14:val="standardContextual"/>
        </w:rPr>
        <w:t>. W wyniku rozbudowy zwiększyła się o 440,1 m</w:t>
      </w:r>
      <w:r w:rsidRPr="00EE7D4D">
        <w:rPr>
          <w:rFonts w:ascii="Calibri" w:eastAsia="Calibri" w:hAnsi="Calibri" w:cs="Times New Roman"/>
          <w:kern w:val="2"/>
          <w:sz w:val="28"/>
          <w:vertAlign w:val="superscript"/>
          <w14:ligatures w14:val="standardContextual"/>
        </w:rPr>
        <w:t>2</w:t>
      </w:r>
      <w:r w:rsidRPr="00EE7D4D">
        <w:rPr>
          <w:rFonts w:ascii="Calibri" w:eastAsia="Calibri" w:hAnsi="Calibri" w:cs="Times New Roman"/>
          <w:kern w:val="2"/>
          <w:sz w:val="28"/>
          <w14:ligatures w14:val="standardContextual"/>
        </w:rPr>
        <w:t xml:space="preserve"> i obecnie wynosi 1 028,85 m</w:t>
      </w:r>
      <w:r w:rsidRPr="00EE7D4D">
        <w:rPr>
          <w:rFonts w:ascii="Calibri" w:eastAsia="Calibri" w:hAnsi="Calibri" w:cs="Times New Roman"/>
          <w:kern w:val="2"/>
          <w:sz w:val="28"/>
          <w:vertAlign w:val="superscript"/>
          <w14:ligatures w14:val="standardContextual"/>
        </w:rPr>
        <w:t>2</w:t>
      </w:r>
      <w:r w:rsidRPr="00EE7D4D">
        <w:rPr>
          <w:rFonts w:ascii="Calibri" w:eastAsia="Calibri" w:hAnsi="Calibri" w:cs="Times New Roman"/>
          <w:kern w:val="2"/>
          <w:sz w:val="28"/>
          <w14:ligatures w14:val="standardContextual"/>
        </w:rPr>
        <w:t>. Obora nr 1 składa się z części hodowlanej, kojca porodowego, stołu paszowego, korytarzy komunikacyjnych, hali udojowej z pomieszczeniem na zbiornik na mleko oraz zapleczem socjalnym.</w:t>
      </w:r>
      <w:bookmarkEnd w:id="6"/>
      <w:r w:rsidRPr="00EE7D4D">
        <w:rPr>
          <w:rFonts w:ascii="Calibri" w:eastAsia="Calibri" w:hAnsi="Calibri" w:cs="Times New Roman"/>
          <w:kern w:val="2"/>
          <w:sz w:val="28"/>
          <w14:ligatures w14:val="standardContextual"/>
        </w:rPr>
        <w:t xml:space="preserve"> </w:t>
      </w:r>
    </w:p>
    <w:p w14:paraId="58BDB042"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W oborze nr 1, w części rozbudowanej, utrzymywane są zwierzęta na głębokiej ściółce w pięciu kojcach o powierzchni nie większej niż 51,33 m</w:t>
      </w:r>
      <w:r w:rsidRPr="00EE7D4D">
        <w:rPr>
          <w:rFonts w:ascii="Calibri" w:eastAsia="Calibri" w:hAnsi="Calibri" w:cs="Times New Roman"/>
          <w:kern w:val="2"/>
          <w:sz w:val="28"/>
          <w:vertAlign w:val="superscript"/>
          <w14:ligatures w14:val="standardContextual"/>
        </w:rPr>
        <w:t>2</w:t>
      </w:r>
      <w:r w:rsidRPr="00EE7D4D">
        <w:rPr>
          <w:rFonts w:ascii="Calibri" w:eastAsia="Calibri" w:hAnsi="Calibri" w:cs="Times New Roman"/>
          <w:kern w:val="2"/>
          <w:sz w:val="28"/>
          <w14:ligatures w14:val="standardContextual"/>
        </w:rPr>
        <w:t xml:space="preserve"> każdy (w każdym kojcu znajduje się 11 krów mlecznych) i w dwóch kojcach o powierzchni nie większej niż 22,09 m</w:t>
      </w:r>
      <w:r w:rsidRPr="00EE7D4D">
        <w:rPr>
          <w:rFonts w:ascii="Calibri" w:eastAsia="Calibri" w:hAnsi="Calibri" w:cs="Times New Roman"/>
          <w:kern w:val="2"/>
          <w:sz w:val="28"/>
          <w:vertAlign w:val="superscript"/>
          <w14:ligatures w14:val="standardContextual"/>
        </w:rPr>
        <w:t>2</w:t>
      </w:r>
      <w:r w:rsidRPr="00EE7D4D">
        <w:rPr>
          <w:rFonts w:ascii="Calibri" w:eastAsia="Calibri" w:hAnsi="Calibri" w:cs="Times New Roman"/>
          <w:kern w:val="2"/>
          <w:sz w:val="28"/>
          <w14:ligatures w14:val="standardContextual"/>
        </w:rPr>
        <w:t xml:space="preserve"> każdy (w każdym kojcu znajduje się 10 jałówek powyżej roku życia). W pozostałej części obory nr 1 znajduje się: 26 krów mlecznych utrzymywanych luzem bez legowisk na głębokiej ściółce w dwóch kojcach o powierzchni 59,25 m</w:t>
      </w:r>
      <w:r w:rsidRPr="00EE7D4D">
        <w:rPr>
          <w:rFonts w:ascii="Calibri" w:eastAsia="Calibri" w:hAnsi="Calibri" w:cs="Times New Roman"/>
          <w:kern w:val="2"/>
          <w:sz w:val="28"/>
          <w:vertAlign w:val="superscript"/>
          <w14:ligatures w14:val="standardContextual"/>
        </w:rPr>
        <w:t>2</w:t>
      </w:r>
      <w:r w:rsidRPr="00EE7D4D">
        <w:rPr>
          <w:rFonts w:ascii="Calibri" w:eastAsia="Calibri" w:hAnsi="Calibri" w:cs="Times New Roman"/>
          <w:kern w:val="2"/>
          <w:sz w:val="28"/>
          <w14:ligatures w14:val="standardContextual"/>
        </w:rPr>
        <w:t xml:space="preserve"> każdy (w każdym kojcu znajduje się 13 krów mlecznych), 10 krów mlecznych na uwięzi na płytkiej ściółce w 10 boksach każdy o długości 2,2 m i szerokości 1,4 m, 10 jałówek cielnych luzem bez legowisk na głębokiej ściółce w dwóch kojcach o powierzchni 23,03 m</w:t>
      </w:r>
      <w:r w:rsidRPr="00EE7D4D">
        <w:rPr>
          <w:rFonts w:ascii="Calibri" w:eastAsia="Calibri" w:hAnsi="Calibri" w:cs="Times New Roman"/>
          <w:kern w:val="2"/>
          <w:sz w:val="28"/>
          <w:vertAlign w:val="superscript"/>
          <w14:ligatures w14:val="standardContextual"/>
        </w:rPr>
        <w:t>2</w:t>
      </w:r>
      <w:r w:rsidRPr="00EE7D4D">
        <w:rPr>
          <w:rFonts w:ascii="Calibri" w:eastAsia="Calibri" w:hAnsi="Calibri" w:cs="Times New Roman"/>
          <w:kern w:val="2"/>
          <w:sz w:val="28"/>
          <w14:ligatures w14:val="standardContextual"/>
        </w:rPr>
        <w:t xml:space="preserve"> każdy (w każdym boksie znajduje się pięć jałówek cielnych), 22 jałówki powyżej szóstego miesiąca życia luzem bez legowisk w dwóch kojcach o powierzchni 24,205 m</w:t>
      </w:r>
      <w:r w:rsidRPr="00EE7D4D">
        <w:rPr>
          <w:rFonts w:ascii="Calibri" w:eastAsia="Calibri" w:hAnsi="Calibri" w:cs="Times New Roman"/>
          <w:kern w:val="2"/>
          <w:sz w:val="28"/>
          <w:vertAlign w:val="superscript"/>
          <w14:ligatures w14:val="standardContextual"/>
        </w:rPr>
        <w:t>2</w:t>
      </w:r>
      <w:r w:rsidRPr="00EE7D4D">
        <w:rPr>
          <w:rFonts w:ascii="Calibri" w:eastAsia="Calibri" w:hAnsi="Calibri" w:cs="Times New Roman"/>
          <w:kern w:val="2"/>
          <w:sz w:val="28"/>
          <w14:ligatures w14:val="standardContextual"/>
        </w:rPr>
        <w:t xml:space="preserve"> każdy (w każdym kojcu znajduje się 11 jałówek powyżej szóstego miesiąca życia), 21 cieląt do szóstego miesiąca życia na głębokiej ściółce w siedmiu kojcach o powierzchni 5,66 m</w:t>
      </w:r>
      <w:r w:rsidRPr="00EE7D4D">
        <w:rPr>
          <w:rFonts w:ascii="Calibri" w:eastAsia="Calibri" w:hAnsi="Calibri" w:cs="Times New Roman"/>
          <w:kern w:val="2"/>
          <w:sz w:val="28"/>
          <w:vertAlign w:val="superscript"/>
          <w14:ligatures w14:val="standardContextual"/>
        </w:rPr>
        <w:t>2</w:t>
      </w:r>
      <w:r w:rsidRPr="00EE7D4D">
        <w:rPr>
          <w:rFonts w:ascii="Calibri" w:eastAsia="Calibri" w:hAnsi="Calibri" w:cs="Times New Roman"/>
          <w:kern w:val="2"/>
          <w:sz w:val="28"/>
          <w14:ligatures w14:val="standardContextual"/>
        </w:rPr>
        <w:t xml:space="preserve"> każdy (w każdym kojcu znajdują się trzy cielęta). Łącznie w oborze nr 1 utrzymywanych jest 126,75 DJP bydła.</w:t>
      </w:r>
    </w:p>
    <w:p w14:paraId="001FB3F7"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Na terenie gospodarstwa rolnego znajduje się również obora nr 2 o powierzchni zabudowy 160 m</w:t>
      </w:r>
      <w:r w:rsidRPr="00EE7D4D">
        <w:rPr>
          <w:rFonts w:ascii="Calibri" w:eastAsia="Calibri" w:hAnsi="Calibri" w:cs="Times New Roman"/>
          <w:kern w:val="2"/>
          <w:sz w:val="28"/>
          <w:vertAlign w:val="superscript"/>
          <w14:ligatures w14:val="standardContextual"/>
        </w:rPr>
        <w:t>2</w:t>
      </w:r>
      <w:r w:rsidRPr="00EE7D4D">
        <w:rPr>
          <w:rFonts w:ascii="Calibri" w:eastAsia="Calibri" w:hAnsi="Calibri" w:cs="Times New Roman"/>
          <w:kern w:val="2"/>
          <w:sz w:val="28"/>
          <w14:ligatures w14:val="standardContextual"/>
        </w:rPr>
        <w:t>, w której utrzymywane są na płytkiej ściółce cztery jałówki powyżej roku życia na uwięzi w czterech boksach, każdy o długości 2 m i szerokości 1,1 m oraz na głębokiej ściółce 15 jałówek powyżej szóstego miesiąca życia na uwięzi w 15 boksach każdy o długości 2 m i szerokości 1,1 m. Łącznie w oborze nr 2 utrzymywane jest 7,7 DJP bydła.</w:t>
      </w:r>
    </w:p>
    <w:p w14:paraId="5B47B1FE"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Ponadto na terenie gospodarstwa rolnego znajdują się budynki gospodarcze o łącznej powierzchni zabudowy około 120 m</w:t>
      </w:r>
      <w:r w:rsidRPr="00EE7D4D">
        <w:rPr>
          <w:rFonts w:ascii="Calibri" w:eastAsia="Calibri" w:hAnsi="Calibri" w:cs="Times New Roman"/>
          <w:kern w:val="2"/>
          <w:sz w:val="28"/>
          <w:vertAlign w:val="superscript"/>
          <w14:ligatures w14:val="standardContextual"/>
        </w:rPr>
        <w:t>2</w:t>
      </w:r>
      <w:r w:rsidRPr="00EE7D4D">
        <w:rPr>
          <w:rFonts w:ascii="Calibri" w:eastAsia="Calibri" w:hAnsi="Calibri" w:cs="Times New Roman"/>
          <w:kern w:val="2"/>
          <w:sz w:val="28"/>
          <w14:ligatures w14:val="standardContextual"/>
        </w:rPr>
        <w:t>, budynek mieszkalny o powierzchni zabudowy około 175 m</w:t>
      </w:r>
      <w:r w:rsidRPr="00EE7D4D">
        <w:rPr>
          <w:rFonts w:ascii="Calibri" w:eastAsia="Calibri" w:hAnsi="Calibri" w:cs="Times New Roman"/>
          <w:kern w:val="2"/>
          <w:sz w:val="28"/>
          <w:vertAlign w:val="superscript"/>
          <w14:ligatures w14:val="standardContextual"/>
        </w:rPr>
        <w:t>2</w:t>
      </w:r>
      <w:r w:rsidRPr="00EE7D4D">
        <w:rPr>
          <w:rFonts w:ascii="Calibri" w:eastAsia="Calibri" w:hAnsi="Calibri" w:cs="Times New Roman"/>
          <w:kern w:val="2"/>
          <w:sz w:val="28"/>
          <w14:ligatures w14:val="standardContextual"/>
        </w:rPr>
        <w:t>, płyta obornikowa o powierzchni zabudowy około 120 m</w:t>
      </w:r>
      <w:r w:rsidRPr="00EE7D4D">
        <w:rPr>
          <w:rFonts w:ascii="Calibri" w:eastAsia="Calibri" w:hAnsi="Calibri" w:cs="Times New Roman"/>
          <w:kern w:val="2"/>
          <w:sz w:val="28"/>
          <w:vertAlign w:val="superscript"/>
          <w14:ligatures w14:val="standardContextual"/>
        </w:rPr>
        <w:t>2</w:t>
      </w:r>
      <w:r w:rsidRPr="00EE7D4D">
        <w:rPr>
          <w:rFonts w:ascii="Calibri" w:eastAsia="Calibri" w:hAnsi="Calibri" w:cs="Times New Roman"/>
          <w:kern w:val="2"/>
          <w:sz w:val="28"/>
          <w14:ligatures w14:val="standardContextual"/>
        </w:rPr>
        <w:t xml:space="preserve"> ze zbiornikiem na gnojówkę o pojemności około 25 m</w:t>
      </w:r>
      <w:r w:rsidRPr="00EE7D4D">
        <w:rPr>
          <w:rFonts w:ascii="Calibri" w:eastAsia="Calibri" w:hAnsi="Calibri" w:cs="Times New Roman"/>
          <w:kern w:val="2"/>
          <w:sz w:val="28"/>
          <w:vertAlign w:val="superscript"/>
          <w14:ligatures w14:val="standardContextual"/>
        </w:rPr>
        <w:t>3</w:t>
      </w:r>
      <w:r w:rsidRPr="00EE7D4D">
        <w:rPr>
          <w:rFonts w:ascii="Calibri" w:eastAsia="Calibri" w:hAnsi="Calibri" w:cs="Times New Roman"/>
          <w:kern w:val="2"/>
          <w:sz w:val="28"/>
          <w14:ligatures w14:val="standardContextual"/>
        </w:rPr>
        <w:t xml:space="preserve"> oraz drugi zbiornik na gnojówkę o pojemności około 25 m</w:t>
      </w:r>
      <w:r w:rsidRPr="00EE7D4D">
        <w:rPr>
          <w:rFonts w:ascii="Calibri" w:eastAsia="Calibri" w:hAnsi="Calibri" w:cs="Times New Roman"/>
          <w:kern w:val="2"/>
          <w:sz w:val="28"/>
          <w:vertAlign w:val="superscript"/>
          <w14:ligatures w14:val="standardContextual"/>
        </w:rPr>
        <w:t>3</w:t>
      </w:r>
      <w:r w:rsidRPr="00EE7D4D">
        <w:rPr>
          <w:rFonts w:ascii="Calibri" w:eastAsia="Calibri" w:hAnsi="Calibri" w:cs="Times New Roman"/>
          <w:kern w:val="2"/>
          <w:sz w:val="28"/>
          <w14:ligatures w14:val="standardContextual"/>
        </w:rPr>
        <w:t>.</w:t>
      </w:r>
    </w:p>
    <w:p w14:paraId="68843E01" w14:textId="77777777" w:rsidR="00EE7D4D" w:rsidRPr="00EE7D4D" w:rsidRDefault="00EE7D4D" w:rsidP="00EE7D4D">
      <w:pPr>
        <w:spacing w:after="0" w:line="240" w:lineRule="auto"/>
        <w:jc w:val="both"/>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br w:type="page"/>
      </w:r>
    </w:p>
    <w:p w14:paraId="344BA7B2"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lastRenderedPageBreak/>
        <w:t>Zgodnie z postanowieniem Regionalnego Dyrektora Ochrony Środowiska w Poznaniu, ze względu na dobrostan zwierząt oraz założenia przyjęte do analizy oddziaływania przedsięwzięcia na środowisko, wskazane przez wnioskodawcę powierzchnie przeznaczone na stanowiska dla chowu zwierząt oraz obsada bydła w oborze nr 1 w rozbudowanej części i w całym gospodarstwie rolnym znalazły odzwierciedlenie w warunkach decyzji. Stwierdzono, że wymiary powierzchni hodowlanej, na której utrzymywane są zwierzęta, spełniają wymagania określone w rozporządzeniu Ministra Rolnictwa i Rozwoju Wsi z 28 czerwca 2010 r. w sprawie minimalnych warunków utrzymywania gatunków zwierząt gospodarskich innych niż te, dla których normy ochrony zostały określone w przepisach Unii Europejskiej (Dz. U. z 2019 r. poz. 1966) oraz rozporządzeniu Ministra Rolnictwa i Rozwoju Wsi z 15 lutego 2010 r. w sprawie wymagań i sposobu postępowania przy utrzymywaniu gatunków zwierząt gospodarskich, dla których normy ochrony zostały określone w przepisach Unii Europejskiej (Dz. U. Nr 56, poz. 344, Nr 171, poz. 1157, z 2011 r. Nr 282, poz. 1652 i z 2024 r. poz. 1919).</w:t>
      </w:r>
    </w:p>
    <w:p w14:paraId="556D30C1"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Chów zwierząt odbywa się na szczelnym podłożu, na głębokiej i płytkiej ściółce. W gospodarstwie rolnym powstaje obornik oraz gnojówka. Obornik powstający z chowu na głębokiej ściółce w części obory nr 1 usuwany jest dwa razy w roku i wywożony bezpośrednio na grunty rolne. Obornik powstający z chowu na płytkiej ściółce w oborach nr 1 i nr 2 magazynowany jest na płycie obornikowej o powierzchni zabudowy 120 m</w:t>
      </w:r>
      <w:r w:rsidRPr="00EE7D4D">
        <w:rPr>
          <w:rFonts w:ascii="Calibri" w:eastAsia="Calibri" w:hAnsi="Calibri" w:cs="Times New Roman"/>
          <w:kern w:val="2"/>
          <w:sz w:val="28"/>
          <w:vertAlign w:val="superscript"/>
          <w14:ligatures w14:val="standardContextual"/>
        </w:rPr>
        <w:t>2</w:t>
      </w:r>
      <w:r w:rsidRPr="00EE7D4D">
        <w:rPr>
          <w:rFonts w:ascii="Calibri" w:eastAsia="Calibri" w:hAnsi="Calibri" w:cs="Times New Roman"/>
          <w:kern w:val="2"/>
          <w:sz w:val="28"/>
          <w14:ligatures w14:val="standardContextual"/>
        </w:rPr>
        <w:t>, a gnojówka w dwóch istniejących zbiornikach bezodpływowych o łącznej pojemności wynoszącej 50 m</w:t>
      </w:r>
      <w:r w:rsidRPr="00EE7D4D">
        <w:rPr>
          <w:rFonts w:ascii="Calibri" w:eastAsia="Calibri" w:hAnsi="Calibri" w:cs="Times New Roman"/>
          <w:kern w:val="2"/>
          <w:sz w:val="28"/>
          <w:vertAlign w:val="superscript"/>
          <w14:ligatures w14:val="standardContextual"/>
        </w:rPr>
        <w:t>3</w:t>
      </w:r>
      <w:r w:rsidRPr="00EE7D4D">
        <w:rPr>
          <w:rFonts w:ascii="Calibri" w:eastAsia="Calibri" w:hAnsi="Calibri" w:cs="Times New Roman"/>
          <w:kern w:val="2"/>
          <w:sz w:val="28"/>
          <w14:ligatures w14:val="standardContextual"/>
        </w:rPr>
        <w:t>. W raporcie wykazano, że urządzenia o wskazanych parametrach umożliwiają przechowywanie odchodów przez okres co najmniej pięciu miesięcy, kiedy nie można wywozić tych nawozów naturalnych na grunty rolne. Wnioskodawca przewiduje zagospodarowanie wyprodukowanego w gospodarstwie rolnym nawozu naturalnego na gruntach własnych z zapewnieniem dawki nie większej niż 170 kg azotu w czystym składniku na 1 ha użytków rolnych, zgodnie z art. 105 ust. 1 ustawy z dnia 20 lipca 2017 r. -Prawo wodne (Dz. U. z 2025 r. poz. 960 i 1535). Ewentualna nadwyżka odchodów może być przekazywana podmiotom zewnętrznym na przykład do rolniczego zastosowania. Rozwiązania w zakresie przechowywania i gospodarowania nawozami naturalnymi powstającymi na terenie gospodarstwa rolnego znalazły odzwierciedlenie w warunkach decyzji, zgodnie z postanowieniem Regionalnego Dyrektora Ochrony Środowiska w Poznaniu.</w:t>
      </w:r>
    </w:p>
    <w:p w14:paraId="58F434D4" w14:textId="77777777" w:rsidR="00EE7D4D" w:rsidRPr="00EE7D4D" w:rsidRDefault="00EE7D4D" w:rsidP="00EE7D4D">
      <w:pPr>
        <w:spacing w:after="0" w:line="240" w:lineRule="auto"/>
        <w:jc w:val="both"/>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br w:type="page"/>
      </w:r>
    </w:p>
    <w:p w14:paraId="2B9B8541"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lastRenderedPageBreak/>
        <w:t>Zgodnie z rozporządzeniem Dyrektora Regionalnego Zarządu Gospodarki Wodnej w Poznaniu z dnia 28 lutego 2017 r. w sprawie określenia w regionie wodnym Warty wód powierzchniowych i podziemnych wrażliwych na zanieczyszczenie związkami azotu ze źródeł rolniczych oraz obszaru szczególnie narażonego, z którego odpływ azotu ze źródeł rolniczych do tych wód należy ograniczyć (Dz. Urz. Woj. Wlkp. poz. 1638) oraz rozporządzeniem Dyrektora Regionalnego Zarządu Gospodarki Wodnej we Wrocławiu z dnia 1 lutego 2017 r. w sprawie określenia w regionie wodnym Środkowej Odry wód powierzchniowych i podziemnych wrażliwych na zanieczyszczenie związkami azotu ze źródeł rolniczych oraz obszaru szczególnie narażonego, z którego odpływ azotu ze źródeł rolniczych do tych wód należy ograniczyć (Dz. Urz. Woj. Wlkp. poz. 1153) regiony wodne Warty i Środkowej Odry w całości zostały określone jako obszar szczególnie narażony na zanieczyszczenie związkami azotu ze źródeł rolniczych, z którego odpływ azotu ze źródeł rolniczych do wód należy ograniczyć. W rozporządzeniu Rady Ministrów z dnia 31 stycznia 2023 r. w sprawie „Programu działań mających na celu zmniejszenie zanieczyszczenia wód azotanami pochodzącymi ze źródeł rolniczych oraz zapobieganie dalszemu zanieczyszczeniu” (Dz. U. poz. 244) zostały określone szczegółowe wymagania dotyczące rolniczego wykorzystania nawozów, sposobu ich przechowywania i stosowania. Planowany sposób postępowania z nawozami naturalnymi będzie zgodny z Programem.</w:t>
      </w:r>
    </w:p>
    <w:p w14:paraId="0853D919"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Teren przedsięwzięcia znajduje się poza Głównymi Zbiornikami Wód Podziemnych. Najbliższy obszar GZWP nr 150 Pradolina Warszawa – Berlin znajduje się na północny wschód w odległości około 9,7 km. W rejonie przedsięwzięcia głównym użytkowym poziomem wodonośnym jest poziom czwartorzędowy charakteryzujący się dobrą izolacją. Najbliżej położone ujęcie wody podziemnej znajduje się w odległości około 550 m na zachód od terenu gospodarstwa rolnego. Obszar przedsięwzięcia nie znajduje się w zasięgu stref ochrony ujęć.</w:t>
      </w:r>
    </w:p>
    <w:p w14:paraId="13BC3654"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 xml:space="preserve">W raporcie wskazano, że gospodarstwo rolne jest zaopatrywane w wodę z sieci wodociągowej. Woda wykorzystywana jest w celach hodowlanych (pojenie zwierząt), bytowych, a także do mycia zbiornika na mleko oraz instalacji udojowej i jej otoczenia. Ścieki bytowe z terenu gospodarstwa rolnego odprowadzane są do gminnej sieci kanalizacji sanitarnej. Hala udojowa i urządzenia do udoju myte są po każdym doju, a ścieki z tych czynności odprowadzane są do gminnej sieci kanalizacji sanitarnej. </w:t>
      </w:r>
    </w:p>
    <w:p w14:paraId="367CE85E"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lastRenderedPageBreak/>
        <w:t>Wody opadowe lub roztopowe z terenu gospodarstwa rolnego odprowadzane są i będą na tereny biologicznie czynne w granicach przedsięwzięcia.</w:t>
      </w:r>
    </w:p>
    <w:p w14:paraId="70EB2C4C"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W raporcie wskazano, że czyszczenie budynków inwentarskich odbywać się będzie poprzez mycie wysokociśnieniową myjką. Stosowane będzie również bielenie ścian wapnem. Ponadto dezynfekcja pomieszczeń inwentarskich prowadzona będzie poprzez zamgławianie za pomocą biodegradowalnego preparatu, bez generowania ścieków. Założenia dotyczące powstających w ramach funkcjonowania gospodarstwa rolnego ścieków przemysłowych i bytowych, metody czyszczenia obiektów inwentarskich, zagospodarowania wód opadowych lub roztopowych, a także zagospodarowania nawozów naturalnych w celu ochrony środowiska gruntowo-wodnego, znalazły odzwierciedlenie w warunkach decyzji, zgodnie z postanowieniem Regionalnego Dyrektora Ochrony Środowiska w Poznaniu i opinią Dyrektora Zarządu Zlewni Państwowego Gospodarstwa Wodnego Wody Polskie w Poznaniu.</w:t>
      </w:r>
    </w:p>
    <w:p w14:paraId="090F4AC3"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Po przeanalizowaniu materiałów dotyczących budowy geologicznej, warunków hydrologicznych, biorąc pod uwagę rozwiązania chroniące środowisko gruntowo-wodne, w tym rozwiązania w zakresie gospodarki wodno-ściekowej, magazynowania i postępowania z odpadami oraz odchodami zwierząt</w:t>
      </w:r>
      <w:r w:rsidRPr="00EE7D4D">
        <w:rPr>
          <w:rFonts w:ascii="Calibri" w:eastAsia="Calibri" w:hAnsi="Calibri" w:cs="Times New Roman"/>
          <w:b/>
          <w:bCs/>
          <w:kern w:val="2"/>
          <w:sz w:val="28"/>
          <w14:ligatures w14:val="standardContextual"/>
        </w:rPr>
        <w:t xml:space="preserve"> nie przewiduje się znacząco negatywnego oddziaływania przedmiotowego przedsięwzięcia na wody powierzchniowe</w:t>
      </w:r>
      <w:r w:rsidRPr="00EE7D4D">
        <w:rPr>
          <w:rFonts w:ascii="Calibri" w:eastAsia="Calibri" w:hAnsi="Calibri" w:cs="Times New Roman"/>
          <w:kern w:val="2"/>
          <w:sz w:val="28"/>
          <w14:ligatures w14:val="standardContextual"/>
        </w:rPr>
        <w:t>.</w:t>
      </w:r>
    </w:p>
    <w:p w14:paraId="2AB3C4BA"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 xml:space="preserve">W raporcie omówiono gospodarkę odpadami na poszczególnych etapach przedsięwzięcia. Przedstawione zostały rodzaje i ilości odpadów wytwarzanych na etapie eksploatacji i likwidacji przedsięwzięcia oraz sposób ich dalszego zagospodarowania. Z raportu wynika, że odpady będą magazynowane selektywnie, w wyznaczonych miejscach, a następnie będą przekazywane uprawnionym podmiotom do dalszego zagospodarowania. Sztuki padłe będą gromadzone w szczelnych workach foliowych umieszczonych w kontenerze na upadki, a następnie będą przekazywane podmiotom zewnętrznym zgodnie z przepisami szczegółowymi. W związku z przedsięwzięciem będą powstawać odpady weterynaryjne. Wytwórcą odpadów weterynaryjnych, zgodnie z przepisami ustawy o odpadach, będzie podmiot świadczący usługi weterynaryjne. Przy założeniu, że wnioskodawca będzie realizował </w:t>
      </w:r>
      <w:r w:rsidRPr="00EE7D4D">
        <w:rPr>
          <w:rFonts w:ascii="Calibri" w:eastAsia="Calibri" w:hAnsi="Calibri" w:cs="Times New Roman"/>
          <w:b/>
          <w:bCs/>
          <w:kern w:val="2"/>
          <w:sz w:val="28"/>
          <w14:ligatures w14:val="standardContextual"/>
        </w:rPr>
        <w:t xml:space="preserve">przedsięwzięcie </w:t>
      </w:r>
      <w:r w:rsidRPr="00EE7D4D">
        <w:rPr>
          <w:rFonts w:ascii="Calibri" w:eastAsia="Calibri" w:hAnsi="Calibri" w:cs="Times New Roman"/>
          <w:kern w:val="2"/>
          <w:sz w:val="28"/>
          <w14:ligatures w14:val="standardContextual"/>
        </w:rPr>
        <w:t xml:space="preserve">zgodnie z zapisami w raporcie i warunkami decyzji, </w:t>
      </w:r>
      <w:r w:rsidRPr="00EE7D4D">
        <w:rPr>
          <w:rFonts w:ascii="Calibri" w:eastAsia="Calibri" w:hAnsi="Calibri" w:cs="Times New Roman"/>
          <w:b/>
          <w:bCs/>
          <w:kern w:val="2"/>
          <w:sz w:val="28"/>
          <w14:ligatures w14:val="standardContextual"/>
        </w:rPr>
        <w:t>nie będzie</w:t>
      </w:r>
      <w:r w:rsidRPr="00EE7D4D">
        <w:rPr>
          <w:rFonts w:ascii="Calibri" w:eastAsia="Calibri" w:hAnsi="Calibri" w:cs="Times New Roman"/>
          <w:kern w:val="2"/>
          <w:sz w:val="28"/>
          <w14:ligatures w14:val="standardContextual"/>
        </w:rPr>
        <w:t xml:space="preserve"> ono </w:t>
      </w:r>
      <w:r w:rsidRPr="00EE7D4D">
        <w:rPr>
          <w:rFonts w:ascii="Calibri" w:eastAsia="Calibri" w:hAnsi="Calibri" w:cs="Times New Roman"/>
          <w:b/>
          <w:bCs/>
          <w:kern w:val="2"/>
          <w:sz w:val="28"/>
          <w14:ligatures w14:val="standardContextual"/>
        </w:rPr>
        <w:t>naruszać prawa w zakresie gospodarki odpadami</w:t>
      </w:r>
      <w:r w:rsidRPr="00EE7D4D">
        <w:rPr>
          <w:rFonts w:ascii="Calibri" w:eastAsia="Calibri" w:hAnsi="Calibri" w:cs="Times New Roman"/>
          <w:kern w:val="2"/>
          <w:sz w:val="28"/>
          <w14:ligatures w14:val="standardContextual"/>
        </w:rPr>
        <w:t>.</w:t>
      </w:r>
    </w:p>
    <w:p w14:paraId="4D8EDBA7" w14:textId="77777777" w:rsidR="00EE7D4D" w:rsidRPr="00EE7D4D" w:rsidRDefault="00EE7D4D" w:rsidP="00EE7D4D">
      <w:pPr>
        <w:spacing w:after="0" w:line="240" w:lineRule="auto"/>
        <w:jc w:val="both"/>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br w:type="page"/>
      </w:r>
    </w:p>
    <w:p w14:paraId="7C8D6577"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lastRenderedPageBreak/>
        <w:t>W raporcie przedstawiono oddziaływanie przedmiotowego przedsięwzięcia na stan jakości powietrza. Źródłem zorganizowanej emisji substancji do powietrza będą systemy wentylacji grawitacyjnej w obiektach inwentarskich, którymi wyprowadzane będą substancje pochodzące z utrzymywania bydła, w tym substancje odorotwórcze powstające w wyniku rozkładu produktów przemiany materii tych zwierząt. Źródłem emisji niezorganizowanej będzie emisja pochodząca z przechowywania obornika na płycie obornikowej oraz procesu spalania paliw w silnikach pojazdów poruszających się po terenie przedsięwzięcia.</w:t>
      </w:r>
    </w:p>
    <w:p w14:paraId="577A713A"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Zgodnie z raportem gnojówka powstająca w budynkach inwentarskich będzie magazynowana w szczelnych bezodpływowych zbiornikach. Proces odbioru gnojówki do aut asenizacyjnych będzie odbywał się z wykorzystaniem hermetycznego złącza, zatem nie przewiduje się, aby ich odbiór stanowił źródło emisji substancji do powietrza. Obornik z pomieszczeń przeznaczonych do utrzymania zwierząt na głębokiej ściółce będzie usuwany na zewnątrz i wywożony bezpośrednio na grunty użytkowane rolniczo. Ponadto z uwagi na niewielką obsadę zwierząt utrzymywaną na płytkiej ściółce w obliczeniach pominięto emisję zanieczyszczeń z tych źródeł.</w:t>
      </w:r>
    </w:p>
    <w:p w14:paraId="0F56A699"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Z raportu wynika, że zwierzęta w gospodarstwie rolnym żywione są paszami objętościowymi, które przechowywane są w balotach owiniętych szczelną folią kiszonkową zabezpieczającą przed wyciekiem soków kiszonkowych do gruntu i emisją substancji do powietrza.</w:t>
      </w:r>
    </w:p>
    <w:p w14:paraId="0A41FDF9"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 xml:space="preserve">W raporcie wskazano, że obiekty inwentarskie nie są i nie będą ogrzewane. Z wykonanych obliczeń rozprzestrzeniania substancji w powietrzu wynika, że emisje z wymienionych źródeł nie będą powodować przekroczenia wartości odniesienia substancji w powietrzu oraz dopuszczalnych częstości przekroczeń określonych w rozporządzeniu Ministra Środowiska z dnia 26 stycznia 2010 r. w sprawie wartości odniesienia dla niektórych substancji w powietrzu (Dz. U. Nr 16, poz. 87) poza terenem, do którego wnioskodawca posiada tytuł prawny, a także, że </w:t>
      </w:r>
      <w:r w:rsidRPr="00EE7D4D">
        <w:rPr>
          <w:rFonts w:ascii="Calibri" w:eastAsia="Calibri" w:hAnsi="Calibri" w:cs="Times New Roman"/>
          <w:b/>
          <w:bCs/>
          <w:kern w:val="2"/>
          <w:sz w:val="28"/>
          <w14:ligatures w14:val="standardContextual"/>
        </w:rPr>
        <w:t>będą dotrzymane standardy jakości powietrza</w:t>
      </w:r>
      <w:r w:rsidRPr="00EE7D4D">
        <w:rPr>
          <w:rFonts w:ascii="Calibri" w:eastAsia="Calibri" w:hAnsi="Calibri" w:cs="Times New Roman"/>
          <w:kern w:val="2"/>
          <w:sz w:val="28"/>
          <w14:ligatures w14:val="standardContextual"/>
        </w:rPr>
        <w:t xml:space="preserve"> określone w rozporządzeniu Ministra Środowiska z dnia 24 sierpnia 2012 r. w sprawie poziomów niektórych substancji w powietrzu (Dz. U. z 2021 r. poz. 845), a w związku z tym </w:t>
      </w:r>
      <w:r w:rsidRPr="00EE7D4D">
        <w:rPr>
          <w:rFonts w:ascii="Calibri" w:eastAsia="Calibri" w:hAnsi="Calibri" w:cs="Times New Roman"/>
          <w:b/>
          <w:bCs/>
          <w:kern w:val="2"/>
          <w:sz w:val="28"/>
          <w14:ligatures w14:val="standardContextual"/>
        </w:rPr>
        <w:t xml:space="preserve">będą spełnione wymagania w zakresie ochrony powietrza </w:t>
      </w:r>
      <w:r w:rsidRPr="00EE7D4D">
        <w:rPr>
          <w:rFonts w:ascii="Calibri" w:eastAsia="Calibri" w:hAnsi="Calibri" w:cs="Times New Roman"/>
          <w:kern w:val="2"/>
          <w:sz w:val="28"/>
          <w14:ligatures w14:val="standardContextual"/>
        </w:rPr>
        <w:t>określone w przepisach prawa. Należy ponadto stwierdzić, że ewentualne skumulowane oddziaływanie przedsięwzięcia z innymi przedsięwzięciami znajdującymi się w sąsiedztwie zostało ocenione poprzez uwzględnienie w przedstawionych obliczeniach aktualnego stanu jakości powietrza, co wynika z referencyjnej metodyki modelowania poziomów substancji w powietrzu.</w:t>
      </w:r>
    </w:p>
    <w:p w14:paraId="20B8EA63"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lastRenderedPageBreak/>
        <w:t>Zgodnie z postanowieniem Regionalnego Dyrektora Ochrony Środowiska w Poznaniu, w celu ograniczenia wpływu przedsięwzięcia na środowisko w zakresie emisji substancji do powietrza, zobowiązano wnioskodawcę, aby budynki inwentarskie utrzymywał w czystości oraz zapewniał odpowiednią temperaturę i wilgotność wewnątrz poprzez sprawny system wentylacji o parametrach założonych w raporcie oraz wskazano, aby pasze objętościowe znajdujące się na terenie gospodarstwa rolnego magazynować w szczelnych rękawach lub balotach, a nawozy płynne odbierać z wykorzystaniem hermetycznego złącza.</w:t>
      </w:r>
    </w:p>
    <w:p w14:paraId="7104A2E4"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Biorąc powyższe pod uwagę, a także uwzględniając wyniki analizy przedstawionej w raporcie, należy stwierdzić, że przy zastosowaniu opisanych rozwiązań, przedsięwzięcie nie powinno stanowić zagrożenia dla stanu jakości powietrza w rejonie zainwestowania.</w:t>
      </w:r>
    </w:p>
    <w:p w14:paraId="59E9F73E"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Jak wynika z raportu, najbliższe tereny podlegające ochronie akustycznej, w myśl rozporządzenia Ministra Środowiska z dnia 14 czerwca 2007 r. w sprawie dopuszczalnych poziomów hałasu w środowisku (Dz. U. z 2014 r. poz. 112) to teren zabudowy zagrodowej zlokalizowany bezpośrednio na wschód od terenu przedmiotowego gospodarstwa rolnego. Głównymi źródłami hałasu podczas eksploatacji przedsięwzięcia będą obiekty inwentarskie, manewry ładowarki oraz pojazdy poruszające się po terenie gospodarstwa rolnego. W raporcie wskazano, że w ciągu ośmiu najmniej korzystnych godzin pory dnia po terenie gospodarstwa rolnego będzie poruszało się nie więcej niż sześć pojazdów ciężkich i cztery pojazdy lekkie. Ruch pojazdów ograniczony będzie wyłącznie do pory dnia. W budynkach inwentarskich zastosowana będzie wentylacja grawitacyjna. Ponadto, na terenie gospodarstwa rolnego nie korzysta się z robotów udojowych, a z dojarki rurowej. Dla przedstawionych warunków pracy w raporcie wykonano obliczenia rozprzestrzeniania się hałasu w środowisku w porze dnia i wyznaczono poziom hałasu emitowanego przez gospodarstwo rolne na granicy najbliższych terenów podlegających ochronie akustycznej. Z zaprezentowanych obliczeń wynika, że hałas związany z działalnością gospodarstwa rolnego w porze dnia będzie wynosił nie więcej niż 30,3 dB na granicy terenów podlegających ochronie akustycznej i nie spowoduje przekroczenia dopuszczalnych poziomów określonych w rozporządzeniu w sprawie dopuszczalnych poziomów hałasu. Z uwagi na niski poziom hałasu w porze dnia oraz brak ruchu pojazdów w porze nocy, pominięto wykonanie analizy akustycznej w porze nocy.</w:t>
      </w:r>
    </w:p>
    <w:p w14:paraId="7FBEED72" w14:textId="77777777" w:rsidR="00EE7D4D" w:rsidRPr="00EE7D4D" w:rsidRDefault="00EE7D4D" w:rsidP="00EE7D4D">
      <w:pPr>
        <w:spacing w:after="0" w:line="240" w:lineRule="auto"/>
        <w:jc w:val="both"/>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br w:type="page"/>
      </w:r>
    </w:p>
    <w:p w14:paraId="5AA82C24"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lastRenderedPageBreak/>
        <w:t>Mając na uwadze uzyskane wyniki z symulacji propagacji hałasu stwierdzono, że maksymalny poziom hałasu na granicy terenów podlegających ochronie akustycznej jest znacznie niższy niż najbardziej rygorystyczne dopuszczalne poziomy hałasu określone w przywołanym rozporządzeniu, to jest dla terenu zabudowy mieszkaniowej jednorodzinnej wynoszące 50 dB w porze dnia i 40 dB w porze nocy. Analiza akustyczna została przeprowadzona przy założeniu, że ruch pojazdów odbywać się będzie w porze dnia oraz zastosowana będzie wentylacja grawitacyjna. Powyższe założenia zostały uwzględnione w warunkach decyzji, zgodnie z postanowieniem Regionalnego Dyrektora Ochrony Środowiska w Poznaniu oraz opinią Państwowego Powiatowego Inspektora Sanitarnego w Śremie. Ponadto zgodnie z opinią Państwowego Powiatowego Inspektora Sanitarnego w Śremie, w decyzji uwzględniono warunek zapewnienia zieleni izolacyjnej składającej się z drzew i krzewów zimozielonych, charakteryzujących się szybkim przyrostem wzdłuż wschodniej i zachodniej granicy wnioskowanej działki. Jak wskazał Organ opiniujący, realizacja powyższego warunku ma na celu: „zapewnienie bariery ochronnej przed przedostawaniem się pyłów i zanieczyszczeń a także stworzenia bariery akustycznej zabezpieczającej pobliską zabudowę przed wpływem negatywnych oddziaływań.”. Burmistrz Śremu doprecyzował ten warunek poprzez określenie długości i szerokości pasa zieleni izolacyjnej oraz rodzaju gatunków drzew i krzewów do nasadzeń.</w:t>
      </w:r>
    </w:p>
    <w:p w14:paraId="00B2597E"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Teren gospodarstwa rolnego znajduje się poza obszarem zagrożenia powodziowego. Przedsięwzięcie nie znajduje się na obszarach narażonych na osuwiska. Uwzględniając przewidywany zakres i technologię prac oraz sposób eksploatacji przedsięwzięcia nie przewiduje się, aby na etapie eksploatacji i likwidacji wystąpiły problemy z adaptacją przedsięwzięcia do postępujących zmian klimatu. Należy wskazać, że hodowla bydła ma niewątpliwie duży udział w globalnej emisji gazów cieplarnianych związanych z działalnością człowieka. Jednak dzięki takim rozwiązaniom jak na przykład stosowanie odpowiednio zbilansowanych pasz, udział przedmiotowego gospodarstwa rolnego w tej emisji będzie znacząco minimalizowany. Przedsięwzięcie będzie przystosowane do zmieniających się warunków klimatycznych i możliwych zdarzeń ekstremalnych takich jak fale upałów, długotrwałe susze, ekstremalne opady, intensywne opady śniegu.</w:t>
      </w:r>
    </w:p>
    <w:p w14:paraId="551FE647" w14:textId="77777777" w:rsidR="00EE7D4D" w:rsidRPr="00EE7D4D" w:rsidRDefault="00EE7D4D" w:rsidP="00EE7D4D">
      <w:pPr>
        <w:spacing w:after="0" w:line="240" w:lineRule="auto"/>
        <w:jc w:val="both"/>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br w:type="page"/>
      </w:r>
    </w:p>
    <w:p w14:paraId="43D211C7"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lastRenderedPageBreak/>
        <w:t>Przedmiotowe przedsięwzięcie zlokalizowane jest poza obszarami chronionymi na podstawie ustawy z dnia 16 kwietnia 2004 r. o ochronie przyrody (Dz. U. z 2026 r. poz. 13). Najbliżej położonymi obszarami Natura 2000 są: obszar specjalnej ochrony ptaków Ostoja Rogalińska PLB300017 oraz specjalny obszar ochrony siedlisk Rogalińska Dolina Warty PLH300012, oddalone o około 10,8 km od terenu przedsięwzięcia, w kierunku północno-wschodnim.</w:t>
      </w:r>
    </w:p>
    <w:p w14:paraId="6D00D861"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Obszar przedsięwzięcia zlokalizowany jest poza terenem korytarzy ekologicznych (https://mapa.korytarze.pl), wyznaczonych w opracowaniu: Jędrzejewski W., Nowak S., Stachura K., Skierczyński M., Mysłajek R. W., Niedziałkowski K., Jędrzejewska B., Wójcik J. M., Zalewska H., Pilot M., Górny M., Kurek R.T., Ślusarczyk R. Projekt korytarzy ekologicznych łączących Europejską Sieć Natura 2000 w Polsce. Zakład Badania Ssaków PAN, Białowieża 2011, jak również poza obszarami ważnymi dla ptaków wyznaczonymi w opracowaniu Wylegała P., Kuźniak S., Dolatę P. T. „Obszary ważne dla ptaków w okresie gniazdowania oraz migracji na terenie województwa wielkopolskiego” (opracowanie przygotowane na zlecenie Wielkopolskiego Biura Planowania Przestrzennego. Poznań, 2008). Obszar przedsięwzięcia położony jest poza granicami krajobrazów priorytetowych zidentyfikowanych w ramach Audytu krajobrazowego województwa wielkopolskiego, który został uchwalony Uchwałą nr LI/1000/23 Sejmiku Województwa Wielkopolskiego z dnia 27 marca 2023 r.</w:t>
      </w:r>
    </w:p>
    <w:p w14:paraId="547A0051"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 xml:space="preserve">W raporcie wskazano, że teren przedsięwzięcia jest pozbawiony cennych walorów przyrodniczych. Obora nr 1 jest budynkiem istniejącym położonym na terenie funkcjonującego gospodarstwa rolnego i nie będą stawiane nowe budowle. Z uwagi na powyższe w raporcie odstąpiono od wykonania inwentaryzacji przyrodniczej. Teren przedsięwzięcia graniczy z terenami użytkowanymi rolniczo, </w:t>
      </w:r>
      <w:r w:rsidRPr="00EE7D4D">
        <w:rPr>
          <w:rFonts w:ascii="Calibri" w:eastAsia="Calibri" w:hAnsi="Calibri" w:cs="Times New Roman"/>
          <w:color w:val="000000"/>
          <w:kern w:val="2"/>
          <w:sz w:val="28"/>
          <w14:ligatures w14:val="standardContextual"/>
        </w:rPr>
        <w:t xml:space="preserve">w tym </w:t>
      </w:r>
      <w:r w:rsidRPr="00EE7D4D">
        <w:rPr>
          <w:rFonts w:ascii="Calibri" w:eastAsia="Calibri" w:hAnsi="Calibri" w:cs="Times New Roman"/>
          <w:kern w:val="2"/>
          <w:sz w:val="28"/>
          <w14:ligatures w14:val="standardContextual"/>
        </w:rPr>
        <w:t xml:space="preserve">zabudową zagrodową oraz drogą. Przedmiotowy teren jest w całości przekształcony i dostosowany do prowadzenia gospodarstwa rolnego. Intensywność prowadzonej działalności rolniczej oraz poziom jej zmechanizowania wpłynęły na zubożenie szaty roślinnej występującej na terenie przedsięwzięcia. Na wnioskowanej działce nie zidentyfikowano cennych siedlisk, chronionych, rzadkich i zagrożonych gatunków roślin i grzybów. Nie stwierdzono chronionych gatunków gadów, płazów oraz ich potencjalnych siedlisk, to jest zbiorników wodnych lub miejsc czasowego gromadzenia wody. Na przedmiotowym terenie nie stwierdzono tropów ssaków oraz szlaków ich migracji (teren przedsięwzięcia jest ogrodzony). W sąsiedztwie terenu przedsięwzięcia nie występują pomniki </w:t>
      </w:r>
      <w:r w:rsidRPr="00EE7D4D">
        <w:rPr>
          <w:rFonts w:ascii="Calibri" w:eastAsia="Calibri" w:hAnsi="Calibri" w:cs="Times New Roman"/>
          <w:kern w:val="2"/>
          <w:sz w:val="28"/>
          <w14:ligatures w14:val="standardContextual"/>
        </w:rPr>
        <w:lastRenderedPageBreak/>
        <w:t>przyrody. Przedsięwzięcie nie będzie negatywnie oddziaływać na zwierzęta, rośliny i krajobraz.</w:t>
      </w:r>
    </w:p>
    <w:p w14:paraId="676AFFA9"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 xml:space="preserve">Mając na uwadze lokalizację przedsięwzięcia na terenie rolnym o niskich walorach przyrodniczych, charakter zrealizowanego przedsięwzięcia polegającego na rozbudowie budynku inwentarskiego umiejscowionego w obrębie istniejącego gospodarstwa rolnego, </w:t>
      </w:r>
      <w:r w:rsidRPr="00EE7D4D">
        <w:rPr>
          <w:rFonts w:ascii="Calibri" w:eastAsia="Calibri" w:hAnsi="Calibri" w:cs="Times New Roman"/>
          <w:b/>
          <w:bCs/>
          <w:kern w:val="2"/>
          <w:sz w:val="28"/>
          <w14:ligatures w14:val="standardContextual"/>
        </w:rPr>
        <w:t>nie przewiduje się znacząco negatywnego oddziaływania przedsięwzięcia na etapie eksploatacji i likwidacji na środowisko przyrodnicze, w tym na krajobraz i bioróżnorodność</w:t>
      </w:r>
      <w:r w:rsidRPr="00EE7D4D">
        <w:rPr>
          <w:rFonts w:ascii="Calibri" w:eastAsia="Calibri" w:hAnsi="Calibri" w:cs="Times New Roman"/>
          <w:kern w:val="2"/>
          <w:sz w:val="28"/>
          <w14:ligatures w14:val="standardContextual"/>
        </w:rPr>
        <w:t xml:space="preserve"> rozumianą jako liczebność i kondycję populacji występujących gatunków, w szczególności gatunków chronionych, rzadkich lub ginących oraz ich siedliska, w tym utraty, fragmentacji lub izolacji siedlisk oraz zaburzenia funkcji przez nie pełnionych, a także wpływu na ekosystemy – ich kondycję, stabilność, odporność na zaburzenia, fragmentację i pełnione funkcje w środowisku. Przedsięwzięcie nie powinno także spowodować nadmiernej eksploatacji lub niewłaściwego wykorzystania zasobów przyrodniczych, czy przyczynić się do rozprzestrzeniania się gatunków obcych. Ze względu na lokalizację przedsięwzięcia poza obszarami chronionymi nie nastąpi również negatywne oddziaływanie przedsięwzięcia na gatunki, siedliska gatunków lub siedliska przyrodnicze będące przedmiotami ochrony obszarów Natura 2000 oraz cele ochrony obszarów Natura 2000, integralność obszarów Natura 2000 lub ich powiązanie z innymi obszarami, a także na inne obszary chronione. Teren przedsięwzięcia nie ingeruje bezpośrednio w obszary węzłowe, systemy rzeczne, roślinność nadrzeczną, połączenia leśne, które są komponentami krajobrazowymi tworzącymi korytarze ekologiczne. Nie stwierdza się zaburzenia drożności powiązań ekologicznych pomiędzy ekosystemami, zarówno w skali lokalnej i krajowej. Nie stwierdza się również negatywnego oddziaływania skumulowanego przedsięwzięcia na środowisko przyrodnicze, w tym na cele i przedmioty ochrony obszarów Natura 2000. Wobec powyższego nie zachodzi przesłanka odmówienia zgody realizacji przedsięwzięcia, o której mowa w art. 81 ust. 2 u.o.o.ś.</w:t>
      </w:r>
    </w:p>
    <w:p w14:paraId="0EDEE73D"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 xml:space="preserve">Zgodnie z art. 81 ust. 3 u.o.o.ś. przeanalizowano wpływ przedmiotowego przedsięwzięcia na możliwość osiągnięcia celów środowiskowych, o których mowa w art. 56, art. 57, art. 59 oraz art. 61 ustawy z dnia 20 lipca 2017 r. – Prawo wodne. Ustalono, że planowane przedsięwzięcie zlokalizowane jest w granicach jednolitej części wód podziemnych (jcwpd) o kodzie GW600070 oraz w granicach jednolitej części wód powierzchniowych (jcwp) o kodach RW60001818567299 –Racocki Rów i LW10125 - Móreckie. </w:t>
      </w:r>
    </w:p>
    <w:p w14:paraId="1859D7C5"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lastRenderedPageBreak/>
        <w:t>Zgodnie z obowiązującym „Planem gospodarowania wodami na obszarze dorzecza Odry”</w:t>
      </w:r>
      <w:r w:rsidRPr="00EE7D4D">
        <w:rPr>
          <w:rFonts w:ascii="Calibri" w:eastAsia="Calibri" w:hAnsi="Calibri" w:cs="Times New Roman"/>
          <w:kern w:val="2"/>
          <w:sz w:val="28"/>
          <w:vertAlign w:val="superscript"/>
          <w14:ligatures w14:val="standardContextual"/>
        </w:rPr>
        <w:footnoteReference w:id="3"/>
      </w:r>
      <w:r w:rsidRPr="00EE7D4D">
        <w:rPr>
          <w:rFonts w:ascii="Calibri" w:eastAsia="Calibri" w:hAnsi="Calibri" w:cs="Times New Roman"/>
          <w:kern w:val="2"/>
          <w:sz w:val="28"/>
          <w14:ligatures w14:val="standardContextual"/>
        </w:rPr>
        <w:t xml:space="preserve"> jcwpd o kodzie GW600070 charakteryzuje się dobrym stanem ilościowym oraz chemicznym, jest ona monitorowana, a w odniesieniu do ryzyka nieosiągnięcia celów środowiskowych została uznana za zagrożoną. Jcwp o kodzie RW60001818567299 posiada status naturalnej części wód, o aktualnie złym stanie, jest ona monitorowana, a w </w:t>
      </w:r>
      <w:bookmarkStart w:id="7" w:name="_Hlk219976547"/>
      <w:r w:rsidRPr="00EE7D4D">
        <w:rPr>
          <w:rFonts w:ascii="Calibri" w:eastAsia="Calibri" w:hAnsi="Calibri" w:cs="Times New Roman"/>
          <w:kern w:val="2"/>
          <w:sz w:val="28"/>
          <w14:ligatures w14:val="standardContextual"/>
        </w:rPr>
        <w:t>odniesieniu do ryzyka nieosiągnięcia celów środowiskowych została uznana za zagrożoną</w:t>
      </w:r>
      <w:bookmarkEnd w:id="7"/>
      <w:r w:rsidRPr="00EE7D4D">
        <w:rPr>
          <w:rFonts w:ascii="Calibri" w:eastAsia="Calibri" w:hAnsi="Calibri" w:cs="Times New Roman"/>
          <w:kern w:val="2"/>
          <w:sz w:val="28"/>
          <w14:ligatures w14:val="standardContextual"/>
        </w:rPr>
        <w:t>. Jcwp o kodzie LW10125, jest naturalną częścią wód, monitorowaną, a aktualnym złym stanie, a w odniesieniu do ryzyka nieosiągnięcia celów środowiskowych została uznana za niezagrożoną.</w:t>
      </w:r>
    </w:p>
    <w:p w14:paraId="49B7546B"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Dyrektor Zarządu Zlewni Państwowego Gospodarstwa Wodnego Wody Polskie w Poznaniu, w opinii z 27.03.2023 r., wskazał, że: „Mając na względzie charakter i skalę oddziaływania, zastosowane rozwiązania i technologie oraz przy założeniu zastosowania określonych w sentencji warunków podczas realizacji przedmiotowego przedsięwzięcia, nie przewiduje się negatywnego oddziaływania przedmiotowego przedsięwzięcia na stan jednolitych części wód oraz na realizację celów środowiskowych, o których mowa w art. 56, art. 57, art. 59 i art. 61 ustawy z dnia 20 lipca 2017 r. – Prawo wodne, a określonych dla tych części wód w „Planie gospodarowania wodami na obszarze dorzecza Odry”, (…).”. Wobec powyższego w przedmiotowej sprawie nie zachodzi przesłanka do odmówienia zgody realizacji planowanego przedsięwzięcia, o której mowa w art. 81 ust. 3 u.o.o.ś.</w:t>
      </w:r>
    </w:p>
    <w:p w14:paraId="192E5B06"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Na podstawie raportu i posiadanych przez Urząd materiałów kartograficznych ustalono, że w sąsiedztwie lub w bezpośrednim zasięgu oddziaływania przedsięwzięcia nie znajdują się zabytki chronione na podstawie ustawy z dnia 23 lipca 2003 r. o ochronie zabytków i opiece nad zabytkami (Dz. U. z 2024 r. poz. 1292). Ponadto ustalono, że przedsięwzięcie nie będzie miało bezpośredniego i pośredniego wpływu na dobra materialne znajdujące się w sąsiedztwie przedsięwzięcia czy dostępność do złóż kopalin. Z uwagi na lokalizację przedsięwzięcia na terenie przekształconym antropogenicznie, nie przewiduje się wpływu przedsięwzięcia na krajobraz obszaru, na którym będzie realizowane, w tym krajobraz kulturowy.</w:t>
      </w:r>
    </w:p>
    <w:p w14:paraId="2266B9F7"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W ramach przedsięwzięcia nie planuje się prac rozbiórkowych dotyczących przedsięwzięć mogących znacząco oddziaływać na środowisko.</w:t>
      </w:r>
      <w:r w:rsidRPr="00EE7D4D">
        <w:rPr>
          <w:rFonts w:ascii="Calibri" w:eastAsia="Calibri" w:hAnsi="Calibri" w:cs="Times New Roman"/>
          <w:kern w:val="2"/>
          <w:sz w:val="28"/>
          <w14:ligatures w14:val="standardContextual"/>
        </w:rPr>
        <w:t> </w:t>
      </w:r>
    </w:p>
    <w:p w14:paraId="59F908D4"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lastRenderedPageBreak/>
        <w:t>Zgodnie z art. 80 ust. 2 u.o.o.ś. właściwy organ wydaje decyzję o środowiskowych uwarunkowaniach po stwierdzeniu zgodności lokalizacji przedsięwzięcia z ustaleniami miejscowego planu zagospodarowania przestrzennego, jeżeli plan ten został uchwalony. Natomiast zgodnie z art. 59a ust. 3 pkt 1 u.o.o.ś., w przypadku stwierdzenia niezgodności lokalizacji przedsięwzięcia z ustaleniami miejscowego planu zagospodarowania przestrzennego, organ właściwy do wydania decyzji o środowiskowych uwarunkowaniach odmawia zgody na realizację przedsięwzięcia. Burmistrz Śremu stwierdził, że przedmiotowe przedsięwzięcie nie znajduje się na terenie objętym ustaleniami obowiązującego miejscowego planu zagospodarowania przestrzennego ani planu ogólnego gminy Śrem.</w:t>
      </w:r>
    </w:p>
    <w:p w14:paraId="41D48D86" w14:textId="77777777" w:rsidR="00EE7D4D" w:rsidRPr="00EE7D4D" w:rsidRDefault="00EE7D4D" w:rsidP="00EE7D4D">
      <w:pPr>
        <w:spacing w:after="120" w:line="240" w:lineRule="auto"/>
        <w:ind w:firstLine="708"/>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Zgodnie ze stanowiskiem Regionalnego Dyrektora Ochrony Środowiska w Poznaniu, ze względu na szczegółowy i jednoznaczny opis zastosowanej technologii oraz stosowanych środków mających na celu minimalizację negatywnego oddziaływania na środowisko przedsięwzięcia, w decyzji nie wskazano konieczności ponownego przeprowadzenia oceny oddziaływania przedsięwzięcia na środowisko, w ramach postępowania w sprawie wydania decyzji, o których mowa w art. 72 ust. 1 pkt 1 u.o.o.ś. Jednocześnie zgodnie ze stanowiskiem Organu uzgadniającego, ze względu na lokalizację przedsięwzięcia w dużej odległości od granic państwa oraz zasięg oddziaływania przedsięwzięcia, w decyzji nie stwierdzono również konieczności przeprowadzenia postępowania w sprawie transgranicznego oddziaływania na środowisko.</w:t>
      </w:r>
    </w:p>
    <w:p w14:paraId="124625B9" w14:textId="77777777" w:rsidR="00EE7D4D" w:rsidRPr="00EE7D4D" w:rsidRDefault="00EE7D4D" w:rsidP="00EE7D4D">
      <w:pPr>
        <w:spacing w:after="120" w:line="240" w:lineRule="auto"/>
        <w:ind w:firstLine="708"/>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 xml:space="preserve">Z raportu wynika także, że </w:t>
      </w:r>
      <w:r w:rsidRPr="00EE7D4D">
        <w:rPr>
          <w:rFonts w:ascii="Calibri" w:eastAsia="Times New Roman" w:hAnsi="Calibri" w:cs="Calibri"/>
          <w:b/>
          <w:bCs/>
          <w:sz w:val="28"/>
          <w:szCs w:val="28"/>
          <w:lang w:eastAsia="pl-PL"/>
        </w:rPr>
        <w:t>przedsięwzięcie nie należy do kategorii zakładów stwarzających zagrożenie wystąpienia poważnych awarii</w:t>
      </w:r>
      <w:r w:rsidRPr="00EE7D4D">
        <w:rPr>
          <w:rFonts w:ascii="Calibri" w:eastAsia="Times New Roman" w:hAnsi="Calibri" w:cs="Calibri"/>
          <w:sz w:val="28"/>
          <w:szCs w:val="28"/>
          <w:lang w:eastAsia="pl-PL"/>
        </w:rPr>
        <w:t>, zgodnie z rozporządzeniem Ministra Rozwoju z dnia 29 stycznia 2016 r. w sprawie rodzajów i ilości znajdujących się w zakładzie substancji niebezpiecznych, decydujących o zaliczeniu zakładu do zakładu o zwiększonym lub dużym ryzyku wystąpienia poważnej awarii przemysłowej (Dz. U. poz. 138), jak również nie wymaga utworzenia obszaru ograniczonego użytkowania, dlatego w decyzji nie określono wymogów w powyższym zakresie.</w:t>
      </w:r>
    </w:p>
    <w:p w14:paraId="2821EE18" w14:textId="77777777" w:rsidR="00EE7D4D" w:rsidRPr="00EE7D4D" w:rsidRDefault="00EE7D4D" w:rsidP="00EE7D4D">
      <w:pPr>
        <w:spacing w:after="120" w:line="240" w:lineRule="auto"/>
        <w:ind w:firstLine="708"/>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Przedsięwzięcie nie będzie wyposażone w instalację do spalania paliw w celu wytwarzania energii elektrycznej, dlatego w decyzji nie określono gotowości instalacji do wychwytywania dwutlenku węgla.</w:t>
      </w:r>
    </w:p>
    <w:p w14:paraId="38B7D7ED" w14:textId="77777777" w:rsidR="00EE7D4D" w:rsidRPr="00EE7D4D" w:rsidRDefault="00EE7D4D" w:rsidP="00EE7D4D">
      <w:pPr>
        <w:spacing w:after="0" w:line="240" w:lineRule="auto"/>
        <w:jc w:val="both"/>
        <w:rPr>
          <w:rFonts w:ascii="Calibri" w:eastAsia="Times New Roman" w:hAnsi="Calibri" w:cs="Calibri"/>
          <w:b/>
          <w:bCs/>
          <w:sz w:val="28"/>
          <w:szCs w:val="28"/>
          <w:lang w:eastAsia="pl-PL"/>
        </w:rPr>
      </w:pPr>
      <w:r w:rsidRPr="00EE7D4D">
        <w:rPr>
          <w:rFonts w:ascii="Calibri" w:eastAsia="Times New Roman" w:hAnsi="Calibri" w:cs="Calibri"/>
          <w:b/>
          <w:bCs/>
          <w:sz w:val="28"/>
          <w:szCs w:val="28"/>
          <w:lang w:eastAsia="pl-PL"/>
        </w:rPr>
        <w:br w:type="page"/>
      </w:r>
    </w:p>
    <w:p w14:paraId="7FE36454" w14:textId="77777777" w:rsidR="00EE7D4D" w:rsidRPr="00EE7D4D" w:rsidRDefault="00EE7D4D" w:rsidP="00EE7D4D">
      <w:pPr>
        <w:spacing w:after="120" w:line="240" w:lineRule="auto"/>
        <w:ind w:firstLine="708"/>
        <w:rPr>
          <w:rFonts w:ascii="Calibri" w:eastAsia="Times New Roman" w:hAnsi="Calibri" w:cs="Calibri"/>
          <w:sz w:val="28"/>
          <w:szCs w:val="28"/>
          <w:lang w:eastAsia="pl-PL"/>
        </w:rPr>
      </w:pPr>
      <w:r w:rsidRPr="00EE7D4D">
        <w:rPr>
          <w:rFonts w:ascii="Calibri" w:eastAsia="Times New Roman" w:hAnsi="Calibri" w:cs="Calibri"/>
          <w:b/>
          <w:bCs/>
          <w:sz w:val="28"/>
          <w:szCs w:val="28"/>
          <w:lang w:eastAsia="pl-PL"/>
        </w:rPr>
        <w:lastRenderedPageBreak/>
        <w:t>W raporcie przedstawiono opis wariantu proponowanego przez wnioskodawcę oraz opis racjonalnego wariantu alternatywnego</w:t>
      </w:r>
      <w:r w:rsidRPr="00EE7D4D">
        <w:rPr>
          <w:rFonts w:ascii="Calibri" w:eastAsia="Times New Roman" w:hAnsi="Calibri" w:cs="Calibri"/>
          <w:sz w:val="28"/>
          <w:szCs w:val="28"/>
          <w:lang w:eastAsia="pl-PL"/>
        </w:rPr>
        <w:t xml:space="preserve">. </w:t>
      </w:r>
      <w:r w:rsidRPr="00EE7D4D">
        <w:rPr>
          <w:rFonts w:ascii="Calibri" w:eastAsia="Times New Roman" w:hAnsi="Calibri" w:cs="Calibri"/>
          <w:b/>
          <w:bCs/>
          <w:sz w:val="28"/>
          <w:szCs w:val="28"/>
          <w:lang w:eastAsia="pl-PL"/>
        </w:rPr>
        <w:t>Wskazano również, że wariant proponowany przez wnioskodawcę jest jednocześnie wariantem najkorzystniejszym dla środowiska</w:t>
      </w:r>
      <w:r w:rsidRPr="00EE7D4D">
        <w:rPr>
          <w:rFonts w:ascii="Calibri" w:eastAsia="Times New Roman" w:hAnsi="Calibri" w:cs="Calibri"/>
          <w:sz w:val="28"/>
          <w:szCs w:val="28"/>
          <w:lang w:eastAsia="pl-PL"/>
        </w:rPr>
        <w:t xml:space="preserve">. Jako wariant alternatywny wnioskodawca wskazał utrzymywanie w rozbudowanej części obory nr 1 26 opasów o masie nieprzekraczającej 300 kg i 115 opasów o masie powyżej 300 kg, bez zmiany systemu chowu polegającego na utrzymywaniu zwierząt luzem w kojcach na głębokiej ściółce. Jak wynika z raportu realizacja wariantu alternatywnego wiąże się ze zwiększeniem zużycia wody przeznaczonej do pojenia zwierząt, emisji substancji do powietrza, ilości powstających nawozów naturalnych. Następnie w uzupełnieniu raportu z kwietnia 2025 r. jako wariant alternatywny wnioskodawca wskazał sposób udoju zwierząt przy zastosowaniu robotów udojowych, a nie jak do tej pory dojarki rurowej wymagającej ręcznego przygotowania i aplikacji jednostki dojącej na strzyki krów. Wskazany wariant alternatywny wiąże się między innymi z wysokimi kosztami inwestycyjnymi. </w:t>
      </w:r>
      <w:r w:rsidRPr="00EE7D4D">
        <w:rPr>
          <w:rFonts w:ascii="Calibri" w:eastAsia="Times New Roman" w:hAnsi="Calibri" w:cs="Calibri"/>
          <w:b/>
          <w:bCs/>
          <w:sz w:val="28"/>
          <w:szCs w:val="28"/>
          <w:lang w:eastAsia="pl-PL"/>
        </w:rPr>
        <w:t xml:space="preserve">W raporcie przedstawiono ocenę oddziaływania na środowisko analizowanych wariantów oraz dokonano ich porównania. </w:t>
      </w:r>
      <w:r w:rsidRPr="00EE7D4D">
        <w:rPr>
          <w:rFonts w:ascii="Calibri" w:eastAsia="Times New Roman" w:hAnsi="Calibri" w:cs="Calibri"/>
          <w:sz w:val="28"/>
          <w:szCs w:val="28"/>
          <w:lang w:eastAsia="pl-PL"/>
        </w:rPr>
        <w:t xml:space="preserve">Wariant proponowany przez wnioskodawcę to wariant, który w rzeczywistości został zrealizowany. Przedsięwzięcie dotyczy bowiem rozbudowy obory nr 1, w której prowadzony jest chów bydła mlecznego. Dla chowu zwierząt o obsadzie 63,45 DJP prowadzonego w gospodarstwie rolnym przed 2005 r. nie była wymagana decyzja o środowiskowych uwarunkowaniach. Następnie wnioskodawca rozbudował oborę nr 1 o część dla bydła mlecznego o obsadzie 71 DJP, bez wymaganej wówczas decyzji o środowiskowych uwarunkowaniach. </w:t>
      </w:r>
    </w:p>
    <w:p w14:paraId="518CE46C" w14:textId="77777777" w:rsidR="00EE7D4D" w:rsidRPr="00EE7D4D" w:rsidRDefault="00EE7D4D" w:rsidP="00EE7D4D">
      <w:pPr>
        <w:spacing w:after="120" w:line="240" w:lineRule="auto"/>
        <w:ind w:firstLine="708"/>
        <w:rPr>
          <w:rFonts w:ascii="Calibri" w:eastAsia="Calibri" w:hAnsi="Calibri" w:cs="Times New Roman"/>
          <w:kern w:val="2"/>
          <w:sz w:val="28"/>
          <w14:ligatures w14:val="standardContextual"/>
        </w:rPr>
      </w:pPr>
      <w:r w:rsidRPr="00EE7D4D">
        <w:rPr>
          <w:rFonts w:ascii="Calibri" w:eastAsia="Calibri" w:hAnsi="Calibri" w:cs="Times New Roman"/>
          <w:kern w:val="2"/>
          <w:sz w:val="28"/>
          <w14:ligatures w14:val="standardContextual"/>
        </w:rPr>
        <w:t>W uzupełnieniu raportu w</w:t>
      </w:r>
      <w:r w:rsidRPr="00EE7D4D">
        <w:rPr>
          <w:rFonts w:ascii="Calibri" w:eastAsia="Times New Roman" w:hAnsi="Calibri" w:cs="Calibri"/>
          <w:sz w:val="28"/>
          <w:szCs w:val="28"/>
          <w:lang w:eastAsia="pl-PL"/>
        </w:rPr>
        <w:t xml:space="preserve">nioskodawca wyjaśnił, że obecnie nie toczy się postepowanie legalizacyjne przed Powiatowym Inspektorem Nadzoru Budowlanego w Śremie, jednak został on poinformowany przez pracowników Nadzoru Budowlanego o konieczności złożenia wniosku o legalizację samowoli budowlanej poprzedzonego uzyskaniem decyzji o środowiskowych uwarunkowaniach. </w:t>
      </w:r>
    </w:p>
    <w:p w14:paraId="2523F175" w14:textId="77777777" w:rsidR="00EE7D4D" w:rsidRPr="00EE7D4D" w:rsidRDefault="00EE7D4D" w:rsidP="00EE7D4D">
      <w:pPr>
        <w:spacing w:after="120" w:line="240" w:lineRule="auto"/>
        <w:ind w:firstLine="708"/>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 xml:space="preserve">Naczelny Sąd Administracyjny w Warszawie w wyroku z 28.10.2016 r., II OSK 764/16 wyjaśnił, że: „Jeżeli inwestycja została już zrealizowana, a inwestor ubiega się o decyzję środowiskową, to wszczęcie tzw. postępowania legalizacyjnego (prowadzonego na podstawie art. 48 i 49 Prawa budowlanego) przed organem nadzoru budowlanego nie stanowi okoliczności warunkującej wydanie decyzji środowiskowej. Innymi słowy, </w:t>
      </w:r>
      <w:r w:rsidRPr="00EE7D4D">
        <w:rPr>
          <w:rFonts w:ascii="Calibri" w:eastAsia="Times New Roman" w:hAnsi="Calibri" w:cs="Calibri"/>
          <w:b/>
          <w:bCs/>
          <w:sz w:val="28"/>
          <w:szCs w:val="28"/>
          <w:lang w:eastAsia="pl-PL"/>
        </w:rPr>
        <w:t xml:space="preserve">dopuszczalne jest prowadzenie postępowania w sprawie wydania decyzji o środowiskowych uwarunkowaniach dla inwestycji już zrealizowanej </w:t>
      </w:r>
      <w:r w:rsidRPr="00EE7D4D">
        <w:rPr>
          <w:rFonts w:ascii="Calibri" w:eastAsia="Times New Roman" w:hAnsi="Calibri" w:cs="Calibri"/>
          <w:b/>
          <w:bCs/>
          <w:sz w:val="28"/>
          <w:szCs w:val="28"/>
          <w:lang w:eastAsia="pl-PL"/>
        </w:rPr>
        <w:lastRenderedPageBreak/>
        <w:t>niezależnie od tego, czy dla tej inwestycji toczy się postępowanie legalizacyjne</w:t>
      </w:r>
      <w:r w:rsidRPr="00EE7D4D">
        <w:rPr>
          <w:rFonts w:ascii="Calibri" w:eastAsia="Times New Roman" w:hAnsi="Calibri" w:cs="Calibri"/>
          <w:sz w:val="28"/>
          <w:szCs w:val="28"/>
          <w:lang w:eastAsia="pl-PL"/>
        </w:rPr>
        <w:t xml:space="preserve">. (...) Z treści literalnego brzmienia przepisu art. 49 ust. 4a Prawa bud. wynika, że </w:t>
      </w:r>
      <w:r w:rsidRPr="00EE7D4D">
        <w:rPr>
          <w:rFonts w:ascii="Calibri" w:eastAsia="Times New Roman" w:hAnsi="Calibri" w:cs="Calibri"/>
          <w:b/>
          <w:bCs/>
          <w:sz w:val="28"/>
          <w:szCs w:val="28"/>
          <w:lang w:eastAsia="pl-PL"/>
        </w:rPr>
        <w:t>decyzję legalizacyjną można wydać po uprzednim przeprowadzeniu oceny oddziaływania przedsięwzięcia na środowisko</w:t>
      </w:r>
      <w:r w:rsidRPr="00EE7D4D">
        <w:rPr>
          <w:rFonts w:ascii="Calibri" w:eastAsia="Times New Roman" w:hAnsi="Calibri" w:cs="Calibri"/>
          <w:sz w:val="28"/>
          <w:szCs w:val="28"/>
          <w:lang w:eastAsia="pl-PL"/>
        </w:rPr>
        <w:t xml:space="preserve"> (...) Omawiany przepis dotyczy zatem następczego charakteru wydawanej decyzji legalizacyjnej. Taki zaś charakter następczy oznacza, że wymóg uzyskania decyzji środowiskowej dotyczy nie tylko etapu postępowania legalizacyjnego, ale i stanu jeszcze przed jego wszczęciem. (...) </w:t>
      </w:r>
      <w:r w:rsidRPr="00EE7D4D">
        <w:rPr>
          <w:rFonts w:ascii="Calibri" w:eastAsia="Times New Roman" w:hAnsi="Calibri" w:cs="Calibri"/>
          <w:b/>
          <w:bCs/>
          <w:sz w:val="28"/>
          <w:szCs w:val="28"/>
          <w:lang w:eastAsia="pl-PL"/>
        </w:rPr>
        <w:t>Zainicjowanie postępowania legalizacyjnego nie należy tylko do kompetencji organu nadzoru budowlanego. Może tego dokonać również inwestor</w:t>
      </w:r>
      <w:r w:rsidRPr="00EE7D4D">
        <w:rPr>
          <w:rFonts w:ascii="Calibri" w:eastAsia="Times New Roman" w:hAnsi="Calibri" w:cs="Calibri"/>
          <w:sz w:val="28"/>
          <w:szCs w:val="28"/>
          <w:lang w:eastAsia="pl-PL"/>
        </w:rPr>
        <w:t>.”.</w:t>
      </w:r>
    </w:p>
    <w:p w14:paraId="6EF2D065" w14:textId="77777777" w:rsidR="00EE7D4D" w:rsidRPr="00EE7D4D" w:rsidRDefault="00EE7D4D" w:rsidP="00EE7D4D">
      <w:pPr>
        <w:spacing w:after="120" w:line="240" w:lineRule="auto"/>
        <w:ind w:firstLine="708"/>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 xml:space="preserve">W ramach niniejszego postępowania administracyjnego </w:t>
      </w:r>
      <w:r w:rsidRPr="00EE7D4D">
        <w:rPr>
          <w:rFonts w:ascii="Calibri" w:eastAsia="Times New Roman" w:hAnsi="Calibri" w:cs="Calibri"/>
          <w:b/>
          <w:bCs/>
          <w:sz w:val="28"/>
          <w:szCs w:val="28"/>
          <w:lang w:eastAsia="pl-PL"/>
        </w:rPr>
        <w:t>została przeprowadzona ocena oddziaływania na środowisko z uwzględnieniem rozwiązań alternatywnych przedsięwzięcia. Dla wariantu proponowanego przez wnioskodawcę Burmistrz Śremu określił w decyzji warunki korzystania ze środowiska</w:t>
      </w:r>
      <w:r w:rsidRPr="00EE7D4D">
        <w:rPr>
          <w:rFonts w:ascii="Calibri" w:eastAsia="Times New Roman" w:hAnsi="Calibri" w:cs="Calibri"/>
          <w:sz w:val="28"/>
          <w:szCs w:val="28"/>
          <w:lang w:eastAsia="pl-PL"/>
        </w:rPr>
        <w:t xml:space="preserve">, zgodnie z postanowieniem Regionalnego Dyrektora Ochrony Środowiska w Poznaniu oraz opiniami Dyrektora Zarządu Zlewni Państwowego Gospodarstwa Wodnego Wody Polskie w Poznaniu i Państwowego Powiatowego Inspektora Sanitarnego w Śremie. </w:t>
      </w:r>
    </w:p>
    <w:p w14:paraId="7431AA0D" w14:textId="77777777" w:rsidR="00EE7D4D" w:rsidRPr="00EE7D4D" w:rsidRDefault="00EE7D4D" w:rsidP="00EE7D4D">
      <w:pPr>
        <w:spacing w:after="120" w:line="240" w:lineRule="auto"/>
        <w:ind w:firstLine="708"/>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Odnosząc się do art. 81 ust. 1 u.o.o.ś. z oceny oddziaływania przedsięwzięcia na środowisko nie wynika zasadność wskazania przez Burmistrza Śremu realizacji przedsięwzięcia w wariancie innym niż proponowanym przez wnioskodawcę.</w:t>
      </w:r>
    </w:p>
    <w:p w14:paraId="30559C33" w14:textId="77777777" w:rsidR="00EE7D4D" w:rsidRPr="00EE7D4D" w:rsidRDefault="00EE7D4D" w:rsidP="00EE7D4D">
      <w:pPr>
        <w:spacing w:after="120" w:line="240" w:lineRule="auto"/>
        <w:ind w:firstLine="708"/>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 xml:space="preserve">Ocena oddziaływania przedmiotowego przedsięwzięcia na środowisko, przedstawiona w raporcie i jego uzupełnieniach, dokonana została w oparciu o szczegółowe informacje i konkretne założenia przyjęte do analiz, w tym położenie poszczególnych obiektów na terenie przedsięwzięcia. Dla lokalizacji obiektów wskazanych w raporcie wykazano dochowanie norm jakości środowiska określonych w obowiązujących przepisach prawa. Mając powyższe na uwadze, przy zachowaniu wszelkich ustaleń zawartych w raporcie i jego uzupełnieniu oraz spełnieniu warunków korzystania ze środowiska wskazanych w decyzji, przedmiotowe </w:t>
      </w:r>
      <w:r w:rsidRPr="00EE7D4D">
        <w:rPr>
          <w:rFonts w:ascii="Calibri" w:eastAsia="Times New Roman" w:hAnsi="Calibri" w:cs="Calibri"/>
          <w:b/>
          <w:bCs/>
          <w:sz w:val="28"/>
          <w:szCs w:val="28"/>
          <w:lang w:eastAsia="pl-PL"/>
        </w:rPr>
        <w:t>przedsięwzięcie nie będzie powodowało przekroczenia standardów jakości ochrony środowiska.</w:t>
      </w:r>
    </w:p>
    <w:p w14:paraId="5F562485" w14:textId="77777777" w:rsidR="00EE7D4D" w:rsidRPr="00EE7D4D" w:rsidRDefault="00EE7D4D" w:rsidP="00EE7D4D">
      <w:pPr>
        <w:spacing w:after="0" w:line="240" w:lineRule="auto"/>
        <w:jc w:val="both"/>
        <w:rPr>
          <w:rFonts w:ascii="Calibri" w:eastAsia="Times New Roman" w:hAnsi="Calibri" w:cs="Calibri"/>
          <w:sz w:val="28"/>
          <w:szCs w:val="28"/>
          <w:lang w:eastAsia="pl-PL"/>
        </w:rPr>
      </w:pPr>
      <w:r w:rsidRPr="00EE7D4D">
        <w:rPr>
          <w:rFonts w:ascii="Calibri" w:eastAsia="Times New Roman" w:hAnsi="Calibri" w:cs="Calibri"/>
          <w:sz w:val="28"/>
          <w:szCs w:val="28"/>
          <w:lang w:eastAsia="pl-PL"/>
        </w:rPr>
        <w:br w:type="page"/>
      </w:r>
    </w:p>
    <w:p w14:paraId="06C3F3E9" w14:textId="77777777" w:rsidR="00EE7D4D" w:rsidRPr="00EE7D4D" w:rsidRDefault="00EE7D4D" w:rsidP="00EE7D4D">
      <w:pPr>
        <w:spacing w:after="120" w:line="240" w:lineRule="auto"/>
        <w:ind w:firstLine="708"/>
        <w:rPr>
          <w:rFonts w:ascii="Calibri" w:eastAsia="Times New Roman" w:hAnsi="Calibri" w:cs="Calibri"/>
          <w:sz w:val="28"/>
          <w:szCs w:val="28"/>
          <w:lang w:eastAsia="pl-PL"/>
        </w:rPr>
      </w:pPr>
      <w:r w:rsidRPr="00EE7D4D">
        <w:rPr>
          <w:rFonts w:ascii="Calibri" w:eastAsia="Times New Roman" w:hAnsi="Calibri" w:cs="Calibri"/>
          <w:sz w:val="28"/>
          <w:szCs w:val="28"/>
          <w:lang w:eastAsia="pl-PL"/>
        </w:rPr>
        <w:lastRenderedPageBreak/>
        <w:t>Wobec powyższego w decyzji nie nałożono obowiązku przedstawienia analizy porealizacyjnej, natomiast wskazano obowiązek unikania, zapobiegania, ograniczania oraz monitorowania oddziaływania przedsięwzięcia na środowisko, w zakresie gospodarki wodno-ściekowej, emisji substancji zanieczyszczających do powietrza, w tym hałasu, przy zastosowaniu rozwiązań wskazanych w raporcie, a także w postanowieniu Regionalnego Dyrektora Ochrony Środowiska w Poznaniu oraz opiniach Dyrektora Zarządu Zlewni Państwowego Gospodarstwa Wodnego Wody Polskie w Poznaniu i Państwowego Powiatowego Inspektora Sanitarnego w Śremie.</w:t>
      </w:r>
    </w:p>
    <w:p w14:paraId="2670F335" w14:textId="77777777" w:rsidR="00EE7D4D" w:rsidRPr="00EE7D4D" w:rsidRDefault="00EE7D4D" w:rsidP="00EE7D4D">
      <w:pPr>
        <w:spacing w:after="120" w:line="240" w:lineRule="auto"/>
        <w:ind w:firstLine="708"/>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 xml:space="preserve">Wnioskodawca zapewnia, że zastosowane rozwiązania techniczne i technologiczne są prawidłowe z punktu widzenia ochrony środowiska i zostały zaplanowane zgodnie ze współczesną wiedzą techniczną w oparciu o aktualne przepisy prawa. </w:t>
      </w:r>
    </w:p>
    <w:p w14:paraId="562F0F9F" w14:textId="77777777" w:rsidR="00EE7D4D" w:rsidRPr="00EE7D4D" w:rsidRDefault="00EE7D4D" w:rsidP="00EE7D4D">
      <w:pPr>
        <w:spacing w:after="120" w:line="240" w:lineRule="auto"/>
        <w:ind w:firstLine="708"/>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W decyzji określono warunki korzystania ze środowiska w fazie eksploatacji przedsięwzięcia oraz wymagania dotyczące ochrony środowiska konieczne do uwzględnienia w projekcie zagospodarowania działki lub terenu lub projekcie architektoniczno-budowlanym, wynikające z rodzaju przedsięwzięcia.</w:t>
      </w:r>
    </w:p>
    <w:p w14:paraId="667718A8" w14:textId="77777777" w:rsidR="00EE7D4D" w:rsidRPr="00EE7D4D" w:rsidRDefault="00EE7D4D" w:rsidP="00EE7D4D">
      <w:pPr>
        <w:spacing w:after="120" w:line="240" w:lineRule="auto"/>
        <w:ind w:firstLine="708"/>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 xml:space="preserve">W ramach postępowania z udziałem społeczeństwa do Burmistrza Śremu nie wpłynęły żadne uwagi i wnioski. </w:t>
      </w:r>
    </w:p>
    <w:p w14:paraId="01F9D354" w14:textId="77777777" w:rsidR="00EE7D4D" w:rsidRPr="00EE7D4D" w:rsidRDefault="00EE7D4D" w:rsidP="00EE7D4D">
      <w:pPr>
        <w:spacing w:after="120" w:line="240" w:lineRule="auto"/>
        <w:ind w:firstLine="708"/>
        <w:rPr>
          <w:rFonts w:ascii="Calibri" w:eastAsia="Times New Roman" w:hAnsi="Calibri" w:cs="Calibri"/>
          <w:sz w:val="28"/>
          <w:szCs w:val="28"/>
          <w:u w:val="single"/>
          <w:lang w:eastAsia="pl-PL"/>
        </w:rPr>
      </w:pPr>
      <w:r w:rsidRPr="00EE7D4D">
        <w:rPr>
          <w:rFonts w:ascii="Calibri" w:eastAsia="Times New Roman" w:hAnsi="Calibri" w:cs="Calibri"/>
          <w:sz w:val="28"/>
          <w:szCs w:val="28"/>
          <w:lang w:eastAsia="pl-PL"/>
        </w:rPr>
        <w:t xml:space="preserve">W związku z powyższym, po przeprowadzeniu analizy i oceny wpływu przedsięwzięcia na środowisko oraz biorąc pod uwagę stanowiska właściwych organów, Burmistrz Śremu stwierdził, że </w:t>
      </w:r>
      <w:r w:rsidRPr="00EE7D4D">
        <w:rPr>
          <w:rFonts w:ascii="Calibri" w:eastAsia="Times New Roman" w:hAnsi="Calibri" w:cs="Calibri"/>
          <w:b/>
          <w:sz w:val="28"/>
          <w:szCs w:val="28"/>
          <w:lang w:eastAsia="pl-PL"/>
        </w:rPr>
        <w:t>przedsięwzięcie będzie zgodne z wymaganiami ochrony środowiska,</w:t>
      </w:r>
      <w:r w:rsidRPr="00EE7D4D">
        <w:rPr>
          <w:rFonts w:ascii="Calibri" w:eastAsia="Times New Roman" w:hAnsi="Calibri" w:cs="Calibri"/>
          <w:sz w:val="28"/>
          <w:szCs w:val="28"/>
          <w:lang w:eastAsia="pl-PL"/>
        </w:rPr>
        <w:t xml:space="preserve"> </w:t>
      </w:r>
      <w:r w:rsidRPr="00EE7D4D">
        <w:rPr>
          <w:rFonts w:ascii="Calibri" w:eastAsia="Times New Roman" w:hAnsi="Calibri" w:cs="Calibri"/>
          <w:b/>
          <w:sz w:val="28"/>
          <w:szCs w:val="28"/>
          <w:lang w:eastAsia="pl-PL"/>
        </w:rPr>
        <w:t>jeśli zostaną spełnione warunki określone w raporcie i w decyzji o środowiskowych uwarunkowaniach. Ponadto, podmiot realizujący i eksploatujący przedsięwzięcie zobowiązany jest do dotrzymania standardów jakości środowiska określonych w przepisach odrębnych.</w:t>
      </w:r>
      <w:r w:rsidRPr="00EE7D4D">
        <w:rPr>
          <w:rFonts w:ascii="Calibri" w:eastAsia="Times New Roman" w:hAnsi="Calibri" w:cs="Calibri"/>
          <w:sz w:val="28"/>
          <w:szCs w:val="28"/>
          <w:lang w:eastAsia="pl-PL"/>
        </w:rPr>
        <w:t xml:space="preserve"> </w:t>
      </w:r>
    </w:p>
    <w:p w14:paraId="682CFF60" w14:textId="77777777" w:rsidR="00EE7D4D" w:rsidRPr="00EE7D4D" w:rsidRDefault="00EE7D4D" w:rsidP="00EE7D4D">
      <w:pPr>
        <w:spacing w:after="120" w:line="240" w:lineRule="auto"/>
        <w:ind w:firstLine="708"/>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Biorąc powyższe pod uwagę orzeczono jak w osnowie decyzji</w:t>
      </w:r>
    </w:p>
    <w:p w14:paraId="214DF91F" w14:textId="77777777" w:rsidR="00EE7D4D" w:rsidRPr="00EE7D4D" w:rsidRDefault="00EE7D4D" w:rsidP="00EE7D4D">
      <w:pPr>
        <w:spacing w:after="0" w:line="240" w:lineRule="auto"/>
        <w:jc w:val="both"/>
        <w:rPr>
          <w:rFonts w:ascii="Calibri" w:eastAsia="Times New Roman" w:hAnsi="Calibri" w:cs="Calibri"/>
          <w:sz w:val="28"/>
          <w:szCs w:val="28"/>
          <w:lang w:eastAsia="pl-PL"/>
        </w:rPr>
      </w:pPr>
      <w:r w:rsidRPr="00EE7D4D">
        <w:rPr>
          <w:rFonts w:ascii="Calibri" w:eastAsia="Times New Roman" w:hAnsi="Calibri" w:cs="Calibri"/>
          <w:sz w:val="28"/>
          <w:szCs w:val="28"/>
          <w:lang w:eastAsia="pl-PL"/>
        </w:rPr>
        <w:br w:type="page"/>
      </w:r>
    </w:p>
    <w:p w14:paraId="475ACC50" w14:textId="77777777" w:rsidR="00EE7D4D" w:rsidRPr="00EE7D4D" w:rsidRDefault="00EE7D4D" w:rsidP="00EE7D4D">
      <w:pPr>
        <w:spacing w:after="80" w:line="240" w:lineRule="auto"/>
        <w:jc w:val="center"/>
        <w:rPr>
          <w:rFonts w:ascii="Calibri" w:eastAsia="Times New Roman" w:hAnsi="Calibri" w:cs="Calibri"/>
          <w:sz w:val="28"/>
          <w:szCs w:val="28"/>
          <w:lang w:eastAsia="pl-PL"/>
        </w:rPr>
      </w:pPr>
      <w:r w:rsidRPr="00EE7D4D">
        <w:rPr>
          <w:rFonts w:ascii="Calibri" w:eastAsia="Times New Roman" w:hAnsi="Calibri" w:cs="Calibri"/>
          <w:sz w:val="28"/>
          <w:szCs w:val="28"/>
          <w:lang w:eastAsia="pl-PL"/>
        </w:rPr>
        <w:lastRenderedPageBreak/>
        <w:t>Pouczenie</w:t>
      </w:r>
    </w:p>
    <w:p w14:paraId="015CFFCB" w14:textId="77777777" w:rsidR="00EE7D4D" w:rsidRPr="00EE7D4D" w:rsidRDefault="00EE7D4D" w:rsidP="00EE7D4D">
      <w:pPr>
        <w:spacing w:after="120" w:line="240" w:lineRule="auto"/>
        <w:ind w:firstLine="567"/>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Od niniejszej decyzji służy stronie prawo wniesienia odwołania do Samorządowego Kolegium Odwoławczego w Poznaniu, za moim pośrednictwem, w terminie 14 dni od dnia doręczenia. 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67CDC358" w14:textId="77777777" w:rsidR="00EE7D4D" w:rsidRPr="00EE7D4D" w:rsidRDefault="00EE7D4D" w:rsidP="00EE7D4D">
      <w:pPr>
        <w:spacing w:after="120" w:line="240" w:lineRule="auto"/>
        <w:ind w:firstLine="567"/>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Decyzję o środowiskowych uwarunkowaniach dołącza się do wniosku o wydanie decyzji, o których mowa w art. 72 ust. 1 u.o.o.ś. oraz zgłoszenia, o którym mowa w art. 72 ust. 1a u.o.o.ś.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5BCBF470" w14:textId="77777777" w:rsidR="00EE7D4D" w:rsidRPr="00EE7D4D" w:rsidRDefault="00EE7D4D" w:rsidP="00EE7D4D">
      <w:pPr>
        <w:spacing w:after="0" w:line="240" w:lineRule="auto"/>
        <w:ind w:firstLine="567"/>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 xml:space="preserve">Decyzja o środowiskowych uwarunkowaniach wiąże organy: </w:t>
      </w:r>
    </w:p>
    <w:p w14:paraId="3A6D6074" w14:textId="77777777" w:rsidR="00EE7D4D" w:rsidRPr="00EE7D4D" w:rsidRDefault="00EE7D4D">
      <w:pPr>
        <w:numPr>
          <w:ilvl w:val="0"/>
          <w:numId w:val="1"/>
        </w:numPr>
        <w:tabs>
          <w:tab w:val="left" w:pos="567"/>
        </w:tabs>
        <w:spacing w:after="0" w:line="240" w:lineRule="auto"/>
        <w:ind w:left="426" w:hanging="426"/>
        <w:jc w:val="both"/>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111A0DF9" w14:textId="77777777" w:rsidR="00EE7D4D" w:rsidRPr="00EE7D4D" w:rsidRDefault="00EE7D4D">
      <w:pPr>
        <w:numPr>
          <w:ilvl w:val="0"/>
          <w:numId w:val="1"/>
        </w:numPr>
        <w:tabs>
          <w:tab w:val="left" w:pos="567"/>
        </w:tabs>
        <w:spacing w:after="0" w:line="240" w:lineRule="auto"/>
        <w:ind w:left="426" w:hanging="426"/>
        <w:jc w:val="both"/>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 xml:space="preserve">wydające decyzje, o których mowa w art. 72 ust. 1 u.o.o.ś.; </w:t>
      </w:r>
    </w:p>
    <w:p w14:paraId="2F96B60A" w14:textId="77777777" w:rsidR="00EE7D4D" w:rsidRPr="00EE7D4D" w:rsidRDefault="00EE7D4D">
      <w:pPr>
        <w:numPr>
          <w:ilvl w:val="0"/>
          <w:numId w:val="1"/>
        </w:numPr>
        <w:tabs>
          <w:tab w:val="left" w:pos="567"/>
        </w:tabs>
        <w:spacing w:after="120" w:line="240" w:lineRule="auto"/>
        <w:ind w:left="425" w:hanging="425"/>
        <w:jc w:val="both"/>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przyjmujące zgłoszenia, o których mowa w art. 72 ust. 1a u.o.o.ś.</w:t>
      </w:r>
    </w:p>
    <w:p w14:paraId="43D27A65" w14:textId="40EFBD55" w:rsidR="00EE7D4D" w:rsidRPr="00EE7D4D" w:rsidRDefault="00EE7D4D" w:rsidP="00EE7D4D">
      <w:pPr>
        <w:spacing w:after="0" w:line="240" w:lineRule="auto"/>
        <w:ind w:left="2124"/>
        <w:jc w:val="center"/>
        <w:rPr>
          <w:rFonts w:ascii="Calibri" w:eastAsia="Calibri" w:hAnsi="Calibri" w:cs="Calibri"/>
          <w:sz w:val="28"/>
          <w:szCs w:val="28"/>
        </w:rPr>
      </w:pPr>
      <w:r w:rsidRPr="00EE7D4D">
        <w:rPr>
          <w:rFonts w:ascii="Calibri" w:eastAsia="Calibri" w:hAnsi="Calibri" w:cs="Calibri"/>
          <w:sz w:val="28"/>
          <w:szCs w:val="28"/>
        </w:rPr>
        <w:t>z up. BURMISTRZA</w:t>
      </w:r>
    </w:p>
    <w:p w14:paraId="7CAE4995" w14:textId="77777777" w:rsidR="00EE7D4D" w:rsidRPr="00EE7D4D" w:rsidRDefault="00EE7D4D" w:rsidP="00EE7D4D">
      <w:pPr>
        <w:spacing w:after="0" w:line="240" w:lineRule="auto"/>
        <w:ind w:left="2124"/>
        <w:jc w:val="center"/>
        <w:rPr>
          <w:rFonts w:ascii="Calibri" w:eastAsia="Calibri" w:hAnsi="Calibri" w:cs="Calibri"/>
          <w:sz w:val="28"/>
          <w:szCs w:val="28"/>
        </w:rPr>
      </w:pPr>
      <w:r w:rsidRPr="00EE7D4D">
        <w:rPr>
          <w:rFonts w:ascii="Calibri" w:eastAsia="Calibri" w:hAnsi="Calibri" w:cs="Calibri"/>
          <w:sz w:val="28"/>
          <w:szCs w:val="28"/>
        </w:rPr>
        <w:t>Katarzyna Bednarowicz</w:t>
      </w:r>
    </w:p>
    <w:p w14:paraId="4549D19D" w14:textId="77777777" w:rsidR="00EE7D4D" w:rsidRPr="00EE7D4D" w:rsidRDefault="00EE7D4D" w:rsidP="00EE7D4D">
      <w:pPr>
        <w:spacing w:after="0" w:line="240" w:lineRule="auto"/>
        <w:ind w:left="2124"/>
        <w:jc w:val="center"/>
        <w:rPr>
          <w:rFonts w:ascii="Calibri" w:eastAsia="Calibri" w:hAnsi="Calibri" w:cs="Calibri"/>
          <w:sz w:val="28"/>
          <w:szCs w:val="28"/>
        </w:rPr>
      </w:pPr>
      <w:r w:rsidRPr="00EE7D4D">
        <w:rPr>
          <w:rFonts w:ascii="Calibri" w:eastAsia="Calibri" w:hAnsi="Calibri" w:cs="Calibri"/>
          <w:sz w:val="28"/>
          <w:szCs w:val="28"/>
        </w:rPr>
        <w:t>naczelnik Pionu Gospodarowania</w:t>
      </w:r>
    </w:p>
    <w:p w14:paraId="3BFB50DF" w14:textId="77777777" w:rsidR="00EE7D4D" w:rsidRPr="00EE7D4D" w:rsidRDefault="00EE7D4D" w:rsidP="00EE7D4D">
      <w:pPr>
        <w:spacing w:after="0" w:line="240" w:lineRule="auto"/>
        <w:ind w:left="2124"/>
        <w:jc w:val="center"/>
        <w:rPr>
          <w:rFonts w:ascii="Calibri" w:eastAsia="Calibri" w:hAnsi="Calibri" w:cs="Calibri"/>
          <w:sz w:val="28"/>
          <w:szCs w:val="28"/>
        </w:rPr>
      </w:pPr>
      <w:r w:rsidRPr="00EE7D4D">
        <w:rPr>
          <w:rFonts w:ascii="Calibri" w:eastAsia="Calibri" w:hAnsi="Calibri" w:cs="Calibri"/>
          <w:sz w:val="28"/>
          <w:szCs w:val="28"/>
        </w:rPr>
        <w:t>Przestrzenią i Środowiskiem</w:t>
      </w:r>
    </w:p>
    <w:p w14:paraId="1FE06C7B" w14:textId="77777777" w:rsidR="00CE7EA8" w:rsidRDefault="00CE7EA8">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2BC39D60" w14:textId="59A1665A" w:rsidR="00EE7D4D" w:rsidRPr="00EE7D4D" w:rsidRDefault="00EE7D4D" w:rsidP="00EE7D4D">
      <w:pPr>
        <w:spacing w:after="120" w:line="240" w:lineRule="auto"/>
        <w:rPr>
          <w:rFonts w:ascii="Calibri" w:eastAsia="Times New Roman" w:hAnsi="Calibri" w:cs="Calibri"/>
          <w:sz w:val="28"/>
          <w:szCs w:val="28"/>
          <w:lang w:eastAsia="pl-PL"/>
        </w:rPr>
      </w:pPr>
      <w:r w:rsidRPr="00EE7D4D">
        <w:rPr>
          <w:rFonts w:ascii="Calibri" w:eastAsia="Times New Roman" w:hAnsi="Calibri" w:cs="Calibri"/>
          <w:sz w:val="28"/>
          <w:szCs w:val="28"/>
          <w:lang w:eastAsia="pl-PL"/>
        </w:rPr>
        <w:lastRenderedPageBreak/>
        <w:t>Załączniki:</w:t>
      </w:r>
    </w:p>
    <w:p w14:paraId="0A794917" w14:textId="77777777" w:rsidR="00EE7D4D" w:rsidRPr="00EE7D4D" w:rsidRDefault="00EE7D4D" w:rsidP="00EE7D4D">
      <w:pPr>
        <w:spacing w:after="120" w:line="240" w:lineRule="auto"/>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Załącznik nr 1 – Charakterystyka przedsięwzięcia.</w:t>
      </w:r>
    </w:p>
    <w:p w14:paraId="69F5A955" w14:textId="77777777" w:rsidR="00EE7D4D" w:rsidRPr="00EE7D4D" w:rsidRDefault="00EE7D4D" w:rsidP="00EE7D4D">
      <w:pPr>
        <w:spacing w:after="0" w:line="240" w:lineRule="auto"/>
        <w:rPr>
          <w:rFonts w:ascii="Calibri" w:eastAsia="Times New Roman" w:hAnsi="Calibri" w:cs="Calibri"/>
          <w:sz w:val="28"/>
          <w:szCs w:val="28"/>
          <w:lang w:eastAsia="pl-PL"/>
        </w:rPr>
      </w:pPr>
    </w:p>
    <w:p w14:paraId="106E01A4" w14:textId="77777777" w:rsidR="00EE7D4D" w:rsidRPr="00EE7D4D" w:rsidRDefault="00EE7D4D" w:rsidP="00EE7D4D">
      <w:pPr>
        <w:spacing w:after="0" w:line="240" w:lineRule="auto"/>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Sprawę prowadzi:</w:t>
      </w:r>
    </w:p>
    <w:p w14:paraId="6741A94C" w14:textId="77777777" w:rsidR="00EE7D4D" w:rsidRPr="00EE7D4D" w:rsidRDefault="00EE7D4D" w:rsidP="00EE7D4D">
      <w:pPr>
        <w:spacing w:after="0" w:line="240" w:lineRule="auto"/>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Małgorzata Borowska</w:t>
      </w:r>
    </w:p>
    <w:p w14:paraId="5D08B5B4" w14:textId="77777777" w:rsidR="00EE7D4D" w:rsidRPr="00EE7D4D" w:rsidRDefault="00EE7D4D" w:rsidP="00EE7D4D">
      <w:pPr>
        <w:spacing w:after="0" w:line="240" w:lineRule="auto"/>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inspektor</w:t>
      </w:r>
    </w:p>
    <w:p w14:paraId="322FA637" w14:textId="77777777" w:rsidR="00EE7D4D" w:rsidRPr="00EE7D4D" w:rsidRDefault="00EE7D4D" w:rsidP="00EE7D4D">
      <w:pPr>
        <w:spacing w:after="0" w:line="240" w:lineRule="auto"/>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tel. 61 28 47 140</w:t>
      </w:r>
    </w:p>
    <w:p w14:paraId="69084E11" w14:textId="77777777" w:rsidR="00EE7D4D" w:rsidRPr="00EE7D4D" w:rsidRDefault="00EE7D4D" w:rsidP="00EE7D4D">
      <w:pPr>
        <w:spacing w:after="0" w:line="240" w:lineRule="auto"/>
        <w:rPr>
          <w:rFonts w:ascii="Calibri" w:eastAsia="Times New Roman" w:hAnsi="Calibri" w:cs="Calibri"/>
          <w:sz w:val="28"/>
          <w:szCs w:val="28"/>
          <w:lang w:eastAsia="pl-PL"/>
        </w:rPr>
      </w:pPr>
    </w:p>
    <w:p w14:paraId="7EA7C3F4" w14:textId="77777777" w:rsidR="00EE7D4D" w:rsidRPr="00EE7D4D" w:rsidRDefault="00EE7D4D" w:rsidP="00EE7D4D">
      <w:pPr>
        <w:spacing w:after="0" w:line="240" w:lineRule="auto"/>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Otrzymują:</w:t>
      </w:r>
    </w:p>
    <w:p w14:paraId="0515696C" w14:textId="77777777" w:rsidR="00EE7D4D" w:rsidRPr="00EE7D4D" w:rsidRDefault="00EE7D4D">
      <w:pPr>
        <w:numPr>
          <w:ilvl w:val="0"/>
          <w:numId w:val="8"/>
        </w:numPr>
        <w:tabs>
          <w:tab w:val="left" w:pos="284"/>
        </w:tabs>
        <w:spacing w:after="120" w:line="240" w:lineRule="auto"/>
        <w:ind w:left="284" w:hanging="284"/>
        <w:contextualSpacing/>
        <w:jc w:val="both"/>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Strony postępowania:</w:t>
      </w:r>
    </w:p>
    <w:p w14:paraId="2179F86D" w14:textId="0802365A" w:rsidR="00EE7D4D" w:rsidRPr="00EE7D4D" w:rsidRDefault="00CE7EA8">
      <w:pPr>
        <w:numPr>
          <w:ilvl w:val="0"/>
          <w:numId w:val="9"/>
        </w:numPr>
        <w:tabs>
          <w:tab w:val="left" w:pos="284"/>
        </w:tabs>
        <w:spacing w:after="120" w:line="240" w:lineRule="auto"/>
        <w:ind w:left="284" w:hanging="284"/>
        <w:contextualSpacing/>
        <w:jc w:val="both"/>
        <w:rPr>
          <w:rFonts w:ascii="Calibri" w:eastAsia="Times New Roman" w:hAnsi="Calibri" w:cs="Calibri"/>
          <w:sz w:val="28"/>
          <w:szCs w:val="28"/>
          <w:lang w:eastAsia="pl-PL"/>
        </w:rPr>
      </w:pPr>
      <w:r w:rsidRPr="00CE7EA8">
        <w:rPr>
          <w:rFonts w:ascii="Calibri" w:eastAsia="Times New Roman" w:hAnsi="Calibri" w:cs="Calibri"/>
          <w:sz w:val="28"/>
          <w:szCs w:val="28"/>
          <w:highlight w:val="black"/>
          <w:lang w:eastAsia="pl-PL"/>
        </w:rPr>
        <w:t>……………………………………………………………………</w:t>
      </w:r>
    </w:p>
    <w:p w14:paraId="5F3C3D2C" w14:textId="77777777" w:rsidR="00EE7D4D" w:rsidRPr="00EE7D4D" w:rsidRDefault="00EE7D4D" w:rsidP="00EE7D4D">
      <w:pPr>
        <w:tabs>
          <w:tab w:val="left" w:pos="284"/>
        </w:tabs>
        <w:spacing w:after="120" w:line="240" w:lineRule="auto"/>
        <w:ind w:left="284"/>
        <w:contextualSpacing/>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 xml:space="preserve">Pełnomocnik: Pan Maciej Augustyniak, ALFAEKO Ochrona Środowiska </w:t>
      </w:r>
      <w:r w:rsidRPr="00EE7D4D">
        <w:rPr>
          <w:rFonts w:ascii="Calibri" w:eastAsia="Times New Roman" w:hAnsi="Calibri" w:cs="Calibri"/>
          <w:sz w:val="28"/>
          <w:szCs w:val="28"/>
          <w:lang w:eastAsia="pl-PL"/>
        </w:rPr>
        <w:br/>
        <w:t>Sp. z o.o., ul. Kuczmerowicza 21, 64-020 Czempiń (e-doręczenie)</w:t>
      </w:r>
    </w:p>
    <w:p w14:paraId="25039714" w14:textId="77777777" w:rsidR="00EE7D4D" w:rsidRPr="00EE7D4D" w:rsidRDefault="00EE7D4D">
      <w:pPr>
        <w:numPr>
          <w:ilvl w:val="0"/>
          <w:numId w:val="9"/>
        </w:numPr>
        <w:tabs>
          <w:tab w:val="left" w:pos="284"/>
        </w:tabs>
        <w:spacing w:after="120" w:line="240" w:lineRule="auto"/>
        <w:ind w:left="284" w:hanging="284"/>
        <w:contextualSpacing/>
        <w:jc w:val="both"/>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 xml:space="preserve">Pozostałe strony postępowania przez obwieszczenie, zgodnie z art. 74 ust. 3 u.o.o.ś. </w:t>
      </w:r>
    </w:p>
    <w:p w14:paraId="15C7A8CB" w14:textId="77777777" w:rsidR="00EE7D4D" w:rsidRPr="00EE7D4D" w:rsidRDefault="00EE7D4D" w:rsidP="00EE7D4D">
      <w:pPr>
        <w:tabs>
          <w:tab w:val="left" w:pos="990"/>
        </w:tabs>
        <w:spacing w:after="120" w:line="240" w:lineRule="auto"/>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II. aa</w:t>
      </w:r>
    </w:p>
    <w:p w14:paraId="27A33503" w14:textId="77777777" w:rsidR="00EE7D4D" w:rsidRPr="00EE7D4D" w:rsidRDefault="00EE7D4D" w:rsidP="00EE7D4D">
      <w:pPr>
        <w:tabs>
          <w:tab w:val="left" w:pos="990"/>
        </w:tabs>
        <w:spacing w:after="0" w:line="240" w:lineRule="auto"/>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Do wiadomości:</w:t>
      </w:r>
    </w:p>
    <w:p w14:paraId="3B356F95" w14:textId="77777777" w:rsidR="00EE7D4D" w:rsidRPr="00EE7D4D" w:rsidRDefault="00EE7D4D">
      <w:pPr>
        <w:numPr>
          <w:ilvl w:val="0"/>
          <w:numId w:val="3"/>
        </w:numPr>
        <w:tabs>
          <w:tab w:val="left" w:pos="284"/>
        </w:tabs>
        <w:spacing w:after="0" w:line="240" w:lineRule="auto"/>
        <w:ind w:left="284" w:hanging="284"/>
        <w:jc w:val="both"/>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Regionalny Dyrektor Ochrony Środowiska w Poznaniu (e-doręczenie)</w:t>
      </w:r>
    </w:p>
    <w:p w14:paraId="0C068983" w14:textId="77777777" w:rsidR="00EE7D4D" w:rsidRPr="00EE7D4D" w:rsidRDefault="00EE7D4D">
      <w:pPr>
        <w:numPr>
          <w:ilvl w:val="0"/>
          <w:numId w:val="3"/>
        </w:numPr>
        <w:tabs>
          <w:tab w:val="left" w:pos="284"/>
        </w:tabs>
        <w:spacing w:after="0" w:line="240" w:lineRule="auto"/>
        <w:ind w:left="284" w:hanging="284"/>
        <w:jc w:val="both"/>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Państwowy Powiatowy Inspektor Sanitarny w Śremie (e-doręczenie)</w:t>
      </w:r>
    </w:p>
    <w:p w14:paraId="71D62D05" w14:textId="77777777" w:rsidR="00EE7D4D" w:rsidRPr="00EE7D4D" w:rsidRDefault="00EE7D4D">
      <w:pPr>
        <w:numPr>
          <w:ilvl w:val="0"/>
          <w:numId w:val="3"/>
        </w:numPr>
        <w:tabs>
          <w:tab w:val="left" w:pos="284"/>
        </w:tabs>
        <w:spacing w:after="0" w:line="240" w:lineRule="auto"/>
        <w:ind w:left="284" w:hanging="284"/>
        <w:jc w:val="both"/>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Dyrektor Regionalnego Zarządu Gospodarki Wodnej Państwowe Gospodarstwo Wodne Wody Polskie w Poznaniu (e-doręczenie)</w:t>
      </w:r>
    </w:p>
    <w:p w14:paraId="408A0F21" w14:textId="77777777" w:rsidR="00EE7D4D" w:rsidRPr="00EE7D4D" w:rsidRDefault="00EE7D4D" w:rsidP="00EE7D4D">
      <w:pPr>
        <w:spacing w:after="120" w:line="240" w:lineRule="auto"/>
        <w:rPr>
          <w:rFonts w:ascii="Calibri" w:eastAsia="Times New Roman" w:hAnsi="Calibri" w:cs="Calibri"/>
          <w:sz w:val="28"/>
          <w:szCs w:val="28"/>
          <w:lang w:eastAsia="pl-PL"/>
        </w:rPr>
      </w:pPr>
    </w:p>
    <w:p w14:paraId="0B7337A3" w14:textId="77777777" w:rsidR="00EE7D4D" w:rsidRPr="00EE7D4D" w:rsidRDefault="00EE7D4D" w:rsidP="00EE7D4D">
      <w:pPr>
        <w:spacing w:after="0" w:line="240" w:lineRule="auto"/>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 xml:space="preserve">Uiszczono opłatę skarbową w kwocie 222,00 zł </w:t>
      </w:r>
    </w:p>
    <w:p w14:paraId="5E2A291A" w14:textId="77777777" w:rsidR="00EE7D4D" w:rsidRPr="00EE7D4D" w:rsidRDefault="00EE7D4D" w:rsidP="00EE7D4D">
      <w:pPr>
        <w:tabs>
          <w:tab w:val="left" w:pos="990"/>
        </w:tabs>
        <w:spacing w:after="0" w:line="240" w:lineRule="auto"/>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Data wpłat: 26.01.2023 r. i 05.04.2024 r.</w:t>
      </w:r>
    </w:p>
    <w:p w14:paraId="1277AFD4" w14:textId="77777777" w:rsidR="00EE7D4D" w:rsidRPr="00EE7D4D" w:rsidRDefault="00EE7D4D" w:rsidP="00EE7D4D">
      <w:pPr>
        <w:spacing w:after="0" w:line="240" w:lineRule="auto"/>
        <w:rPr>
          <w:rFonts w:ascii="Calibri" w:eastAsia="Times New Roman" w:hAnsi="Calibri" w:cs="Calibri"/>
          <w:sz w:val="28"/>
          <w:szCs w:val="28"/>
          <w:lang w:eastAsia="pl-PL"/>
        </w:rPr>
      </w:pPr>
      <w:r w:rsidRPr="00EE7D4D">
        <w:rPr>
          <w:rFonts w:ascii="Calibri" w:eastAsia="Times New Roman" w:hAnsi="Calibri" w:cs="Calibri"/>
          <w:sz w:val="28"/>
          <w:szCs w:val="28"/>
          <w:lang w:eastAsia="pl-PL"/>
        </w:rPr>
        <w:t>Nr rachunku bankowego: 57 9084 0003 2102 0013 0521 0013</w:t>
      </w:r>
    </w:p>
    <w:p w14:paraId="14A10247" w14:textId="77777777" w:rsidR="00EE7D4D" w:rsidRPr="00EE7D4D" w:rsidRDefault="00EE7D4D" w:rsidP="00EE7D4D">
      <w:pPr>
        <w:spacing w:after="120" w:line="240" w:lineRule="auto"/>
        <w:rPr>
          <w:rFonts w:ascii="Calibri" w:eastAsia="Calibri" w:hAnsi="Calibri" w:cs="Times New Roman"/>
          <w:kern w:val="2"/>
          <w:sz w:val="28"/>
          <w14:ligatures w14:val="standardContextual"/>
        </w:rPr>
      </w:pPr>
    </w:p>
    <w:p w14:paraId="2A729C16" w14:textId="57EBD19E" w:rsidR="00CE7EA8" w:rsidRDefault="00CE7EA8">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tbl>
      <w:tblPr>
        <w:tblW w:w="0" w:type="auto"/>
        <w:tblLook w:val="04A0" w:firstRow="1" w:lastRow="0" w:firstColumn="1" w:lastColumn="0" w:noHBand="0" w:noVBand="1"/>
      </w:tblPr>
      <w:tblGrid>
        <w:gridCol w:w="4077"/>
        <w:gridCol w:w="4850"/>
      </w:tblGrid>
      <w:tr w:rsidR="00CE7EA8" w:rsidRPr="00CE7EA8" w14:paraId="34118E57" w14:textId="77777777" w:rsidTr="0017212F">
        <w:tc>
          <w:tcPr>
            <w:tcW w:w="4077" w:type="dxa"/>
          </w:tcPr>
          <w:p w14:paraId="3AB452E2" w14:textId="77777777" w:rsidR="00CE7EA8" w:rsidRPr="00CE7EA8" w:rsidRDefault="00CE7EA8" w:rsidP="00CE7EA8">
            <w:pPr>
              <w:tabs>
                <w:tab w:val="left" w:pos="3156"/>
              </w:tabs>
              <w:spacing w:after="0" w:line="240" w:lineRule="auto"/>
              <w:ind w:right="639"/>
              <w:jc w:val="center"/>
              <w:rPr>
                <w:rFonts w:ascii="Calibri" w:eastAsia="Times New Roman" w:hAnsi="Calibri" w:cs="Calibri"/>
                <w:bCs/>
                <w:sz w:val="28"/>
                <w:szCs w:val="28"/>
                <w:lang w:eastAsia="pl-PL"/>
              </w:rPr>
            </w:pPr>
            <w:r w:rsidRPr="00CE7EA8">
              <w:rPr>
                <w:rFonts w:ascii="Calibri" w:eastAsia="Times New Roman" w:hAnsi="Calibri" w:cs="Calibri"/>
                <w:bCs/>
                <w:sz w:val="28"/>
                <w:szCs w:val="28"/>
                <w:lang w:eastAsia="pl-PL"/>
              </w:rPr>
              <w:lastRenderedPageBreak/>
              <w:t>Burmistrz Śremu</w:t>
            </w:r>
          </w:p>
          <w:p w14:paraId="32DC8AA2" w14:textId="77777777" w:rsidR="00CE7EA8" w:rsidRPr="00CE7EA8" w:rsidRDefault="00CE7EA8" w:rsidP="00CE7EA8">
            <w:pPr>
              <w:tabs>
                <w:tab w:val="left" w:pos="3156"/>
              </w:tabs>
              <w:spacing w:after="0" w:line="240" w:lineRule="auto"/>
              <w:ind w:right="639"/>
              <w:jc w:val="center"/>
              <w:rPr>
                <w:rFonts w:ascii="Calibri" w:eastAsia="Times New Roman" w:hAnsi="Calibri" w:cs="Calibri"/>
                <w:bCs/>
                <w:sz w:val="28"/>
                <w:szCs w:val="28"/>
                <w:lang w:eastAsia="pl-PL"/>
              </w:rPr>
            </w:pPr>
            <w:r w:rsidRPr="00CE7EA8">
              <w:rPr>
                <w:rFonts w:ascii="Calibri" w:eastAsia="Times New Roman" w:hAnsi="Calibri" w:cs="Calibri"/>
                <w:bCs/>
                <w:sz w:val="28"/>
                <w:szCs w:val="28"/>
                <w:lang w:eastAsia="pl-PL"/>
              </w:rPr>
              <w:t>ul. Plac 20 Października 1</w:t>
            </w:r>
          </w:p>
          <w:p w14:paraId="51BF3D38" w14:textId="77777777" w:rsidR="00CE7EA8" w:rsidRPr="00CE7EA8" w:rsidRDefault="00CE7EA8" w:rsidP="00CE7EA8">
            <w:pPr>
              <w:tabs>
                <w:tab w:val="left" w:pos="3156"/>
              </w:tabs>
              <w:spacing w:after="0" w:line="240" w:lineRule="auto"/>
              <w:ind w:right="639"/>
              <w:jc w:val="center"/>
              <w:rPr>
                <w:rFonts w:ascii="Calibri" w:eastAsia="Times New Roman" w:hAnsi="Calibri" w:cs="Calibri"/>
                <w:bCs/>
                <w:sz w:val="28"/>
                <w:szCs w:val="28"/>
                <w:lang w:eastAsia="pl-PL"/>
              </w:rPr>
            </w:pPr>
            <w:r w:rsidRPr="00CE7EA8">
              <w:rPr>
                <w:rFonts w:ascii="Calibri" w:eastAsia="Times New Roman" w:hAnsi="Calibri" w:cs="Calibri"/>
                <w:bCs/>
                <w:sz w:val="28"/>
                <w:szCs w:val="28"/>
                <w:lang w:eastAsia="pl-PL"/>
              </w:rPr>
              <w:t>63-100 Śrem</w:t>
            </w:r>
          </w:p>
        </w:tc>
        <w:tc>
          <w:tcPr>
            <w:tcW w:w="4850" w:type="dxa"/>
          </w:tcPr>
          <w:p w14:paraId="309C7B6A" w14:textId="77777777" w:rsidR="00CE7EA8" w:rsidRPr="00CE7EA8" w:rsidRDefault="00CE7EA8" w:rsidP="00CE7EA8">
            <w:pPr>
              <w:spacing w:after="0" w:line="240" w:lineRule="auto"/>
              <w:jc w:val="both"/>
              <w:rPr>
                <w:rFonts w:ascii="Calibri" w:eastAsia="Times New Roman" w:hAnsi="Calibri" w:cs="Calibri"/>
                <w:bCs/>
                <w:sz w:val="28"/>
                <w:szCs w:val="28"/>
                <w:lang w:eastAsia="pl-PL"/>
              </w:rPr>
            </w:pPr>
            <w:r w:rsidRPr="00CE7EA8">
              <w:rPr>
                <w:rFonts w:ascii="Calibri" w:eastAsia="Times New Roman" w:hAnsi="Calibri" w:cs="Calibri"/>
                <w:bCs/>
                <w:sz w:val="28"/>
                <w:szCs w:val="28"/>
                <w:lang w:eastAsia="pl-PL"/>
              </w:rPr>
              <w:t>Załącznik nr 1</w:t>
            </w:r>
          </w:p>
          <w:p w14:paraId="7E3764D3" w14:textId="77777777" w:rsidR="00CE7EA8" w:rsidRPr="00CE7EA8" w:rsidRDefault="00CE7EA8" w:rsidP="00CE7EA8">
            <w:pPr>
              <w:spacing w:after="0" w:line="240" w:lineRule="auto"/>
              <w:jc w:val="both"/>
              <w:rPr>
                <w:rFonts w:ascii="Calibri" w:eastAsia="Times New Roman" w:hAnsi="Calibri" w:cs="Calibri"/>
                <w:bCs/>
                <w:sz w:val="28"/>
                <w:szCs w:val="28"/>
                <w:lang w:eastAsia="pl-PL"/>
              </w:rPr>
            </w:pPr>
            <w:r w:rsidRPr="00CE7EA8">
              <w:rPr>
                <w:rFonts w:ascii="Calibri" w:eastAsia="Times New Roman" w:hAnsi="Calibri" w:cs="Calibri"/>
                <w:bCs/>
                <w:sz w:val="28"/>
                <w:szCs w:val="28"/>
                <w:lang w:eastAsia="pl-PL"/>
              </w:rPr>
              <w:t>do decyzji znak PPSOŚ.6220.2.2023.BM</w:t>
            </w:r>
          </w:p>
          <w:p w14:paraId="2E23F242" w14:textId="77777777" w:rsidR="00CE7EA8" w:rsidRPr="00CE7EA8" w:rsidRDefault="00CE7EA8" w:rsidP="00CE7EA8">
            <w:pPr>
              <w:spacing w:after="0" w:line="240" w:lineRule="auto"/>
              <w:jc w:val="both"/>
              <w:rPr>
                <w:rFonts w:ascii="Calibri" w:eastAsia="Times New Roman" w:hAnsi="Calibri" w:cs="Calibri"/>
                <w:bCs/>
                <w:sz w:val="28"/>
                <w:szCs w:val="28"/>
                <w:lang w:eastAsia="pl-PL"/>
              </w:rPr>
            </w:pPr>
            <w:r w:rsidRPr="00CE7EA8">
              <w:rPr>
                <w:rFonts w:ascii="Calibri" w:eastAsia="Times New Roman" w:hAnsi="Calibri" w:cs="Calibri"/>
                <w:bCs/>
                <w:sz w:val="28"/>
                <w:szCs w:val="28"/>
                <w:lang w:eastAsia="pl-PL"/>
              </w:rPr>
              <w:t>z 30 stycznia 2026 r.</w:t>
            </w:r>
          </w:p>
        </w:tc>
      </w:tr>
    </w:tbl>
    <w:p w14:paraId="208E7A92" w14:textId="77777777" w:rsidR="00CE7EA8" w:rsidRPr="00CE7EA8" w:rsidRDefault="00CE7EA8" w:rsidP="00CE7EA8">
      <w:pPr>
        <w:spacing w:before="120" w:after="120" w:line="240" w:lineRule="auto"/>
        <w:rPr>
          <w:rFonts w:ascii="Calibri" w:eastAsia="Calibri" w:hAnsi="Calibri" w:cs="Calibri"/>
          <w:sz w:val="28"/>
          <w:szCs w:val="28"/>
        </w:rPr>
      </w:pPr>
      <w:r w:rsidRPr="00CE7EA8">
        <w:rPr>
          <w:rFonts w:ascii="Calibri" w:eastAsia="Times New Roman" w:hAnsi="Calibri" w:cs="Calibri"/>
          <w:sz w:val="28"/>
          <w:szCs w:val="28"/>
          <w:lang w:eastAsia="pl-PL"/>
        </w:rPr>
        <w:t>Charakterystyka przedsięwzięcia</w:t>
      </w:r>
      <w:r w:rsidRPr="00CE7EA8">
        <w:rPr>
          <w:rFonts w:ascii="Calibri" w:eastAsia="Times New Roman" w:hAnsi="Calibri" w:cs="Calibri"/>
          <w:bCs/>
          <w:sz w:val="28"/>
          <w:szCs w:val="28"/>
          <w:lang w:eastAsia="pl-PL"/>
        </w:rPr>
        <w:t>:</w:t>
      </w:r>
      <w:r w:rsidRPr="00CE7EA8">
        <w:rPr>
          <w:rFonts w:ascii="Calibri" w:eastAsia="Times New Roman" w:hAnsi="Calibri" w:cs="Calibri"/>
          <w:b/>
          <w:sz w:val="28"/>
          <w:szCs w:val="28"/>
          <w:lang w:eastAsia="pl-PL"/>
        </w:rPr>
        <w:t xml:space="preserve"> </w:t>
      </w:r>
      <w:r w:rsidRPr="00CE7EA8">
        <w:rPr>
          <w:rFonts w:ascii="Calibri" w:eastAsia="Calibri" w:hAnsi="Calibri" w:cs="Calibri"/>
          <w:sz w:val="28"/>
          <w:szCs w:val="28"/>
        </w:rPr>
        <w:t>rozbudowa obory nr 1 dla bydła mlecznego o 71 DJP, do maksymalnej obsady 126,75 DJP, na działce o numerze ewidencyjnym 265, obręb Dalewo.</w:t>
      </w:r>
    </w:p>
    <w:p w14:paraId="1500FA26" w14:textId="77777777" w:rsidR="00CE7EA8" w:rsidRPr="00CE7EA8" w:rsidRDefault="00CE7EA8" w:rsidP="00CE7EA8">
      <w:pPr>
        <w:spacing w:after="120" w:line="240" w:lineRule="auto"/>
        <w:ind w:firstLine="708"/>
        <w:contextualSpacing/>
        <w:jc w:val="both"/>
        <w:rPr>
          <w:rFonts w:ascii="Calibri" w:eastAsia="Times New Roman" w:hAnsi="Calibri" w:cs="Calibri"/>
          <w:sz w:val="28"/>
          <w:szCs w:val="28"/>
          <w:shd w:val="clear" w:color="auto" w:fill="FFFFFF"/>
          <w:lang w:eastAsia="pl-PL"/>
        </w:rPr>
      </w:pPr>
    </w:p>
    <w:p w14:paraId="618945BD" w14:textId="77777777" w:rsidR="00CE7EA8" w:rsidRPr="00CE7EA8" w:rsidRDefault="00CE7EA8" w:rsidP="00CE7EA8">
      <w:pPr>
        <w:spacing w:after="120" w:line="240" w:lineRule="auto"/>
        <w:ind w:firstLine="708"/>
        <w:rPr>
          <w:rFonts w:ascii="Calibri" w:eastAsia="Calibri" w:hAnsi="Calibri" w:cs="Calibri"/>
          <w:kern w:val="2"/>
          <w:sz w:val="28"/>
          <w14:ligatures w14:val="standardContextual"/>
        </w:rPr>
      </w:pPr>
      <w:r w:rsidRPr="00CE7EA8">
        <w:rPr>
          <w:rFonts w:ascii="Calibri" w:eastAsia="Calibri" w:hAnsi="Calibri" w:cs="Times New Roman"/>
          <w:kern w:val="2"/>
          <w:sz w:val="28"/>
          <w14:ligatures w14:val="standardContextual"/>
        </w:rPr>
        <w:t xml:space="preserve">Przedsięwzięcie dotyczy zrealizowanego przedsięwzięcia polegającego na rozbudowie obory nr 1 dla bydła mlecznego o 71 DJP, na działce o numerze ewidencyjnym 265, obręb Dalewo. Obecnie na terenie gospodarstwa rolnego znajdują się dwie obory, w których utrzymywane jest bydło mleczne o łącznej obsadzie 134,45 DJP, w systemie chowu na głębokiej </w:t>
      </w:r>
      <w:r w:rsidRPr="00CE7EA8">
        <w:rPr>
          <w:rFonts w:ascii="Calibri" w:eastAsia="Calibri" w:hAnsi="Calibri" w:cs="Calibri"/>
          <w:kern w:val="2"/>
          <w:sz w:val="28"/>
          <w14:ligatures w14:val="standardContextual"/>
        </w:rPr>
        <w:t>i płytkiej ściółce, luzem i na uwięzi.</w:t>
      </w:r>
    </w:p>
    <w:p w14:paraId="6A455DDE" w14:textId="77777777" w:rsidR="00CE7EA8" w:rsidRPr="00CE7EA8" w:rsidRDefault="00CE7EA8" w:rsidP="00CE7EA8">
      <w:pPr>
        <w:spacing w:after="120" w:line="240" w:lineRule="auto"/>
        <w:ind w:firstLine="708"/>
        <w:rPr>
          <w:rFonts w:ascii="Calibri" w:eastAsia="Times New Roman" w:hAnsi="Calibri" w:cs="Calibri"/>
          <w:sz w:val="28"/>
          <w:szCs w:val="28"/>
          <w:lang w:eastAsia="pl-PL"/>
        </w:rPr>
      </w:pPr>
      <w:r w:rsidRPr="00CE7EA8">
        <w:rPr>
          <w:rFonts w:ascii="Calibri" w:eastAsia="Times New Roman" w:hAnsi="Calibri" w:cs="Calibri"/>
          <w:sz w:val="28"/>
          <w:szCs w:val="28"/>
          <w:lang w:eastAsia="pl-PL"/>
        </w:rPr>
        <w:t>Powierzchnia zabudowy obory nr 1, przed rozbudową, wynosiła 588,75 m</w:t>
      </w:r>
      <w:r w:rsidRPr="00CE7EA8">
        <w:rPr>
          <w:rFonts w:ascii="Calibri" w:eastAsia="Times New Roman" w:hAnsi="Calibri" w:cs="Calibri"/>
          <w:sz w:val="28"/>
          <w:szCs w:val="28"/>
          <w:vertAlign w:val="superscript"/>
          <w:lang w:eastAsia="pl-PL"/>
        </w:rPr>
        <w:t>2</w:t>
      </w:r>
      <w:r w:rsidRPr="00CE7EA8">
        <w:rPr>
          <w:rFonts w:ascii="Calibri" w:eastAsia="Times New Roman" w:hAnsi="Calibri" w:cs="Calibri"/>
          <w:sz w:val="28"/>
          <w:szCs w:val="28"/>
          <w:lang w:eastAsia="pl-PL"/>
        </w:rPr>
        <w:t>. W wyniku rozbudowy zwiększyła się o 440,1 m</w:t>
      </w:r>
      <w:r w:rsidRPr="00CE7EA8">
        <w:rPr>
          <w:rFonts w:ascii="Calibri" w:eastAsia="Times New Roman" w:hAnsi="Calibri" w:cs="Calibri"/>
          <w:sz w:val="28"/>
          <w:szCs w:val="28"/>
          <w:vertAlign w:val="superscript"/>
          <w:lang w:eastAsia="pl-PL"/>
        </w:rPr>
        <w:t>2</w:t>
      </w:r>
      <w:r w:rsidRPr="00CE7EA8">
        <w:rPr>
          <w:rFonts w:ascii="Calibri" w:eastAsia="Times New Roman" w:hAnsi="Calibri" w:cs="Calibri"/>
          <w:sz w:val="28"/>
          <w:szCs w:val="28"/>
          <w:lang w:eastAsia="pl-PL"/>
        </w:rPr>
        <w:t xml:space="preserve"> i obecnie wynosi 1 028,85 m</w:t>
      </w:r>
      <w:r w:rsidRPr="00CE7EA8">
        <w:rPr>
          <w:rFonts w:ascii="Calibri" w:eastAsia="Times New Roman" w:hAnsi="Calibri" w:cs="Calibri"/>
          <w:sz w:val="28"/>
          <w:szCs w:val="28"/>
          <w:vertAlign w:val="superscript"/>
          <w:lang w:eastAsia="pl-PL"/>
        </w:rPr>
        <w:t>2</w:t>
      </w:r>
      <w:r w:rsidRPr="00CE7EA8">
        <w:rPr>
          <w:rFonts w:ascii="Calibri" w:eastAsia="Times New Roman" w:hAnsi="Calibri" w:cs="Calibri"/>
          <w:sz w:val="28"/>
          <w:szCs w:val="28"/>
          <w:lang w:eastAsia="pl-PL"/>
        </w:rPr>
        <w:t xml:space="preserve">. </w:t>
      </w:r>
    </w:p>
    <w:p w14:paraId="022EF14F" w14:textId="77777777" w:rsidR="00CE7EA8" w:rsidRPr="00CE7EA8" w:rsidRDefault="00CE7EA8" w:rsidP="00CE7EA8">
      <w:pPr>
        <w:spacing w:after="120" w:line="240" w:lineRule="auto"/>
        <w:ind w:firstLine="708"/>
        <w:rPr>
          <w:rFonts w:ascii="Calibri" w:eastAsia="Calibri" w:hAnsi="Calibri" w:cs="Times New Roman"/>
          <w:kern w:val="2"/>
          <w:sz w:val="28"/>
          <w14:ligatures w14:val="standardContextual"/>
        </w:rPr>
      </w:pPr>
      <w:r w:rsidRPr="00CE7EA8">
        <w:rPr>
          <w:rFonts w:ascii="Calibri" w:eastAsia="Calibri" w:hAnsi="Calibri" w:cs="Times New Roman"/>
          <w:kern w:val="2"/>
          <w:sz w:val="28"/>
          <w14:ligatures w14:val="standardContextual"/>
        </w:rPr>
        <w:t xml:space="preserve">Obora nr 1 składa się z części hodowlanej, kojca porodowego, stołu paszowego, korytarzy komunikacyjnych, hali udojowej z pomieszczeniem na zbiornik na mleko oraz zapleczem socjalnym. </w:t>
      </w:r>
    </w:p>
    <w:p w14:paraId="5DEC0724" w14:textId="77777777" w:rsidR="00CE7EA8" w:rsidRPr="00CE7EA8" w:rsidRDefault="00CE7EA8" w:rsidP="00CE7EA8">
      <w:pPr>
        <w:spacing w:after="120" w:line="240" w:lineRule="auto"/>
        <w:ind w:firstLine="708"/>
        <w:rPr>
          <w:rFonts w:ascii="Calibri" w:eastAsia="Calibri" w:hAnsi="Calibri" w:cs="Times New Roman"/>
          <w:kern w:val="2"/>
          <w:sz w:val="28"/>
          <w14:ligatures w14:val="standardContextual"/>
        </w:rPr>
      </w:pPr>
      <w:r w:rsidRPr="00CE7EA8">
        <w:rPr>
          <w:rFonts w:ascii="Calibri" w:eastAsia="Calibri" w:hAnsi="Calibri" w:cs="Times New Roman"/>
          <w:kern w:val="2"/>
          <w:sz w:val="28"/>
          <w14:ligatures w14:val="standardContextual"/>
        </w:rPr>
        <w:t>W oborze nr 1, w części rozbudowanej, utrzymywane są zwierzęta na głębokiej ściółce:</w:t>
      </w:r>
    </w:p>
    <w:p w14:paraId="42DAC6B3" w14:textId="77777777" w:rsidR="00CE7EA8" w:rsidRPr="00CE7EA8" w:rsidRDefault="00CE7EA8">
      <w:pPr>
        <w:numPr>
          <w:ilvl w:val="0"/>
          <w:numId w:val="11"/>
        </w:numPr>
        <w:spacing w:after="120" w:line="240" w:lineRule="auto"/>
        <w:ind w:left="284" w:hanging="284"/>
        <w:contextualSpacing/>
        <w:rPr>
          <w:rFonts w:ascii="Calibri" w:eastAsia="Calibri" w:hAnsi="Calibri" w:cs="Times New Roman"/>
          <w:kern w:val="2"/>
          <w:sz w:val="28"/>
          <w14:ligatures w14:val="standardContextual"/>
        </w:rPr>
      </w:pPr>
      <w:r w:rsidRPr="00CE7EA8">
        <w:rPr>
          <w:rFonts w:ascii="Calibri" w:eastAsia="Calibri" w:hAnsi="Calibri" w:cs="Times New Roman"/>
          <w:kern w:val="2"/>
          <w:sz w:val="28"/>
          <w14:ligatures w14:val="standardContextual"/>
        </w:rPr>
        <w:t>w pięciu kojcach o powierzchni nie większej niż 51,33 m</w:t>
      </w:r>
      <w:r w:rsidRPr="00CE7EA8">
        <w:rPr>
          <w:rFonts w:ascii="Calibri" w:eastAsia="Calibri" w:hAnsi="Calibri" w:cs="Times New Roman"/>
          <w:kern w:val="2"/>
          <w:sz w:val="28"/>
          <w:vertAlign w:val="superscript"/>
          <w14:ligatures w14:val="standardContextual"/>
        </w:rPr>
        <w:t>2</w:t>
      </w:r>
      <w:r w:rsidRPr="00CE7EA8">
        <w:rPr>
          <w:rFonts w:ascii="Calibri" w:eastAsia="Calibri" w:hAnsi="Calibri" w:cs="Times New Roman"/>
          <w:kern w:val="2"/>
          <w:sz w:val="28"/>
          <w14:ligatures w14:val="standardContextual"/>
        </w:rPr>
        <w:t xml:space="preserve"> każdy (w każdym kojcu znajduje się 11 krów mlecznych),</w:t>
      </w:r>
    </w:p>
    <w:p w14:paraId="5E058A9B" w14:textId="77777777" w:rsidR="00CE7EA8" w:rsidRPr="00CE7EA8" w:rsidRDefault="00CE7EA8">
      <w:pPr>
        <w:numPr>
          <w:ilvl w:val="0"/>
          <w:numId w:val="11"/>
        </w:numPr>
        <w:spacing w:after="120" w:line="240" w:lineRule="auto"/>
        <w:ind w:left="284" w:hanging="284"/>
        <w:contextualSpacing/>
        <w:rPr>
          <w:rFonts w:ascii="Calibri" w:eastAsia="Calibri" w:hAnsi="Calibri" w:cs="Times New Roman"/>
          <w:kern w:val="2"/>
          <w:sz w:val="28"/>
          <w14:ligatures w14:val="standardContextual"/>
        </w:rPr>
      </w:pPr>
      <w:r w:rsidRPr="00CE7EA8">
        <w:rPr>
          <w:rFonts w:ascii="Calibri" w:eastAsia="Calibri" w:hAnsi="Calibri" w:cs="Times New Roman"/>
          <w:kern w:val="2"/>
          <w:sz w:val="28"/>
          <w14:ligatures w14:val="standardContextual"/>
        </w:rPr>
        <w:t>w dwóch kojcach o powierzchni nie większej niż 22,09 m</w:t>
      </w:r>
      <w:r w:rsidRPr="00CE7EA8">
        <w:rPr>
          <w:rFonts w:ascii="Calibri" w:eastAsia="Calibri" w:hAnsi="Calibri" w:cs="Times New Roman"/>
          <w:kern w:val="2"/>
          <w:sz w:val="28"/>
          <w:vertAlign w:val="superscript"/>
          <w14:ligatures w14:val="standardContextual"/>
        </w:rPr>
        <w:t>2</w:t>
      </w:r>
      <w:r w:rsidRPr="00CE7EA8">
        <w:rPr>
          <w:rFonts w:ascii="Calibri" w:eastAsia="Calibri" w:hAnsi="Calibri" w:cs="Times New Roman"/>
          <w:kern w:val="2"/>
          <w:sz w:val="28"/>
          <w14:ligatures w14:val="standardContextual"/>
        </w:rPr>
        <w:t xml:space="preserve"> każdy (w każdym kojcu znajduje się 10 jałówek powyżej roku życia). </w:t>
      </w:r>
    </w:p>
    <w:p w14:paraId="15A34463" w14:textId="77777777" w:rsidR="00CE7EA8" w:rsidRPr="00CE7EA8" w:rsidRDefault="00CE7EA8" w:rsidP="00CE7EA8">
      <w:pPr>
        <w:spacing w:after="120" w:line="240" w:lineRule="auto"/>
        <w:ind w:firstLine="708"/>
        <w:rPr>
          <w:rFonts w:ascii="Calibri" w:eastAsia="Calibri" w:hAnsi="Calibri" w:cs="Times New Roman"/>
          <w:kern w:val="2"/>
          <w:sz w:val="28"/>
          <w14:ligatures w14:val="standardContextual"/>
        </w:rPr>
      </w:pPr>
      <w:r w:rsidRPr="00CE7EA8">
        <w:rPr>
          <w:rFonts w:ascii="Calibri" w:eastAsia="Calibri" w:hAnsi="Calibri" w:cs="Times New Roman"/>
          <w:kern w:val="2"/>
          <w:sz w:val="28"/>
          <w14:ligatures w14:val="standardContextual"/>
        </w:rPr>
        <w:t xml:space="preserve">W pozostałej części obory nr 1 znajduje się: </w:t>
      </w:r>
    </w:p>
    <w:p w14:paraId="338348E8" w14:textId="77777777" w:rsidR="00CE7EA8" w:rsidRPr="00CE7EA8" w:rsidRDefault="00CE7EA8">
      <w:pPr>
        <w:numPr>
          <w:ilvl w:val="0"/>
          <w:numId w:val="12"/>
        </w:numPr>
        <w:spacing w:after="120" w:line="240" w:lineRule="auto"/>
        <w:ind w:left="284" w:hanging="284"/>
        <w:contextualSpacing/>
        <w:rPr>
          <w:rFonts w:ascii="Calibri" w:eastAsia="Calibri" w:hAnsi="Calibri" w:cs="Times New Roman"/>
          <w:kern w:val="2"/>
          <w:sz w:val="28"/>
          <w14:ligatures w14:val="standardContextual"/>
        </w:rPr>
      </w:pPr>
      <w:r w:rsidRPr="00CE7EA8">
        <w:rPr>
          <w:rFonts w:ascii="Calibri" w:eastAsia="Calibri" w:hAnsi="Calibri" w:cs="Times New Roman"/>
          <w:kern w:val="2"/>
          <w:sz w:val="28"/>
          <w14:ligatures w14:val="standardContextual"/>
        </w:rPr>
        <w:t>26 krów mlecznych utrzymywanych luzem, bez legowisk, na głębokiej ściółce, w dwóch kojcach o powierzchni 59,25 m</w:t>
      </w:r>
      <w:r w:rsidRPr="00CE7EA8">
        <w:rPr>
          <w:rFonts w:ascii="Calibri" w:eastAsia="Calibri" w:hAnsi="Calibri" w:cs="Times New Roman"/>
          <w:kern w:val="2"/>
          <w:sz w:val="28"/>
          <w:vertAlign w:val="superscript"/>
          <w14:ligatures w14:val="standardContextual"/>
        </w:rPr>
        <w:t>2</w:t>
      </w:r>
      <w:r w:rsidRPr="00CE7EA8">
        <w:rPr>
          <w:rFonts w:ascii="Calibri" w:eastAsia="Calibri" w:hAnsi="Calibri" w:cs="Times New Roman"/>
          <w:kern w:val="2"/>
          <w:sz w:val="28"/>
          <w14:ligatures w14:val="standardContextual"/>
        </w:rPr>
        <w:t xml:space="preserve"> każdy (w każdym kojcu znajduje się 13 krów mlecznych),</w:t>
      </w:r>
    </w:p>
    <w:p w14:paraId="4E90B5EF" w14:textId="77777777" w:rsidR="00CE7EA8" w:rsidRPr="00CE7EA8" w:rsidRDefault="00CE7EA8">
      <w:pPr>
        <w:numPr>
          <w:ilvl w:val="0"/>
          <w:numId w:val="12"/>
        </w:numPr>
        <w:spacing w:after="120" w:line="240" w:lineRule="auto"/>
        <w:ind w:left="284" w:hanging="284"/>
        <w:contextualSpacing/>
        <w:rPr>
          <w:rFonts w:ascii="Calibri" w:eastAsia="Calibri" w:hAnsi="Calibri" w:cs="Times New Roman"/>
          <w:kern w:val="2"/>
          <w:sz w:val="28"/>
          <w14:ligatures w14:val="standardContextual"/>
        </w:rPr>
      </w:pPr>
      <w:r w:rsidRPr="00CE7EA8">
        <w:rPr>
          <w:rFonts w:ascii="Calibri" w:eastAsia="Calibri" w:hAnsi="Calibri" w:cs="Times New Roman"/>
          <w:kern w:val="2"/>
          <w:sz w:val="28"/>
          <w14:ligatures w14:val="standardContextual"/>
        </w:rPr>
        <w:t>10 krów mlecznych utrzymywanych na uwięzi, na płytkiej ściółce, w 10 boksach każdy o długości 2,2 m i szerokości 1,4 m,</w:t>
      </w:r>
    </w:p>
    <w:p w14:paraId="20A080DF" w14:textId="77777777" w:rsidR="00CE7EA8" w:rsidRPr="00CE7EA8" w:rsidRDefault="00CE7EA8">
      <w:pPr>
        <w:numPr>
          <w:ilvl w:val="0"/>
          <w:numId w:val="12"/>
        </w:numPr>
        <w:spacing w:after="120" w:line="240" w:lineRule="auto"/>
        <w:ind w:left="284" w:hanging="284"/>
        <w:contextualSpacing/>
        <w:rPr>
          <w:rFonts w:ascii="Calibri" w:eastAsia="Calibri" w:hAnsi="Calibri" w:cs="Times New Roman"/>
          <w:kern w:val="2"/>
          <w:sz w:val="28"/>
          <w14:ligatures w14:val="standardContextual"/>
        </w:rPr>
      </w:pPr>
      <w:r w:rsidRPr="00CE7EA8">
        <w:rPr>
          <w:rFonts w:ascii="Calibri" w:eastAsia="Calibri" w:hAnsi="Calibri" w:cs="Times New Roman"/>
          <w:kern w:val="2"/>
          <w:sz w:val="28"/>
          <w14:ligatures w14:val="standardContextual"/>
        </w:rPr>
        <w:t>10 jałówek cielnych utrzymywanych luzem, bez legowisk, na głębokiej ściółce, w dwóch kojcach o powierzchni 23,03 m</w:t>
      </w:r>
      <w:r w:rsidRPr="00CE7EA8">
        <w:rPr>
          <w:rFonts w:ascii="Calibri" w:eastAsia="Calibri" w:hAnsi="Calibri" w:cs="Times New Roman"/>
          <w:kern w:val="2"/>
          <w:sz w:val="28"/>
          <w:vertAlign w:val="superscript"/>
          <w14:ligatures w14:val="standardContextual"/>
        </w:rPr>
        <w:t>2</w:t>
      </w:r>
      <w:r w:rsidRPr="00CE7EA8">
        <w:rPr>
          <w:rFonts w:ascii="Calibri" w:eastAsia="Calibri" w:hAnsi="Calibri" w:cs="Times New Roman"/>
          <w:kern w:val="2"/>
          <w:sz w:val="28"/>
          <w14:ligatures w14:val="standardContextual"/>
        </w:rPr>
        <w:t xml:space="preserve"> każdy (w każdym boksie znajduje się pięć jałówek cielnych),</w:t>
      </w:r>
    </w:p>
    <w:p w14:paraId="487CA5D5" w14:textId="77777777" w:rsidR="00CE7EA8" w:rsidRPr="00CE7EA8" w:rsidRDefault="00CE7EA8">
      <w:pPr>
        <w:numPr>
          <w:ilvl w:val="0"/>
          <w:numId w:val="12"/>
        </w:numPr>
        <w:spacing w:after="120" w:line="240" w:lineRule="auto"/>
        <w:ind w:left="284" w:hanging="284"/>
        <w:contextualSpacing/>
        <w:rPr>
          <w:rFonts w:ascii="Calibri" w:eastAsia="Calibri" w:hAnsi="Calibri" w:cs="Times New Roman"/>
          <w:kern w:val="2"/>
          <w:sz w:val="28"/>
          <w14:ligatures w14:val="standardContextual"/>
        </w:rPr>
      </w:pPr>
      <w:r w:rsidRPr="00CE7EA8">
        <w:rPr>
          <w:rFonts w:ascii="Calibri" w:eastAsia="Calibri" w:hAnsi="Calibri" w:cs="Times New Roman"/>
          <w:kern w:val="2"/>
          <w:sz w:val="28"/>
          <w14:ligatures w14:val="standardContextual"/>
        </w:rPr>
        <w:t>22 jałówki powyżej szóstego miesiąca życia, utrzymywanych luzem, bez legowisk, w dwóch kojcach o powierzchni 24,205 m</w:t>
      </w:r>
      <w:r w:rsidRPr="00CE7EA8">
        <w:rPr>
          <w:rFonts w:ascii="Calibri" w:eastAsia="Calibri" w:hAnsi="Calibri" w:cs="Times New Roman"/>
          <w:kern w:val="2"/>
          <w:sz w:val="28"/>
          <w:vertAlign w:val="superscript"/>
          <w14:ligatures w14:val="standardContextual"/>
        </w:rPr>
        <w:t>2</w:t>
      </w:r>
      <w:r w:rsidRPr="00CE7EA8">
        <w:rPr>
          <w:rFonts w:ascii="Calibri" w:eastAsia="Calibri" w:hAnsi="Calibri" w:cs="Times New Roman"/>
          <w:kern w:val="2"/>
          <w:sz w:val="28"/>
          <w14:ligatures w14:val="standardContextual"/>
        </w:rPr>
        <w:t xml:space="preserve"> każdy (w każdym kojcu znajduje się 11 jałówek powyżej szóstego miesiąca życia),</w:t>
      </w:r>
    </w:p>
    <w:p w14:paraId="70F2A668" w14:textId="77777777" w:rsidR="00CE7EA8" w:rsidRPr="00CE7EA8" w:rsidRDefault="00CE7EA8">
      <w:pPr>
        <w:numPr>
          <w:ilvl w:val="0"/>
          <w:numId w:val="12"/>
        </w:numPr>
        <w:spacing w:after="120" w:line="240" w:lineRule="auto"/>
        <w:ind w:left="284" w:hanging="284"/>
        <w:contextualSpacing/>
        <w:rPr>
          <w:rFonts w:ascii="Calibri" w:eastAsia="Calibri" w:hAnsi="Calibri" w:cs="Times New Roman"/>
          <w:kern w:val="2"/>
          <w:sz w:val="28"/>
          <w14:ligatures w14:val="standardContextual"/>
        </w:rPr>
      </w:pPr>
      <w:r w:rsidRPr="00CE7EA8">
        <w:rPr>
          <w:rFonts w:ascii="Calibri" w:eastAsia="Calibri" w:hAnsi="Calibri" w:cs="Times New Roman"/>
          <w:kern w:val="2"/>
          <w:sz w:val="28"/>
          <w14:ligatures w14:val="standardContextual"/>
        </w:rPr>
        <w:lastRenderedPageBreak/>
        <w:t>21 cieląt do szóstego miesiąca życia, utrzymywanych na głębokiej ściółce w siedmiu kojcach o powierzchni 5,66 m</w:t>
      </w:r>
      <w:r w:rsidRPr="00CE7EA8">
        <w:rPr>
          <w:rFonts w:ascii="Calibri" w:eastAsia="Calibri" w:hAnsi="Calibri" w:cs="Times New Roman"/>
          <w:kern w:val="2"/>
          <w:sz w:val="28"/>
          <w:vertAlign w:val="superscript"/>
          <w14:ligatures w14:val="standardContextual"/>
        </w:rPr>
        <w:t>2</w:t>
      </w:r>
      <w:r w:rsidRPr="00CE7EA8">
        <w:rPr>
          <w:rFonts w:ascii="Calibri" w:eastAsia="Calibri" w:hAnsi="Calibri" w:cs="Times New Roman"/>
          <w:kern w:val="2"/>
          <w:sz w:val="28"/>
          <w14:ligatures w14:val="standardContextual"/>
        </w:rPr>
        <w:t xml:space="preserve"> każdy (w każdym kojcu znajdują się trzy cielęta). </w:t>
      </w:r>
    </w:p>
    <w:p w14:paraId="27E6CF4E" w14:textId="77777777" w:rsidR="00CE7EA8" w:rsidRPr="00CE7EA8" w:rsidRDefault="00CE7EA8" w:rsidP="00CE7EA8">
      <w:pPr>
        <w:spacing w:after="120" w:line="240" w:lineRule="auto"/>
        <w:ind w:firstLine="708"/>
        <w:rPr>
          <w:rFonts w:ascii="Calibri" w:eastAsia="Calibri" w:hAnsi="Calibri" w:cs="Times New Roman"/>
          <w:kern w:val="2"/>
          <w:sz w:val="28"/>
          <w14:ligatures w14:val="standardContextual"/>
        </w:rPr>
      </w:pPr>
      <w:r w:rsidRPr="00CE7EA8">
        <w:rPr>
          <w:rFonts w:ascii="Calibri" w:eastAsia="Calibri" w:hAnsi="Calibri" w:cs="Times New Roman"/>
          <w:kern w:val="2"/>
          <w:sz w:val="28"/>
          <w14:ligatures w14:val="standardContextual"/>
        </w:rPr>
        <w:t>Łącznie w oborze nr 1 utrzymywanych jest 126,75 DJP bydła.</w:t>
      </w:r>
    </w:p>
    <w:p w14:paraId="5CABAFFC" w14:textId="77777777" w:rsidR="00CE7EA8" w:rsidRPr="00CE7EA8" w:rsidRDefault="00CE7EA8" w:rsidP="00CE7EA8">
      <w:pPr>
        <w:spacing w:after="120" w:line="240" w:lineRule="auto"/>
        <w:ind w:firstLine="708"/>
        <w:rPr>
          <w:rFonts w:ascii="Calibri" w:eastAsia="Calibri" w:hAnsi="Calibri" w:cs="Times New Roman"/>
          <w:kern w:val="2"/>
          <w:sz w:val="28"/>
          <w14:ligatures w14:val="standardContextual"/>
        </w:rPr>
      </w:pPr>
      <w:r w:rsidRPr="00CE7EA8">
        <w:rPr>
          <w:rFonts w:ascii="Calibri" w:eastAsia="Calibri" w:hAnsi="Calibri" w:cs="Times New Roman"/>
          <w:kern w:val="2"/>
          <w:sz w:val="28"/>
          <w14:ligatures w14:val="standardContextual"/>
        </w:rPr>
        <w:t>Na terenie gospodarstwa rolnego znajduje się również obora nr 2 o powierzchni zabudowy 160 m</w:t>
      </w:r>
      <w:r w:rsidRPr="00CE7EA8">
        <w:rPr>
          <w:rFonts w:ascii="Calibri" w:eastAsia="Calibri" w:hAnsi="Calibri" w:cs="Times New Roman"/>
          <w:kern w:val="2"/>
          <w:sz w:val="28"/>
          <w:vertAlign w:val="superscript"/>
          <w14:ligatures w14:val="standardContextual"/>
        </w:rPr>
        <w:t>2</w:t>
      </w:r>
      <w:r w:rsidRPr="00CE7EA8">
        <w:rPr>
          <w:rFonts w:ascii="Calibri" w:eastAsia="Calibri" w:hAnsi="Calibri" w:cs="Times New Roman"/>
          <w:kern w:val="2"/>
          <w:sz w:val="28"/>
          <w14:ligatures w14:val="standardContextual"/>
        </w:rPr>
        <w:t>, w której utrzymywane są:</w:t>
      </w:r>
    </w:p>
    <w:p w14:paraId="418B4FC8" w14:textId="77777777" w:rsidR="00CE7EA8" w:rsidRPr="00CE7EA8" w:rsidRDefault="00CE7EA8">
      <w:pPr>
        <w:numPr>
          <w:ilvl w:val="0"/>
          <w:numId w:val="13"/>
        </w:numPr>
        <w:spacing w:after="120" w:line="240" w:lineRule="auto"/>
        <w:ind w:left="284" w:hanging="284"/>
        <w:contextualSpacing/>
        <w:rPr>
          <w:rFonts w:ascii="Calibri" w:eastAsia="Calibri" w:hAnsi="Calibri" w:cs="Times New Roman"/>
          <w:kern w:val="2"/>
          <w:sz w:val="28"/>
          <w14:ligatures w14:val="standardContextual"/>
        </w:rPr>
      </w:pPr>
      <w:r w:rsidRPr="00CE7EA8">
        <w:rPr>
          <w:rFonts w:ascii="Calibri" w:eastAsia="Calibri" w:hAnsi="Calibri" w:cs="Times New Roman"/>
          <w:kern w:val="2"/>
          <w:sz w:val="28"/>
          <w14:ligatures w14:val="standardContextual"/>
        </w:rPr>
        <w:t>cztery jałówki powyżej roku życia na płytkiej ściółce, na uwięzi, w czterech boksach każdy o długości 2 m i szerokości 1,1 m,</w:t>
      </w:r>
    </w:p>
    <w:p w14:paraId="18808174" w14:textId="77777777" w:rsidR="00CE7EA8" w:rsidRPr="00CE7EA8" w:rsidRDefault="00CE7EA8">
      <w:pPr>
        <w:numPr>
          <w:ilvl w:val="0"/>
          <w:numId w:val="13"/>
        </w:numPr>
        <w:spacing w:after="120" w:line="240" w:lineRule="auto"/>
        <w:ind w:left="284" w:hanging="284"/>
        <w:contextualSpacing/>
        <w:rPr>
          <w:rFonts w:ascii="Calibri" w:eastAsia="Calibri" w:hAnsi="Calibri" w:cs="Times New Roman"/>
          <w:kern w:val="2"/>
          <w:sz w:val="28"/>
          <w14:ligatures w14:val="standardContextual"/>
        </w:rPr>
      </w:pPr>
      <w:r w:rsidRPr="00CE7EA8">
        <w:rPr>
          <w:rFonts w:ascii="Calibri" w:eastAsia="Calibri" w:hAnsi="Calibri" w:cs="Times New Roman"/>
          <w:kern w:val="2"/>
          <w:sz w:val="28"/>
          <w14:ligatures w14:val="standardContextual"/>
        </w:rPr>
        <w:t xml:space="preserve">15 jałówek powyżej szóstego miesiąca życia na głębokiej ściółce, na uwięzi, w 15 boksach każdy o długości 2 m i szerokości 1,1 m. </w:t>
      </w:r>
    </w:p>
    <w:p w14:paraId="14F2F1CC" w14:textId="77777777" w:rsidR="00CE7EA8" w:rsidRPr="00CE7EA8" w:rsidRDefault="00CE7EA8" w:rsidP="00CE7EA8">
      <w:pPr>
        <w:spacing w:after="120" w:line="240" w:lineRule="auto"/>
        <w:ind w:firstLine="708"/>
        <w:rPr>
          <w:rFonts w:ascii="Calibri" w:eastAsia="Calibri" w:hAnsi="Calibri" w:cs="Times New Roman"/>
          <w:kern w:val="2"/>
          <w:sz w:val="28"/>
          <w14:ligatures w14:val="standardContextual"/>
        </w:rPr>
      </w:pPr>
      <w:r w:rsidRPr="00CE7EA8">
        <w:rPr>
          <w:rFonts w:ascii="Calibri" w:eastAsia="Calibri" w:hAnsi="Calibri" w:cs="Times New Roman"/>
          <w:kern w:val="2"/>
          <w:sz w:val="28"/>
          <w14:ligatures w14:val="standardContextual"/>
        </w:rPr>
        <w:t>Łącznie w oborze nr 2 utrzymywane jest 7,7 DJP bydła.</w:t>
      </w:r>
    </w:p>
    <w:p w14:paraId="4732CA7E" w14:textId="77777777" w:rsidR="00CE7EA8" w:rsidRPr="00CE7EA8" w:rsidRDefault="00CE7EA8" w:rsidP="00CE7EA8">
      <w:pPr>
        <w:spacing w:after="120" w:line="240" w:lineRule="auto"/>
        <w:ind w:firstLine="708"/>
        <w:rPr>
          <w:rFonts w:ascii="Calibri" w:eastAsia="Calibri" w:hAnsi="Calibri" w:cs="Times New Roman"/>
          <w:kern w:val="2"/>
          <w:sz w:val="28"/>
          <w14:ligatures w14:val="standardContextual"/>
        </w:rPr>
      </w:pPr>
      <w:r w:rsidRPr="00CE7EA8">
        <w:rPr>
          <w:rFonts w:ascii="Calibri" w:eastAsia="Calibri" w:hAnsi="Calibri" w:cs="Times New Roman"/>
          <w:kern w:val="2"/>
          <w:sz w:val="28"/>
          <w14:ligatures w14:val="standardContextual"/>
        </w:rPr>
        <w:t>Wymiary powierzchni hodowlanej, na której utrzymywane są zwierzęta, spełniają wymagania określone w rozporządzeniu Ministra Rolnictwa i Rozwoju Wsi z 28 czerwca 2010 r. w sprawie minimalnych warunków utrzymywania gatunków zwierząt gospodarskich innych niż te, dla których normy ochrony zostały określone w przepisach Unii Europejskiej (Dz. U. z 2019 r. poz. 1966) oraz rozporządzeniu Ministra Rolnictwa i Rozwoju Wsi z 15 lutego 2010 r. w sprawie wymagań i sposobu postępowania przy utrzymywaniu gatunków zwierząt gospodarskich, dla których normy ochrony zostały określone w przepisach Unii Europejskiej (Dz. U. Nr 56, poz. 344, Nr 171, poz. 1157, z 2011 r. Nr 282, poz. 1652 i z 2024 r. poz. 1919).</w:t>
      </w:r>
    </w:p>
    <w:p w14:paraId="028F2423" w14:textId="77777777" w:rsidR="00CE7EA8" w:rsidRPr="00CE7EA8" w:rsidRDefault="00CE7EA8" w:rsidP="00CE7EA8">
      <w:pPr>
        <w:spacing w:after="120" w:line="240" w:lineRule="auto"/>
        <w:ind w:firstLine="709"/>
        <w:rPr>
          <w:rFonts w:ascii="Calibri" w:eastAsia="Calibri" w:hAnsi="Calibri" w:cs="Times New Roman"/>
          <w:kern w:val="2"/>
          <w:sz w:val="28"/>
          <w14:ligatures w14:val="standardContextual"/>
        </w:rPr>
      </w:pPr>
      <w:r w:rsidRPr="00CE7EA8">
        <w:rPr>
          <w:rFonts w:ascii="Calibri" w:eastAsia="Calibri" w:hAnsi="Calibri" w:cs="Times New Roman"/>
          <w:kern w:val="2"/>
          <w:sz w:val="28"/>
          <w14:ligatures w14:val="standardContextual"/>
        </w:rPr>
        <w:t>Chów zwierząt odbywa się na szczelnym podłożu, na głębokiej i płytkiej ściółce. W gospodarstwie rolnym powstaje obornik oraz gnojówka. Obornik powstający z chowu na głębokiej ściółce, w części obory nr 1, usuwany jest dwa razy w roku i wywożony bezpośrednio na grunty rolne. Obornik powstający z chowu na płytkiej ściółce, w oborach nr 1 i nr 2, magazynowany jest na płycie obornikowej o powierzchni zabudowy 120 m</w:t>
      </w:r>
      <w:r w:rsidRPr="00CE7EA8">
        <w:rPr>
          <w:rFonts w:ascii="Calibri" w:eastAsia="Calibri" w:hAnsi="Calibri" w:cs="Times New Roman"/>
          <w:kern w:val="2"/>
          <w:sz w:val="28"/>
          <w:vertAlign w:val="superscript"/>
          <w14:ligatures w14:val="standardContextual"/>
        </w:rPr>
        <w:t>2</w:t>
      </w:r>
      <w:r w:rsidRPr="00CE7EA8">
        <w:rPr>
          <w:rFonts w:ascii="Calibri" w:eastAsia="Calibri" w:hAnsi="Calibri" w:cs="Times New Roman"/>
          <w:kern w:val="2"/>
          <w:sz w:val="28"/>
          <w14:ligatures w14:val="standardContextual"/>
        </w:rPr>
        <w:t>, a gnojówka w dwóch istniejących zbiornikach bezodpływowych o łącznej pojemności wynoszącej 50 m</w:t>
      </w:r>
      <w:r w:rsidRPr="00CE7EA8">
        <w:rPr>
          <w:rFonts w:ascii="Calibri" w:eastAsia="Calibri" w:hAnsi="Calibri" w:cs="Times New Roman"/>
          <w:kern w:val="2"/>
          <w:sz w:val="28"/>
          <w:vertAlign w:val="superscript"/>
          <w14:ligatures w14:val="standardContextual"/>
        </w:rPr>
        <w:t>3</w:t>
      </w:r>
      <w:r w:rsidRPr="00CE7EA8">
        <w:rPr>
          <w:rFonts w:ascii="Calibri" w:eastAsia="Calibri" w:hAnsi="Calibri" w:cs="Times New Roman"/>
          <w:kern w:val="2"/>
          <w:sz w:val="28"/>
          <w14:ligatures w14:val="standardContextual"/>
        </w:rPr>
        <w:t xml:space="preserve">. Nawozy naturalne zagospodarowywane są na gruntach wnioskodawcy z zapewnieniem dawki nie większej niż 170 kg azotu w czystym składniku na 1 ha użytków rolnych, zgodnie z art. 105 ust. 1 ustawy z dnia 20 lipca 2017 r. -Prawo wodne (Dz. U. z 2025 r. poz. 960 i 1535). Ewentualna nadwyżka nawozów naturalnych może być przekazywana podmiotom zewnętrznym, na przykład do rolniczego zastosowania. </w:t>
      </w:r>
    </w:p>
    <w:p w14:paraId="4869F675" w14:textId="77777777" w:rsidR="00CE7EA8" w:rsidRPr="00CE7EA8" w:rsidRDefault="00CE7EA8" w:rsidP="00CE7EA8">
      <w:pPr>
        <w:spacing w:after="0" w:line="240" w:lineRule="auto"/>
        <w:rPr>
          <w:rFonts w:ascii="Calibri" w:eastAsia="Calibri" w:hAnsi="Calibri" w:cs="Times New Roman"/>
          <w:kern w:val="2"/>
          <w:sz w:val="28"/>
          <w14:ligatures w14:val="standardContextual"/>
        </w:rPr>
      </w:pPr>
      <w:r w:rsidRPr="00CE7EA8">
        <w:rPr>
          <w:rFonts w:ascii="Calibri" w:eastAsia="Calibri" w:hAnsi="Calibri" w:cs="Times New Roman"/>
          <w:kern w:val="2"/>
          <w:sz w:val="28"/>
          <w14:ligatures w14:val="standardContextual"/>
        </w:rPr>
        <w:br w:type="page"/>
      </w:r>
    </w:p>
    <w:p w14:paraId="2420B2A3" w14:textId="77777777" w:rsidR="00CE7EA8" w:rsidRPr="00CE7EA8" w:rsidRDefault="00CE7EA8" w:rsidP="00CE7EA8">
      <w:pPr>
        <w:spacing w:after="120" w:line="240" w:lineRule="auto"/>
        <w:ind w:firstLine="709"/>
        <w:rPr>
          <w:rFonts w:ascii="Calibri" w:eastAsia="Calibri" w:hAnsi="Calibri" w:cs="Times New Roman"/>
          <w:kern w:val="2"/>
          <w:sz w:val="28"/>
          <w14:ligatures w14:val="standardContextual"/>
        </w:rPr>
      </w:pPr>
      <w:r w:rsidRPr="00CE7EA8">
        <w:rPr>
          <w:rFonts w:ascii="Calibri" w:eastAsia="Times New Roman" w:hAnsi="Calibri" w:cs="Calibri"/>
          <w:sz w:val="28"/>
          <w:szCs w:val="28"/>
          <w:lang w:eastAsia="pl-PL"/>
        </w:rPr>
        <w:lastRenderedPageBreak/>
        <w:t>Sposób postępowania z nawozami naturalnymi jest zgodny</w:t>
      </w:r>
      <w:r w:rsidRPr="00CE7EA8">
        <w:rPr>
          <w:rFonts w:ascii="Times New Roman" w:eastAsia="Calibri" w:hAnsi="Times New Roman" w:cs="Times New Roman"/>
          <w:sz w:val="28"/>
        </w:rPr>
        <w:t xml:space="preserve"> </w:t>
      </w:r>
      <w:r w:rsidRPr="00CE7EA8">
        <w:rPr>
          <w:rFonts w:ascii="Calibri" w:eastAsia="Times New Roman" w:hAnsi="Calibri" w:cs="Calibri"/>
          <w:sz w:val="28"/>
          <w:szCs w:val="28"/>
          <w:lang w:eastAsia="pl-PL"/>
        </w:rPr>
        <w:t xml:space="preserve">z przepisami określonymi w „Programie działań mających na celu zmniejszenie zanieczyszczenia wód azotanami pochodzącymi ze źródeł rolniczych oraz zapobieganie dalszemu zanieczyszczeniu” przyjętym rozporządzeniem Rady Ministrów z dnia </w:t>
      </w:r>
      <w:r w:rsidRPr="00CE7EA8">
        <w:rPr>
          <w:rFonts w:ascii="Calibri" w:eastAsia="Calibri" w:hAnsi="Calibri" w:cs="Calibri"/>
          <w:sz w:val="28"/>
        </w:rPr>
        <w:t xml:space="preserve">z dnia 31 stycznia 2023 r. </w:t>
      </w:r>
      <w:r w:rsidRPr="00CE7EA8">
        <w:rPr>
          <w:rFonts w:ascii="Calibri" w:eastAsia="Times New Roman" w:hAnsi="Calibri" w:cs="Calibri"/>
          <w:sz w:val="28"/>
          <w:szCs w:val="28"/>
          <w:lang w:eastAsia="pl-PL"/>
        </w:rPr>
        <w:t>(Dz. U. poz. 244).</w:t>
      </w:r>
    </w:p>
    <w:p w14:paraId="1571D050" w14:textId="77777777" w:rsidR="00CE7EA8" w:rsidRPr="00CE7EA8" w:rsidRDefault="00CE7EA8" w:rsidP="00CE7EA8">
      <w:pPr>
        <w:spacing w:after="120" w:line="240" w:lineRule="auto"/>
        <w:ind w:firstLine="709"/>
        <w:rPr>
          <w:rFonts w:ascii="Calibri" w:eastAsia="Times New Roman" w:hAnsi="Calibri" w:cs="Calibri"/>
          <w:sz w:val="28"/>
          <w:szCs w:val="28"/>
          <w:lang w:eastAsia="pl-PL"/>
        </w:rPr>
      </w:pPr>
      <w:r w:rsidRPr="00CE7EA8">
        <w:rPr>
          <w:rFonts w:ascii="Calibri" w:eastAsia="Times New Roman" w:hAnsi="Calibri" w:cs="Calibri"/>
          <w:sz w:val="28"/>
          <w:szCs w:val="28"/>
          <w:lang w:eastAsia="pl-PL"/>
        </w:rPr>
        <w:t xml:space="preserve">Woda w gospodarstwie rolnym wykorzystywana jest do celów hodowlanych (pojenie zwierząt), bytowych, a także do mycia zbiornika na mleko oraz instalacji udojowej i jej otoczenia. </w:t>
      </w:r>
    </w:p>
    <w:p w14:paraId="4A515046" w14:textId="77777777" w:rsidR="00CE7EA8" w:rsidRPr="00CE7EA8" w:rsidRDefault="00CE7EA8" w:rsidP="00CE7EA8">
      <w:pPr>
        <w:spacing w:after="120" w:line="240" w:lineRule="auto"/>
        <w:ind w:firstLine="709"/>
        <w:rPr>
          <w:rFonts w:ascii="Calibri" w:eastAsia="Times New Roman" w:hAnsi="Calibri" w:cs="Calibri"/>
          <w:sz w:val="28"/>
          <w:szCs w:val="28"/>
          <w:lang w:eastAsia="pl-PL"/>
        </w:rPr>
      </w:pPr>
      <w:r w:rsidRPr="00CE7EA8">
        <w:rPr>
          <w:rFonts w:ascii="Calibri" w:eastAsia="Times New Roman" w:hAnsi="Calibri" w:cs="Calibri"/>
          <w:sz w:val="28"/>
          <w:szCs w:val="28"/>
          <w:lang w:eastAsia="pl-PL"/>
        </w:rPr>
        <w:t xml:space="preserve">Ścieki bytowe z terenu gospodarstwa rolnego odprowadzane są do gminnej sieci kanalizacji sanitarnej. Hala udojowa i urządzenia do udoju myte są po każdym doju, a ścieki z tych czynności odprowadzane są do gminnej sieci kanalizacji sanitarnej. </w:t>
      </w:r>
      <w:r w:rsidRPr="00CE7EA8">
        <w:rPr>
          <w:rFonts w:ascii="Calibri" w:eastAsia="Calibri" w:hAnsi="Calibri" w:cs="Times New Roman"/>
          <w:kern w:val="2"/>
          <w:sz w:val="28"/>
          <w14:ligatures w14:val="standardContextual"/>
        </w:rPr>
        <w:t xml:space="preserve">Czyszczenie budynków inwentarskich odbywa się poprzez mycie wysokociśnieniową myjką, ponadto stosowane jest bielenie ścian wapnem. Dezynfekcja pomieszczeń inwentarskich prowadzona jest poprzez zamgławianie za pomocą biodegradowalnego preparatu, bez generowania ścieków. </w:t>
      </w:r>
    </w:p>
    <w:p w14:paraId="2C8164A6" w14:textId="77777777" w:rsidR="00CE7EA8" w:rsidRPr="00CE7EA8" w:rsidRDefault="00CE7EA8" w:rsidP="00CE7EA8">
      <w:pPr>
        <w:spacing w:after="120" w:line="240" w:lineRule="auto"/>
        <w:ind w:firstLine="708"/>
        <w:rPr>
          <w:rFonts w:ascii="Calibri" w:eastAsia="Calibri" w:hAnsi="Calibri" w:cs="Times New Roman"/>
          <w:kern w:val="2"/>
          <w:sz w:val="28"/>
          <w14:ligatures w14:val="standardContextual"/>
        </w:rPr>
      </w:pPr>
      <w:r w:rsidRPr="00CE7EA8">
        <w:rPr>
          <w:rFonts w:ascii="Calibri" w:eastAsia="Calibri" w:hAnsi="Calibri" w:cs="Times New Roman"/>
          <w:kern w:val="2"/>
          <w:sz w:val="28"/>
          <w14:ligatures w14:val="standardContextual"/>
        </w:rPr>
        <w:t>Wody opadowe lub roztopowe z terenu gospodarstwa rolnego odprowadzane są na tereny biologicznie czynne w granicach przedsięwzięcia.</w:t>
      </w:r>
    </w:p>
    <w:p w14:paraId="7AFEF843" w14:textId="77777777" w:rsidR="00CE7EA8" w:rsidRPr="00CE7EA8" w:rsidRDefault="00CE7EA8" w:rsidP="00CE7EA8">
      <w:pPr>
        <w:spacing w:after="120" w:line="240" w:lineRule="auto"/>
        <w:ind w:firstLine="709"/>
        <w:rPr>
          <w:rFonts w:ascii="Calibri" w:eastAsia="Times New Roman" w:hAnsi="Calibri" w:cs="Calibri"/>
          <w:sz w:val="28"/>
          <w:szCs w:val="28"/>
          <w:lang w:eastAsia="pl-PL"/>
        </w:rPr>
      </w:pPr>
      <w:r w:rsidRPr="00CE7EA8">
        <w:rPr>
          <w:rFonts w:ascii="Calibri" w:eastAsia="Times New Roman" w:hAnsi="Calibri" w:cs="Calibri"/>
          <w:sz w:val="28"/>
          <w:szCs w:val="28"/>
          <w:lang w:eastAsia="pl-PL"/>
        </w:rPr>
        <w:t>Powstające na terenie gospodarstwa rolnego odpady będą magazynowane selektywnie, w wyznaczonych miejscach, a następnie będą przekazywane uprawnionym podmiotom do dalszego zagospodarowania. Sztuki padłe będą gromadzone w szczelnych workach foliowych umieszczonych w kontenerze na upadki, a następnie będą przekazywane podmiotom zewnętrznym zgodnie z przepisami szczegółowymi. W związku z przedsięwzięciem będą powstawać odpady weterynaryjne. Wytwórcą odpadów weterynaryjnych będzie podmiot świadczący usługi weterynaryjne.</w:t>
      </w:r>
    </w:p>
    <w:p w14:paraId="228718E1" w14:textId="77777777" w:rsidR="00CE7EA8" w:rsidRPr="00CE7EA8" w:rsidRDefault="00CE7EA8" w:rsidP="00CE7EA8">
      <w:pPr>
        <w:spacing w:after="120" w:line="240" w:lineRule="auto"/>
        <w:ind w:firstLine="708"/>
        <w:rPr>
          <w:rFonts w:ascii="Calibri" w:eastAsia="Times New Roman" w:hAnsi="Calibri" w:cs="Calibri"/>
          <w:sz w:val="28"/>
          <w:szCs w:val="28"/>
          <w:lang w:eastAsia="pl-PL"/>
        </w:rPr>
      </w:pPr>
      <w:r w:rsidRPr="00CE7EA8">
        <w:rPr>
          <w:rFonts w:ascii="Calibri" w:eastAsia="Times New Roman" w:hAnsi="Calibri" w:cs="Calibri"/>
          <w:sz w:val="28"/>
          <w:szCs w:val="28"/>
          <w:lang w:eastAsia="pl-PL"/>
        </w:rPr>
        <w:t xml:space="preserve">Źródłem zorganizowanej emisji substancji do powietrza będą systemy wentylacji grawitacyjnej w obiektach inwentarskich, którymi wyprowadzane będą substancje pochodzące z utrzymywania bydła mlecznego, w tym substancje odorotwórcze powstające w wyniku rozkładu produktów przemiany materii tych zwierząt. Źródłem emisji niezorganizowanej będzie emisja pochodząca z przechowywania obornika na płycie obornikowej oraz procesu spalania paliw w silnikach pojazdów poruszających się po terenie gospodarstwa rolnego. Gnojówka powstająca w budynkach inwentarskich będzie magazynowana w szczelnych bezodpływowych zbiornikach. Proces odbioru gnojówki do aut asenizacyjnych będzie odbywał się z wykorzystaniem hermetycznego złącza. </w:t>
      </w:r>
    </w:p>
    <w:p w14:paraId="33D23100" w14:textId="77777777" w:rsidR="00CE7EA8" w:rsidRPr="00CE7EA8" w:rsidRDefault="00CE7EA8" w:rsidP="00CE7EA8">
      <w:pPr>
        <w:spacing w:after="120" w:line="240" w:lineRule="auto"/>
        <w:ind w:firstLine="708"/>
        <w:rPr>
          <w:rFonts w:ascii="Calibri" w:eastAsia="Times New Roman" w:hAnsi="Calibri" w:cs="Calibri"/>
          <w:sz w:val="28"/>
          <w:szCs w:val="28"/>
          <w:lang w:eastAsia="pl-PL"/>
        </w:rPr>
      </w:pPr>
      <w:r w:rsidRPr="00CE7EA8">
        <w:rPr>
          <w:rFonts w:ascii="Calibri" w:eastAsia="Times New Roman" w:hAnsi="Calibri" w:cs="Calibri"/>
          <w:sz w:val="28"/>
          <w:szCs w:val="28"/>
          <w:lang w:eastAsia="pl-PL"/>
        </w:rPr>
        <w:lastRenderedPageBreak/>
        <w:t xml:space="preserve">Obornik z pomieszczeń przeznaczonych do utrzymywania zwierząt na głębokiej ściółce będzie usuwany na zewnątrz i wywożony bezpośrednio na grunty użytkowane rolniczo. Zwierzęta w gospodarstwie rolnym żywione są paszami objętościowymi, które przechowywane są w balotach owiniętych szczelną folią kiszonkową zabezpieczającą przed wyciekiem soków kiszonkowych do gruntu i emisją substancji do powietrza. Obiekty inwentarskie nie są i nie będą ogrzewane. Emisje z wymienionych źródeł nie będą powodować przekroczenia wartości odniesienia substancji w powietrzu oraz dopuszczalnych częstości przekroczeń określonych w rozporządzeniu Ministra Środowiska z dnia 26 stycznia 2010 r. w sprawie wartości odniesienia dla niektórych substancji w powietrzu (Dz. U. Nr 16, poz. 87) poza terenem, do którego wnioskodawca posiada tytuł prawny, a także będą dotrzymane standardy jakości powietrza określone w rozporządzeniu Ministra Środowiska z dnia 24 sierpnia 2012 r. w sprawie poziomów niektórych substancji w powietrzu (Dz. U. z 2021 r. poz. 845). </w:t>
      </w:r>
    </w:p>
    <w:p w14:paraId="21AEAEDC" w14:textId="77777777" w:rsidR="00CE7EA8" w:rsidRPr="00CE7EA8" w:rsidRDefault="00CE7EA8" w:rsidP="00CE7EA8">
      <w:pPr>
        <w:spacing w:after="120" w:line="240" w:lineRule="auto"/>
        <w:ind w:firstLine="708"/>
        <w:rPr>
          <w:rFonts w:ascii="Calibri" w:eastAsia="Calibri" w:hAnsi="Calibri" w:cs="Times New Roman"/>
          <w:kern w:val="2"/>
          <w:sz w:val="28"/>
          <w14:ligatures w14:val="standardContextual"/>
        </w:rPr>
      </w:pPr>
      <w:r w:rsidRPr="00CE7EA8">
        <w:rPr>
          <w:rFonts w:ascii="Calibri" w:eastAsia="Calibri" w:hAnsi="Calibri" w:cs="Times New Roman"/>
          <w:kern w:val="2"/>
          <w:sz w:val="28"/>
          <w14:ligatures w14:val="standardContextual"/>
        </w:rPr>
        <w:t xml:space="preserve">Głównymi źródłami hałasu podczas eksploatacji przedsięwzięcia będą obiekty inwentarskie, manewry ładowarki oraz pojazdy poruszające się po terenie gospodarstwa rolnego. Ruch pojazdów ograniczony będzie wyłącznie do pory dnia. W budynkach inwentarskich zastosowana będzie wentylacja grawitacyjna. Ponadto, na terenie gospodarstwa rolnego nie korzysta się z robotów udojowych, a z dojarki rurowej. Przedsięwzięcie nie spowoduje przekroczenia dopuszczalnych poziomów określonych w rozporządzeniu Ministra Środowiska z dnia 14 czerwca 2007 r. w sprawie dopuszczalnych poziomów hałasu w środowisku (Dz. U. z 2014 r. poz. 112) na granicy najbliższych terenów podlegających ochronie akustycznej. </w:t>
      </w:r>
    </w:p>
    <w:p w14:paraId="4576E9F0" w14:textId="77777777" w:rsidR="00CE7EA8" w:rsidRPr="00CE7EA8" w:rsidRDefault="00CE7EA8" w:rsidP="00CE7EA8">
      <w:pPr>
        <w:spacing w:after="120" w:line="240" w:lineRule="auto"/>
        <w:ind w:firstLine="708"/>
        <w:rPr>
          <w:rFonts w:ascii="Calibri" w:eastAsia="Calibri" w:hAnsi="Calibri" w:cs="Times New Roman"/>
          <w:kern w:val="2"/>
          <w:sz w:val="28"/>
          <w14:ligatures w14:val="standardContextual"/>
        </w:rPr>
      </w:pPr>
      <w:r w:rsidRPr="00CE7EA8">
        <w:rPr>
          <w:rFonts w:ascii="Calibri" w:eastAsia="Calibri" w:hAnsi="Calibri" w:cs="Times New Roman"/>
          <w:kern w:val="2"/>
          <w:sz w:val="28"/>
          <w14:ligatures w14:val="standardContextual"/>
        </w:rPr>
        <w:t>Przedmiotowe przedsięwzięcie zlokalizowane jest poza obszarami chronionymi na podstawie ustawy z dnia 16 kwietnia 2004 r. o ochronie przyrody (Dz. U. z 2026 r. poz. 13). Najbliżej położonymi obszarami Natura 2000 są: obszar specjalnej ochrony ptaków Ostoja Rogalińska PLB300017 oraz specjalny obszar ochrony siedlisk Rogalińska Dolina Warty PLH300012, oddalone o około 10,8 km od terenu przedsięwzięcia, w kierunku północno-wschodnim. Obszar przedsięwzięcia zlokalizowany jest poza terenem korytarzy ekologicznych.</w:t>
      </w:r>
    </w:p>
    <w:p w14:paraId="7DF988FB" w14:textId="0EF863CB" w:rsidR="00CE7EA8" w:rsidRPr="00CE7EA8" w:rsidRDefault="00CE7EA8" w:rsidP="00CE7EA8">
      <w:pPr>
        <w:spacing w:after="0" w:line="240" w:lineRule="auto"/>
        <w:ind w:left="2124"/>
        <w:jc w:val="center"/>
        <w:rPr>
          <w:rFonts w:ascii="Calibri" w:eastAsia="Calibri" w:hAnsi="Calibri" w:cs="Calibri"/>
          <w:sz w:val="28"/>
          <w:szCs w:val="28"/>
        </w:rPr>
      </w:pPr>
      <w:r w:rsidRPr="00CE7EA8">
        <w:rPr>
          <w:rFonts w:ascii="Calibri" w:eastAsia="Calibri" w:hAnsi="Calibri" w:cs="Calibri"/>
          <w:sz w:val="28"/>
          <w:szCs w:val="28"/>
        </w:rPr>
        <w:t>z up. BURMISTRZA</w:t>
      </w:r>
    </w:p>
    <w:p w14:paraId="6908FB7E" w14:textId="77777777" w:rsidR="00CE7EA8" w:rsidRPr="00CE7EA8" w:rsidRDefault="00CE7EA8" w:rsidP="00CE7EA8">
      <w:pPr>
        <w:spacing w:after="0" w:line="240" w:lineRule="auto"/>
        <w:ind w:left="2124"/>
        <w:jc w:val="center"/>
        <w:rPr>
          <w:rFonts w:ascii="Calibri" w:eastAsia="Calibri" w:hAnsi="Calibri" w:cs="Calibri"/>
          <w:sz w:val="28"/>
          <w:szCs w:val="28"/>
        </w:rPr>
      </w:pPr>
      <w:r w:rsidRPr="00CE7EA8">
        <w:rPr>
          <w:rFonts w:ascii="Calibri" w:eastAsia="Calibri" w:hAnsi="Calibri" w:cs="Calibri"/>
          <w:sz w:val="28"/>
          <w:szCs w:val="28"/>
        </w:rPr>
        <w:t>Katarzyna Bednarowicz</w:t>
      </w:r>
    </w:p>
    <w:p w14:paraId="18A509C9" w14:textId="77777777" w:rsidR="00CE7EA8" w:rsidRPr="00CE7EA8" w:rsidRDefault="00CE7EA8" w:rsidP="00CE7EA8">
      <w:pPr>
        <w:spacing w:after="0" w:line="240" w:lineRule="auto"/>
        <w:ind w:left="2124"/>
        <w:jc w:val="center"/>
        <w:rPr>
          <w:rFonts w:ascii="Calibri" w:eastAsia="Calibri" w:hAnsi="Calibri" w:cs="Calibri"/>
          <w:sz w:val="28"/>
          <w:szCs w:val="28"/>
        </w:rPr>
      </w:pPr>
      <w:r w:rsidRPr="00CE7EA8">
        <w:rPr>
          <w:rFonts w:ascii="Calibri" w:eastAsia="Calibri" w:hAnsi="Calibri" w:cs="Calibri"/>
          <w:sz w:val="28"/>
          <w:szCs w:val="28"/>
        </w:rPr>
        <w:t>naczelnik Pionu Gospodarowania</w:t>
      </w:r>
    </w:p>
    <w:p w14:paraId="0E7524E9" w14:textId="77777777" w:rsidR="00CE7EA8" w:rsidRPr="00CE7EA8" w:rsidRDefault="00CE7EA8" w:rsidP="00CE7EA8">
      <w:pPr>
        <w:spacing w:after="0" w:line="240" w:lineRule="auto"/>
        <w:ind w:left="2124"/>
        <w:jc w:val="center"/>
        <w:rPr>
          <w:rFonts w:ascii="Calibri" w:eastAsia="Calibri" w:hAnsi="Calibri" w:cs="Calibri"/>
          <w:sz w:val="28"/>
          <w:szCs w:val="28"/>
        </w:rPr>
      </w:pPr>
      <w:r w:rsidRPr="00CE7EA8">
        <w:rPr>
          <w:rFonts w:ascii="Calibri" w:eastAsia="Calibri" w:hAnsi="Calibri" w:cs="Calibri"/>
          <w:sz w:val="28"/>
          <w:szCs w:val="28"/>
        </w:rPr>
        <w:t>Przestrzenią i Środowiskiem</w:t>
      </w:r>
    </w:p>
    <w:p w14:paraId="0CD579B6" w14:textId="77777777" w:rsidR="00B81AFE" w:rsidRPr="00B81AFE" w:rsidRDefault="00B81AFE" w:rsidP="00CE7EA8">
      <w:pPr>
        <w:spacing w:after="0" w:line="240" w:lineRule="auto"/>
        <w:ind w:right="5527"/>
        <w:rPr>
          <w:rFonts w:ascii="Calibri" w:eastAsia="Times New Roman" w:hAnsi="Calibri" w:cs="Calibri"/>
          <w:sz w:val="28"/>
          <w:szCs w:val="28"/>
          <w:lang w:eastAsia="pl-PL"/>
        </w:rPr>
      </w:pPr>
    </w:p>
    <w:sectPr w:rsidR="00B81AFE" w:rsidRPr="00B81AFE" w:rsidSect="004F3296">
      <w:headerReference w:type="even" r:id="rId13"/>
      <w:headerReference w:type="default" r:id="rId14"/>
      <w:footerReference w:type="even" r:id="rId15"/>
      <w:footerReference w:type="default" r:id="rId16"/>
      <w:headerReference w:type="first" r:id="rId17"/>
      <w:footerReference w:type="first" r:id="rId18"/>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5B8CB" w14:textId="77777777" w:rsidR="008A4EA7" w:rsidRDefault="008A4EA7" w:rsidP="00053E5A">
      <w:pPr>
        <w:spacing w:after="0" w:line="240" w:lineRule="auto"/>
      </w:pPr>
      <w:r>
        <w:separator/>
      </w:r>
    </w:p>
  </w:endnote>
  <w:endnote w:type="continuationSeparator" w:id="0">
    <w:p w14:paraId="0373DC78" w14:textId="77777777" w:rsidR="008A4EA7" w:rsidRDefault="008A4EA7"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48775" w14:textId="77777777" w:rsidR="00B95073" w:rsidRDefault="00B9507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521EF403"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B95073">
      <w:rPr>
        <w:sz w:val="28"/>
        <w:szCs w:val="28"/>
      </w:rPr>
      <w:t>52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D5638" w14:textId="77777777" w:rsidR="008A4EA7" w:rsidRDefault="008A4EA7" w:rsidP="00053E5A">
      <w:pPr>
        <w:spacing w:after="0" w:line="240" w:lineRule="auto"/>
      </w:pPr>
      <w:r>
        <w:separator/>
      </w:r>
    </w:p>
  </w:footnote>
  <w:footnote w:type="continuationSeparator" w:id="0">
    <w:p w14:paraId="6F0597E0" w14:textId="77777777" w:rsidR="008A4EA7" w:rsidRDefault="008A4EA7" w:rsidP="00053E5A">
      <w:pPr>
        <w:spacing w:after="0" w:line="240" w:lineRule="auto"/>
      </w:pPr>
      <w:r>
        <w:continuationSeparator/>
      </w:r>
    </w:p>
  </w:footnote>
  <w:footnote w:id="1">
    <w:p w14:paraId="7FE12259" w14:textId="77777777" w:rsidR="00EE7D4D" w:rsidRPr="007D6136" w:rsidRDefault="00EE7D4D" w:rsidP="00EE7D4D">
      <w:pPr>
        <w:pStyle w:val="Tekstprzypisudolnego"/>
        <w:rPr>
          <w:sz w:val="28"/>
          <w:szCs w:val="28"/>
        </w:rPr>
      </w:pPr>
      <w:r w:rsidRPr="007D6136">
        <w:rPr>
          <w:rStyle w:val="Odwoanieprzypisudolnego"/>
          <w:sz w:val="28"/>
          <w:szCs w:val="28"/>
        </w:rPr>
        <w:footnoteRef/>
      </w:r>
      <w:r w:rsidRPr="007D6136">
        <w:rPr>
          <w:sz w:val="28"/>
          <w:szCs w:val="28"/>
        </w:rPr>
        <w:t xml:space="preserve"> Zastosowane oznaczeni</w:t>
      </w:r>
      <w:r>
        <w:rPr>
          <w:sz w:val="28"/>
          <w:szCs w:val="28"/>
        </w:rPr>
        <w:t xml:space="preserve">a i nazwy obiektów </w:t>
      </w:r>
      <w:r w:rsidRPr="007D6136">
        <w:rPr>
          <w:sz w:val="28"/>
          <w:szCs w:val="28"/>
        </w:rPr>
        <w:t>odpowiada</w:t>
      </w:r>
      <w:r>
        <w:rPr>
          <w:sz w:val="28"/>
          <w:szCs w:val="28"/>
        </w:rPr>
        <w:t>ją</w:t>
      </w:r>
      <w:r w:rsidRPr="007D6136">
        <w:rPr>
          <w:sz w:val="28"/>
          <w:szCs w:val="28"/>
        </w:rPr>
        <w:t xml:space="preserve"> oznac</w:t>
      </w:r>
      <w:r>
        <w:rPr>
          <w:sz w:val="28"/>
          <w:szCs w:val="28"/>
        </w:rPr>
        <w:t>zeniom i nazwom</w:t>
      </w:r>
      <w:r w:rsidRPr="007D6136">
        <w:rPr>
          <w:sz w:val="28"/>
          <w:szCs w:val="28"/>
        </w:rPr>
        <w:t xml:space="preserve"> użytym w </w:t>
      </w:r>
      <w:r>
        <w:rPr>
          <w:sz w:val="28"/>
          <w:szCs w:val="28"/>
        </w:rPr>
        <w:t>raporcie o oddziaływaniu przedsięwzięcia na środowisko.</w:t>
      </w:r>
    </w:p>
  </w:footnote>
  <w:footnote w:id="2">
    <w:p w14:paraId="7AEFB840" w14:textId="77777777" w:rsidR="00EE7D4D" w:rsidRPr="007D6136" w:rsidRDefault="00EE7D4D" w:rsidP="00EE7D4D">
      <w:pPr>
        <w:pStyle w:val="Tekstprzypisudolnego"/>
        <w:rPr>
          <w:sz w:val="28"/>
          <w:szCs w:val="28"/>
        </w:rPr>
      </w:pPr>
      <w:r w:rsidRPr="007D6136">
        <w:rPr>
          <w:rStyle w:val="Odwoanieprzypisudolnego"/>
          <w:sz w:val="28"/>
          <w:szCs w:val="28"/>
        </w:rPr>
        <w:footnoteRef/>
      </w:r>
      <w:r w:rsidRPr="007D6136">
        <w:rPr>
          <w:sz w:val="28"/>
          <w:szCs w:val="28"/>
        </w:rPr>
        <w:t xml:space="preserve"> Duże Jednostki Przeliczeniowe</w:t>
      </w:r>
      <w:r>
        <w:rPr>
          <w:sz w:val="28"/>
          <w:szCs w:val="28"/>
        </w:rPr>
        <w:t>.</w:t>
      </w:r>
    </w:p>
  </w:footnote>
  <w:footnote w:id="3">
    <w:p w14:paraId="597C5C45" w14:textId="77777777" w:rsidR="00EE7D4D" w:rsidRPr="00EA09B6" w:rsidRDefault="00EE7D4D" w:rsidP="00EE7D4D">
      <w:pPr>
        <w:pStyle w:val="Tekstprzypisudolnego"/>
        <w:rPr>
          <w:sz w:val="28"/>
          <w:szCs w:val="28"/>
        </w:rPr>
      </w:pPr>
      <w:r w:rsidRPr="00EA09B6">
        <w:rPr>
          <w:rStyle w:val="Odwoanieprzypisudolnego"/>
          <w:sz w:val="28"/>
          <w:szCs w:val="28"/>
        </w:rPr>
        <w:footnoteRef/>
      </w:r>
      <w:r w:rsidRPr="00EA09B6">
        <w:rPr>
          <w:sz w:val="28"/>
          <w:szCs w:val="28"/>
        </w:rPr>
        <w:t xml:space="preserve"> Rozporządzenie Ministra Infrastruktury z dnia 16 listopada 2022 r. w</w:t>
      </w:r>
      <w:r>
        <w:rPr>
          <w:sz w:val="28"/>
          <w:szCs w:val="28"/>
        </w:rPr>
        <w:t> </w:t>
      </w:r>
      <w:r w:rsidRPr="00EA09B6">
        <w:rPr>
          <w:sz w:val="28"/>
          <w:szCs w:val="28"/>
        </w:rPr>
        <w:t>sprawie Planu gospodarowania wodami na obszarze dorzecza Odry (Dz. U. z 2023 r. poz. 335)</w:t>
      </w:r>
      <w:r>
        <w:rPr>
          <w:sz w:val="28"/>
          <w:szCs w:val="2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FC8BA" w14:textId="77777777" w:rsidR="00B95073" w:rsidRDefault="00B9507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01390"/>
    <w:multiLevelType w:val="hybridMultilevel"/>
    <w:tmpl w:val="82EE51EC"/>
    <w:lvl w:ilvl="0" w:tplc="04150017">
      <w:start w:val="1"/>
      <w:numFmt w:val="lowerLetter"/>
      <w:lvlText w:val="%1)"/>
      <w:lvlJc w:val="left"/>
      <w:pPr>
        <w:ind w:left="1635" w:hanging="360"/>
      </w:pPr>
    </w:lvl>
    <w:lvl w:ilvl="1" w:tplc="04150019" w:tentative="1">
      <w:start w:val="1"/>
      <w:numFmt w:val="lowerLetter"/>
      <w:lvlText w:val="%2."/>
      <w:lvlJc w:val="left"/>
      <w:pPr>
        <w:ind w:left="2355" w:hanging="360"/>
      </w:pPr>
    </w:lvl>
    <w:lvl w:ilvl="2" w:tplc="0415001B" w:tentative="1">
      <w:start w:val="1"/>
      <w:numFmt w:val="lowerRoman"/>
      <w:lvlText w:val="%3."/>
      <w:lvlJc w:val="right"/>
      <w:pPr>
        <w:ind w:left="3075" w:hanging="180"/>
      </w:pPr>
    </w:lvl>
    <w:lvl w:ilvl="3" w:tplc="0415000F" w:tentative="1">
      <w:start w:val="1"/>
      <w:numFmt w:val="decimal"/>
      <w:lvlText w:val="%4."/>
      <w:lvlJc w:val="left"/>
      <w:pPr>
        <w:ind w:left="3795" w:hanging="360"/>
      </w:pPr>
    </w:lvl>
    <w:lvl w:ilvl="4" w:tplc="04150019" w:tentative="1">
      <w:start w:val="1"/>
      <w:numFmt w:val="lowerLetter"/>
      <w:lvlText w:val="%5."/>
      <w:lvlJc w:val="left"/>
      <w:pPr>
        <w:ind w:left="4515" w:hanging="360"/>
      </w:pPr>
    </w:lvl>
    <w:lvl w:ilvl="5" w:tplc="0415001B" w:tentative="1">
      <w:start w:val="1"/>
      <w:numFmt w:val="lowerRoman"/>
      <w:lvlText w:val="%6."/>
      <w:lvlJc w:val="right"/>
      <w:pPr>
        <w:ind w:left="5235" w:hanging="180"/>
      </w:pPr>
    </w:lvl>
    <w:lvl w:ilvl="6" w:tplc="0415000F" w:tentative="1">
      <w:start w:val="1"/>
      <w:numFmt w:val="decimal"/>
      <w:lvlText w:val="%7."/>
      <w:lvlJc w:val="left"/>
      <w:pPr>
        <w:ind w:left="5955" w:hanging="360"/>
      </w:pPr>
    </w:lvl>
    <w:lvl w:ilvl="7" w:tplc="04150019" w:tentative="1">
      <w:start w:val="1"/>
      <w:numFmt w:val="lowerLetter"/>
      <w:lvlText w:val="%8."/>
      <w:lvlJc w:val="left"/>
      <w:pPr>
        <w:ind w:left="6675" w:hanging="360"/>
      </w:pPr>
    </w:lvl>
    <w:lvl w:ilvl="8" w:tplc="0415001B" w:tentative="1">
      <w:start w:val="1"/>
      <w:numFmt w:val="lowerRoman"/>
      <w:lvlText w:val="%9."/>
      <w:lvlJc w:val="right"/>
      <w:pPr>
        <w:ind w:left="7395" w:hanging="180"/>
      </w:pPr>
    </w:lvl>
  </w:abstractNum>
  <w:abstractNum w:abstractNumId="1"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 w15:restartNumberingAfterBreak="0">
    <w:nsid w:val="1BA709DB"/>
    <w:multiLevelType w:val="hybridMultilevel"/>
    <w:tmpl w:val="191494A4"/>
    <w:lvl w:ilvl="0" w:tplc="7354CC1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6E231DA"/>
    <w:multiLevelType w:val="hybridMultilevel"/>
    <w:tmpl w:val="7B3AEB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A0A56F0"/>
    <w:multiLevelType w:val="hybridMultilevel"/>
    <w:tmpl w:val="20DAB1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E311CE5"/>
    <w:multiLevelType w:val="hybridMultilevel"/>
    <w:tmpl w:val="1CBCC2D6"/>
    <w:lvl w:ilvl="0" w:tplc="04150011">
      <w:start w:val="1"/>
      <w:numFmt w:val="decimal"/>
      <w:lvlText w:val="%1)"/>
      <w:lvlJc w:val="left"/>
      <w:pPr>
        <w:ind w:left="1485" w:hanging="360"/>
      </w:p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6" w15:restartNumberingAfterBreak="0">
    <w:nsid w:val="452C7E01"/>
    <w:multiLevelType w:val="hybridMultilevel"/>
    <w:tmpl w:val="063EF110"/>
    <w:lvl w:ilvl="0" w:tplc="9D86B87C">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E345A35"/>
    <w:multiLevelType w:val="hybridMultilevel"/>
    <w:tmpl w:val="7FC0736A"/>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2DA0E12"/>
    <w:multiLevelType w:val="hybridMultilevel"/>
    <w:tmpl w:val="0C6876D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9" w15:restartNumberingAfterBreak="0">
    <w:nsid w:val="65C04CA8"/>
    <w:multiLevelType w:val="hybridMultilevel"/>
    <w:tmpl w:val="829647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F9E4BD5"/>
    <w:multiLevelType w:val="hybridMultilevel"/>
    <w:tmpl w:val="F94EF11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55D43FC"/>
    <w:multiLevelType w:val="hybridMultilevel"/>
    <w:tmpl w:val="CF3609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A5C67C6"/>
    <w:multiLevelType w:val="hybridMultilevel"/>
    <w:tmpl w:val="B1549344"/>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num w:numId="1" w16cid:durableId="428895939">
    <w:abstractNumId w:val="1"/>
  </w:num>
  <w:num w:numId="2" w16cid:durableId="471170424">
    <w:abstractNumId w:val="3"/>
  </w:num>
  <w:num w:numId="3" w16cid:durableId="985160894">
    <w:abstractNumId w:val="4"/>
  </w:num>
  <w:num w:numId="4" w16cid:durableId="2136480186">
    <w:abstractNumId w:val="6"/>
  </w:num>
  <w:num w:numId="5" w16cid:durableId="1012998685">
    <w:abstractNumId w:val="10"/>
  </w:num>
  <w:num w:numId="6" w16cid:durableId="264775214">
    <w:abstractNumId w:val="8"/>
  </w:num>
  <w:num w:numId="7" w16cid:durableId="522473205">
    <w:abstractNumId w:val="7"/>
  </w:num>
  <w:num w:numId="8" w16cid:durableId="836841576">
    <w:abstractNumId w:val="2"/>
  </w:num>
  <w:num w:numId="9" w16cid:durableId="611130915">
    <w:abstractNumId w:val="9"/>
  </w:num>
  <w:num w:numId="10" w16cid:durableId="517701020">
    <w:abstractNumId w:val="0"/>
  </w:num>
  <w:num w:numId="11" w16cid:durableId="845746474">
    <w:abstractNumId w:val="5"/>
  </w:num>
  <w:num w:numId="12" w16cid:durableId="1609192412">
    <w:abstractNumId w:val="11"/>
  </w:num>
  <w:num w:numId="13" w16cid:durableId="686910674">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25EAB"/>
    <w:rsid w:val="00053A6A"/>
    <w:rsid w:val="00053E5A"/>
    <w:rsid w:val="00066A1E"/>
    <w:rsid w:val="000812A8"/>
    <w:rsid w:val="000873F6"/>
    <w:rsid w:val="000F1048"/>
    <w:rsid w:val="00116E81"/>
    <w:rsid w:val="00150836"/>
    <w:rsid w:val="00157B44"/>
    <w:rsid w:val="00163AFB"/>
    <w:rsid w:val="001B5735"/>
    <w:rsid w:val="001E1EC1"/>
    <w:rsid w:val="001E4093"/>
    <w:rsid w:val="002238DE"/>
    <w:rsid w:val="00234497"/>
    <w:rsid w:val="00250690"/>
    <w:rsid w:val="00265CEF"/>
    <w:rsid w:val="00284D8F"/>
    <w:rsid w:val="002A147F"/>
    <w:rsid w:val="002A4259"/>
    <w:rsid w:val="002B7096"/>
    <w:rsid w:val="002D6590"/>
    <w:rsid w:val="002E3E3A"/>
    <w:rsid w:val="002E76FA"/>
    <w:rsid w:val="0030366F"/>
    <w:rsid w:val="00314D2D"/>
    <w:rsid w:val="003235C6"/>
    <w:rsid w:val="0032542D"/>
    <w:rsid w:val="00336472"/>
    <w:rsid w:val="00353E61"/>
    <w:rsid w:val="00362E34"/>
    <w:rsid w:val="0036718C"/>
    <w:rsid w:val="003A09D4"/>
    <w:rsid w:val="003B22E8"/>
    <w:rsid w:val="003C0AFB"/>
    <w:rsid w:val="00415CBE"/>
    <w:rsid w:val="00417844"/>
    <w:rsid w:val="00425F0B"/>
    <w:rsid w:val="00435889"/>
    <w:rsid w:val="0044547B"/>
    <w:rsid w:val="004519AC"/>
    <w:rsid w:val="00463950"/>
    <w:rsid w:val="0048459B"/>
    <w:rsid w:val="00487C97"/>
    <w:rsid w:val="0049588B"/>
    <w:rsid w:val="004C1F30"/>
    <w:rsid w:val="004F3296"/>
    <w:rsid w:val="005038FC"/>
    <w:rsid w:val="00506B0A"/>
    <w:rsid w:val="00525346"/>
    <w:rsid w:val="0054093D"/>
    <w:rsid w:val="00566AC2"/>
    <w:rsid w:val="00566C7D"/>
    <w:rsid w:val="005671D5"/>
    <w:rsid w:val="005811F1"/>
    <w:rsid w:val="005968A5"/>
    <w:rsid w:val="005A081D"/>
    <w:rsid w:val="005A57C7"/>
    <w:rsid w:val="005B4BE6"/>
    <w:rsid w:val="005E5887"/>
    <w:rsid w:val="005F048F"/>
    <w:rsid w:val="005F23DE"/>
    <w:rsid w:val="00612602"/>
    <w:rsid w:val="00620F58"/>
    <w:rsid w:val="0063592D"/>
    <w:rsid w:val="00655DD8"/>
    <w:rsid w:val="006A134A"/>
    <w:rsid w:val="006A6F3E"/>
    <w:rsid w:val="006B674C"/>
    <w:rsid w:val="006C68CB"/>
    <w:rsid w:val="006D530A"/>
    <w:rsid w:val="006E2754"/>
    <w:rsid w:val="007016CE"/>
    <w:rsid w:val="00727E56"/>
    <w:rsid w:val="00730C22"/>
    <w:rsid w:val="007362FC"/>
    <w:rsid w:val="00757413"/>
    <w:rsid w:val="007859F4"/>
    <w:rsid w:val="007C6800"/>
    <w:rsid w:val="0081559F"/>
    <w:rsid w:val="00825D54"/>
    <w:rsid w:val="00826F62"/>
    <w:rsid w:val="00831A7F"/>
    <w:rsid w:val="00837187"/>
    <w:rsid w:val="008750FA"/>
    <w:rsid w:val="00876801"/>
    <w:rsid w:val="00883133"/>
    <w:rsid w:val="008A1C0E"/>
    <w:rsid w:val="008A26BE"/>
    <w:rsid w:val="008A276A"/>
    <w:rsid w:val="008A4EA7"/>
    <w:rsid w:val="008C4507"/>
    <w:rsid w:val="008F4549"/>
    <w:rsid w:val="009105D1"/>
    <w:rsid w:val="00912874"/>
    <w:rsid w:val="0091476E"/>
    <w:rsid w:val="00917C21"/>
    <w:rsid w:val="00920491"/>
    <w:rsid w:val="00941F56"/>
    <w:rsid w:val="00945706"/>
    <w:rsid w:val="00945DDE"/>
    <w:rsid w:val="0095451D"/>
    <w:rsid w:val="00960867"/>
    <w:rsid w:val="009614DC"/>
    <w:rsid w:val="00981EE8"/>
    <w:rsid w:val="009D7331"/>
    <w:rsid w:val="009F2BF8"/>
    <w:rsid w:val="00A01E96"/>
    <w:rsid w:val="00A26B85"/>
    <w:rsid w:val="00A307EC"/>
    <w:rsid w:val="00A3195C"/>
    <w:rsid w:val="00A515B8"/>
    <w:rsid w:val="00A568A2"/>
    <w:rsid w:val="00A62257"/>
    <w:rsid w:val="00AE1740"/>
    <w:rsid w:val="00B109BE"/>
    <w:rsid w:val="00B54FE0"/>
    <w:rsid w:val="00B70A12"/>
    <w:rsid w:val="00B81AFE"/>
    <w:rsid w:val="00B91287"/>
    <w:rsid w:val="00B95073"/>
    <w:rsid w:val="00BA179E"/>
    <w:rsid w:val="00BD5A34"/>
    <w:rsid w:val="00C01E33"/>
    <w:rsid w:val="00C07730"/>
    <w:rsid w:val="00C13763"/>
    <w:rsid w:val="00C26DEC"/>
    <w:rsid w:val="00C416ED"/>
    <w:rsid w:val="00C552DF"/>
    <w:rsid w:val="00CE0CFB"/>
    <w:rsid w:val="00CE396A"/>
    <w:rsid w:val="00CE490C"/>
    <w:rsid w:val="00CE7EA8"/>
    <w:rsid w:val="00CF4683"/>
    <w:rsid w:val="00D0263E"/>
    <w:rsid w:val="00D04695"/>
    <w:rsid w:val="00D05C8C"/>
    <w:rsid w:val="00D07D62"/>
    <w:rsid w:val="00D10EFD"/>
    <w:rsid w:val="00D1562E"/>
    <w:rsid w:val="00D237A0"/>
    <w:rsid w:val="00D41FE4"/>
    <w:rsid w:val="00D54DF8"/>
    <w:rsid w:val="00D72A13"/>
    <w:rsid w:val="00DA25D3"/>
    <w:rsid w:val="00DA2EEC"/>
    <w:rsid w:val="00DB7013"/>
    <w:rsid w:val="00DB7313"/>
    <w:rsid w:val="00DC053D"/>
    <w:rsid w:val="00DE0EAB"/>
    <w:rsid w:val="00E170E7"/>
    <w:rsid w:val="00E2033D"/>
    <w:rsid w:val="00E20F9D"/>
    <w:rsid w:val="00E315B4"/>
    <w:rsid w:val="00E34C2B"/>
    <w:rsid w:val="00E35A76"/>
    <w:rsid w:val="00E85F2B"/>
    <w:rsid w:val="00EC387A"/>
    <w:rsid w:val="00EE6CBD"/>
    <w:rsid w:val="00EE7D4D"/>
    <w:rsid w:val="00F51832"/>
    <w:rsid w:val="00F56842"/>
    <w:rsid w:val="00F80DB4"/>
    <w:rsid w:val="00FF48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character" w:styleId="Hipercze">
    <w:name w:val="Hyperlink"/>
    <w:basedOn w:val="Domylnaczcionkaakapitu"/>
    <w:uiPriority w:val="99"/>
    <w:unhideWhenUsed/>
    <w:rsid w:val="00566AC2"/>
    <w:rPr>
      <w:color w:val="0000FF" w:themeColor="hyperlink"/>
      <w:u w:val="single"/>
    </w:rPr>
  </w:style>
  <w:style w:type="character" w:styleId="Nierozpoznanawzmianka">
    <w:name w:val="Unresolved Mention"/>
    <w:basedOn w:val="Domylnaczcionkaakapitu"/>
    <w:uiPriority w:val="99"/>
    <w:semiHidden/>
    <w:unhideWhenUsed/>
    <w:rsid w:val="00566AC2"/>
    <w:rPr>
      <w:color w:val="605E5C"/>
      <w:shd w:val="clear" w:color="auto" w:fill="E1DFDD"/>
    </w:rPr>
  </w:style>
  <w:style w:type="numbering" w:customStyle="1" w:styleId="Bezlisty1">
    <w:name w:val="Bez listy1"/>
    <w:next w:val="Bezlisty"/>
    <w:uiPriority w:val="99"/>
    <w:semiHidden/>
    <w:unhideWhenUsed/>
    <w:rsid w:val="00B81AFE"/>
  </w:style>
  <w:style w:type="numbering" w:customStyle="1" w:styleId="Bezlisty11">
    <w:name w:val="Bez listy11"/>
    <w:next w:val="Bezlisty"/>
    <w:uiPriority w:val="99"/>
    <w:semiHidden/>
    <w:unhideWhenUsed/>
    <w:rsid w:val="00B81AFE"/>
  </w:style>
  <w:style w:type="character" w:styleId="Numerstrony">
    <w:name w:val="page number"/>
    <w:rsid w:val="00B81AFE"/>
  </w:style>
  <w:style w:type="paragraph" w:customStyle="1" w:styleId="Akapitzlist1">
    <w:name w:val="Akapit z listą1"/>
    <w:basedOn w:val="Normalny"/>
    <w:next w:val="Akapitzlist"/>
    <w:uiPriority w:val="34"/>
    <w:qFormat/>
    <w:rsid w:val="00B81AFE"/>
    <w:pPr>
      <w:spacing w:after="120" w:line="240" w:lineRule="auto"/>
      <w:ind w:left="720"/>
      <w:contextualSpacing/>
      <w:jc w:val="both"/>
    </w:pPr>
    <w:rPr>
      <w:rFonts w:eastAsia="Calibri" w:cs="Times New Roman"/>
      <w:sz w:val="28"/>
    </w:rPr>
  </w:style>
  <w:style w:type="paragraph" w:customStyle="1" w:styleId="Tekstpodstawowy1">
    <w:name w:val="Tekst podstawowy1"/>
    <w:basedOn w:val="Normalny"/>
    <w:next w:val="Tekstpodstawowy"/>
    <w:link w:val="TekstpodstawowyZnak"/>
    <w:uiPriority w:val="99"/>
    <w:unhideWhenUsed/>
    <w:rsid w:val="00B81AFE"/>
    <w:pPr>
      <w:spacing w:after="120" w:line="240" w:lineRule="auto"/>
      <w:jc w:val="both"/>
    </w:pPr>
    <w:rPr>
      <w:rFonts w:ascii="Calibri" w:hAnsi="Calibri" w:cs="Times New Roman"/>
    </w:rPr>
  </w:style>
  <w:style w:type="character" w:customStyle="1" w:styleId="TekstpodstawowyZnak">
    <w:name w:val="Tekst podstawowy Znak"/>
    <w:basedOn w:val="Domylnaczcionkaakapitu"/>
    <w:link w:val="Tekstpodstawowy1"/>
    <w:uiPriority w:val="99"/>
    <w:rsid w:val="00B81AFE"/>
    <w:rPr>
      <w:rFonts w:ascii="Calibri" w:hAnsi="Calibri" w:cs="Times New Roman"/>
    </w:rPr>
  </w:style>
  <w:style w:type="character" w:customStyle="1" w:styleId="WW8Num2z3">
    <w:name w:val="WW8Num2z3"/>
    <w:rsid w:val="00B81AFE"/>
  </w:style>
  <w:style w:type="paragraph" w:customStyle="1" w:styleId="Standard">
    <w:name w:val="Standard"/>
    <w:rsid w:val="00B81AF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kstprzypisukocowego1">
    <w:name w:val="Tekst przypisu końcowego1"/>
    <w:basedOn w:val="Normalny"/>
    <w:next w:val="Tekstprzypisukocowego"/>
    <w:link w:val="TekstprzypisukocowegoZnak"/>
    <w:uiPriority w:val="99"/>
    <w:semiHidden/>
    <w:unhideWhenUsed/>
    <w:rsid w:val="00B81AFE"/>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B81AFE"/>
    <w:rPr>
      <w:rFonts w:ascii="Calibri" w:hAnsi="Calibri" w:cs="Times New Roman"/>
      <w:sz w:val="20"/>
      <w:szCs w:val="20"/>
    </w:rPr>
  </w:style>
  <w:style w:type="character" w:styleId="Odwoanieprzypisukocowego">
    <w:name w:val="endnote reference"/>
    <w:basedOn w:val="Domylnaczcionkaakapitu"/>
    <w:uiPriority w:val="99"/>
    <w:semiHidden/>
    <w:unhideWhenUsed/>
    <w:rsid w:val="00B81AFE"/>
    <w:rPr>
      <w:vertAlign w:val="superscript"/>
    </w:rPr>
  </w:style>
  <w:style w:type="character" w:customStyle="1" w:styleId="UyteHipercze1">
    <w:name w:val="UżyteHiperłącze1"/>
    <w:basedOn w:val="Domylnaczcionkaakapitu"/>
    <w:uiPriority w:val="99"/>
    <w:semiHidden/>
    <w:unhideWhenUsed/>
    <w:rsid w:val="00B81AFE"/>
    <w:rPr>
      <w:color w:val="954F72"/>
      <w:u w:val="single"/>
    </w:rPr>
  </w:style>
  <w:style w:type="paragraph" w:styleId="Akapitzlist">
    <w:name w:val="List Paragraph"/>
    <w:basedOn w:val="Normalny"/>
    <w:uiPriority w:val="34"/>
    <w:qFormat/>
    <w:rsid w:val="00B81AFE"/>
    <w:pPr>
      <w:ind w:left="720"/>
      <w:contextualSpacing/>
    </w:pPr>
  </w:style>
  <w:style w:type="paragraph" w:styleId="Tekstpodstawowy">
    <w:name w:val="Body Text"/>
    <w:basedOn w:val="Normalny"/>
    <w:link w:val="TekstpodstawowyZnak1"/>
    <w:uiPriority w:val="99"/>
    <w:semiHidden/>
    <w:unhideWhenUsed/>
    <w:rsid w:val="00B81AFE"/>
    <w:pPr>
      <w:spacing w:after="120"/>
    </w:pPr>
  </w:style>
  <w:style w:type="character" w:customStyle="1" w:styleId="TekstpodstawowyZnak1">
    <w:name w:val="Tekst podstawowy Znak1"/>
    <w:basedOn w:val="Domylnaczcionkaakapitu"/>
    <w:link w:val="Tekstpodstawowy"/>
    <w:uiPriority w:val="99"/>
    <w:semiHidden/>
    <w:rsid w:val="00B81AFE"/>
  </w:style>
  <w:style w:type="paragraph" w:styleId="Tekstprzypisukocowego">
    <w:name w:val="endnote text"/>
    <w:basedOn w:val="Normalny"/>
    <w:link w:val="TekstprzypisukocowegoZnak1"/>
    <w:uiPriority w:val="99"/>
    <w:semiHidden/>
    <w:unhideWhenUsed/>
    <w:rsid w:val="00B81AFE"/>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B81AFE"/>
    <w:rPr>
      <w:sz w:val="20"/>
      <w:szCs w:val="20"/>
    </w:rPr>
  </w:style>
  <w:style w:type="character" w:styleId="UyteHipercze">
    <w:name w:val="FollowedHyperlink"/>
    <w:basedOn w:val="Domylnaczcionkaakapitu"/>
    <w:uiPriority w:val="99"/>
    <w:semiHidden/>
    <w:unhideWhenUsed/>
    <w:rsid w:val="00B81AFE"/>
    <w:rPr>
      <w:color w:val="800080" w:themeColor="followedHyperlink"/>
      <w:u w:val="single"/>
    </w:rPr>
  </w:style>
  <w:style w:type="numbering" w:customStyle="1" w:styleId="Bezlisty2">
    <w:name w:val="Bez listy2"/>
    <w:next w:val="Bezlisty"/>
    <w:uiPriority w:val="99"/>
    <w:semiHidden/>
    <w:unhideWhenUsed/>
    <w:rsid w:val="00D1562E"/>
  </w:style>
  <w:style w:type="numbering" w:customStyle="1" w:styleId="Bezlisty12">
    <w:name w:val="Bez listy12"/>
    <w:next w:val="Bezlisty"/>
    <w:uiPriority w:val="99"/>
    <w:semiHidden/>
    <w:unhideWhenUsed/>
    <w:rsid w:val="00D1562E"/>
  </w:style>
  <w:style w:type="numbering" w:customStyle="1" w:styleId="Bezlisty111">
    <w:name w:val="Bez listy111"/>
    <w:next w:val="Bezlisty"/>
    <w:uiPriority w:val="99"/>
    <w:semiHidden/>
    <w:unhideWhenUsed/>
    <w:rsid w:val="00D1562E"/>
  </w:style>
  <w:style w:type="table" w:styleId="Tabela-Siatka">
    <w:name w:val="Table Grid"/>
    <w:basedOn w:val="Standardowy"/>
    <w:uiPriority w:val="39"/>
    <w:rsid w:val="00D1562E"/>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D1562E"/>
    <w:rPr>
      <w:sz w:val="16"/>
      <w:szCs w:val="16"/>
    </w:rPr>
  </w:style>
  <w:style w:type="paragraph" w:customStyle="1" w:styleId="Tekstkomentarza1">
    <w:name w:val="Tekst komentarza1"/>
    <w:basedOn w:val="Normalny"/>
    <w:next w:val="Tekstkomentarza"/>
    <w:link w:val="TekstkomentarzaZnak"/>
    <w:uiPriority w:val="99"/>
    <w:unhideWhenUsed/>
    <w:rsid w:val="00D1562E"/>
    <w:pPr>
      <w:spacing w:after="120" w:line="240" w:lineRule="auto"/>
      <w:jc w:val="both"/>
    </w:pPr>
    <w:rPr>
      <w:rFonts w:ascii="Calibri" w:hAnsi="Calibri" w:cs="Times New Roman"/>
      <w:sz w:val="20"/>
      <w:szCs w:val="20"/>
    </w:rPr>
  </w:style>
  <w:style w:type="character" w:customStyle="1" w:styleId="TekstkomentarzaZnak">
    <w:name w:val="Tekst komentarza Znak"/>
    <w:basedOn w:val="Domylnaczcionkaakapitu"/>
    <w:link w:val="Tekstkomentarza1"/>
    <w:uiPriority w:val="99"/>
    <w:rsid w:val="00D1562E"/>
    <w:rPr>
      <w:rFonts w:ascii="Calibri" w:hAnsi="Calibri" w:cs="Times New Roman"/>
      <w:sz w:val="20"/>
      <w:szCs w:val="20"/>
    </w:rPr>
  </w:style>
  <w:style w:type="paragraph" w:customStyle="1" w:styleId="Tematkomentarza1">
    <w:name w:val="Temat komentarza1"/>
    <w:basedOn w:val="Tekstkomentarza"/>
    <w:next w:val="Tekstkomentarza"/>
    <w:uiPriority w:val="99"/>
    <w:semiHidden/>
    <w:unhideWhenUsed/>
    <w:rsid w:val="00D1562E"/>
    <w:pPr>
      <w:spacing w:after="120"/>
      <w:jc w:val="both"/>
    </w:pPr>
    <w:rPr>
      <w:rFonts w:eastAsia="Calibri" w:cs="Times New Roman"/>
      <w:b/>
      <w:bCs/>
    </w:rPr>
  </w:style>
  <w:style w:type="character" w:customStyle="1" w:styleId="TematkomentarzaZnak">
    <w:name w:val="Temat komentarza Znak"/>
    <w:basedOn w:val="TekstkomentarzaZnak"/>
    <w:link w:val="Tematkomentarza"/>
    <w:uiPriority w:val="99"/>
    <w:semiHidden/>
    <w:rsid w:val="00D1562E"/>
    <w:rPr>
      <w:rFonts w:ascii="Calibri" w:hAnsi="Calibri" w:cs="Times New Roman"/>
      <w:b/>
      <w:bCs/>
      <w:sz w:val="20"/>
      <w:szCs w:val="20"/>
    </w:rPr>
  </w:style>
  <w:style w:type="paragraph" w:styleId="Tekstkomentarza">
    <w:name w:val="annotation text"/>
    <w:basedOn w:val="Normalny"/>
    <w:link w:val="TekstkomentarzaZnak1"/>
    <w:uiPriority w:val="99"/>
    <w:semiHidden/>
    <w:unhideWhenUsed/>
    <w:rsid w:val="00D1562E"/>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D1562E"/>
    <w:rPr>
      <w:sz w:val="20"/>
      <w:szCs w:val="20"/>
    </w:rPr>
  </w:style>
  <w:style w:type="paragraph" w:styleId="Tematkomentarza">
    <w:name w:val="annotation subject"/>
    <w:basedOn w:val="Tekstkomentarza"/>
    <w:next w:val="Tekstkomentarza"/>
    <w:link w:val="TematkomentarzaZnak"/>
    <w:uiPriority w:val="99"/>
    <w:semiHidden/>
    <w:unhideWhenUsed/>
    <w:rsid w:val="00D1562E"/>
    <w:rPr>
      <w:rFonts w:ascii="Calibri" w:hAnsi="Calibri" w:cs="Times New Roman"/>
      <w:b/>
      <w:bCs/>
    </w:rPr>
  </w:style>
  <w:style w:type="character" w:customStyle="1" w:styleId="TematkomentarzaZnak1">
    <w:name w:val="Temat komentarza Znak1"/>
    <w:basedOn w:val="TekstkomentarzaZnak1"/>
    <w:uiPriority w:val="99"/>
    <w:semiHidden/>
    <w:rsid w:val="00D156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8291"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ip.srem.pl/public/?id=238291"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srem.pl/public/?id=23326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bip.srem.pl/public/?id=22927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ip.srem.pl/public/?id=223630"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1</Pages>
  <Words>10967</Words>
  <Characters>65806</Characters>
  <Application>Microsoft Office Word</Application>
  <DocSecurity>0</DocSecurity>
  <Lines>548</Lines>
  <Paragraphs>153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72</cp:revision>
  <cp:lastPrinted>2025-08-29T05:26:00Z</cp:lastPrinted>
  <dcterms:created xsi:type="dcterms:W3CDTF">2021-04-23T10:50:00Z</dcterms:created>
  <dcterms:modified xsi:type="dcterms:W3CDTF">2026-01-30T13:48:00Z</dcterms:modified>
</cp:coreProperties>
</file>