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5FF4D4E0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4560EB69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bezprzetargowym nieruchomość położona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0C2A2C">
        <w:rPr>
          <w:rFonts w:eastAsia="Times New Roman" w:cstheme="minorHAnsi"/>
          <w:bCs/>
          <w:sz w:val="28"/>
          <w:szCs w:val="28"/>
          <w:lang w:eastAsia="pl-PL"/>
        </w:rPr>
        <w:t>Zachodniej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0D5E83D4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</w:t>
            </w:r>
            <w:r w:rsidR="000C2A2C">
              <w:rPr>
                <w:rFonts w:cstheme="minorHAnsi"/>
                <w:bCs/>
                <w:spacing w:val="-2"/>
                <w:sz w:val="28"/>
                <w:szCs w:val="28"/>
              </w:rPr>
              <w:t>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53CFF2EC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5709A5B0" w:rsidR="002851C5" w:rsidRPr="009677A3" w:rsidRDefault="000C2A2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282/1</w:t>
            </w:r>
          </w:p>
        </w:tc>
        <w:tc>
          <w:tcPr>
            <w:tcW w:w="2189" w:type="dxa"/>
            <w:vAlign w:val="center"/>
          </w:tcPr>
          <w:p w14:paraId="59944A69" w14:textId="363DCFCB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0C2A2C">
              <w:rPr>
                <w:rFonts w:cstheme="minorHAnsi"/>
                <w:spacing w:val="-2"/>
                <w:sz w:val="24"/>
                <w:szCs w:val="24"/>
              </w:rPr>
              <w:t>035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C201289" w:rsidR="002851C5" w:rsidRPr="009677A3" w:rsidRDefault="000C2A2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12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715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11" w:type="dxa"/>
            <w:vAlign w:val="center"/>
          </w:tcPr>
          <w:p w14:paraId="5B711CCE" w14:textId="38B22149" w:rsidR="00033B4A" w:rsidRPr="009677A3" w:rsidRDefault="002851C5" w:rsidP="000C2A2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0C2A2C">
              <w:rPr>
                <w:rFonts w:cstheme="minorHAnsi"/>
                <w:spacing w:val="-2"/>
                <w:sz w:val="24"/>
                <w:szCs w:val="24"/>
              </w:rPr>
              <w:t>24567/7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1AA466FB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</w:t>
      </w:r>
      <w:r w:rsidR="00033B4A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przestrzennego. </w:t>
      </w:r>
      <w:r w:rsidR="00891161">
        <w:rPr>
          <w:rFonts w:cstheme="minorHAnsi"/>
          <w:sz w:val="28"/>
          <w:szCs w:val="28"/>
        </w:rPr>
        <w:t>Zgodnie z uchwałą nr 495/XLIII/2023 Rady Miejskiej w Śremie z dnia 23. 03. 2023 r. w sprawie zmiany studium uwarunkowań i kierunków zagospodarowania przestrzennego gminy Śrem, przedmiotowa nieruchomość oznaczona jest jako teren zabudowy mieszkaniowo - usługowej. Działk</w:t>
      </w:r>
      <w:r w:rsidR="000C2A2C">
        <w:rPr>
          <w:rFonts w:cstheme="minorHAnsi"/>
          <w:sz w:val="28"/>
          <w:szCs w:val="28"/>
        </w:rPr>
        <w:t>a</w:t>
      </w:r>
      <w:r w:rsidR="00891161">
        <w:rPr>
          <w:rFonts w:cstheme="minorHAnsi"/>
          <w:sz w:val="28"/>
          <w:szCs w:val="28"/>
        </w:rPr>
        <w:t xml:space="preserve"> stanowi kształt f</w:t>
      </w:r>
      <w:r w:rsidR="000C2A2C">
        <w:rPr>
          <w:rFonts w:cstheme="minorHAnsi"/>
          <w:sz w:val="28"/>
          <w:szCs w:val="28"/>
        </w:rPr>
        <w:t>oremny, zbliżony do prostokąta</w:t>
      </w:r>
      <w:r w:rsidR="00891161">
        <w:rPr>
          <w:rFonts w:cstheme="minorHAnsi"/>
          <w:sz w:val="28"/>
          <w:szCs w:val="28"/>
        </w:rPr>
        <w:t xml:space="preserve">, </w:t>
      </w:r>
      <w:r w:rsidR="000C2A2C">
        <w:rPr>
          <w:rFonts w:cstheme="minorHAnsi"/>
          <w:sz w:val="28"/>
          <w:szCs w:val="28"/>
        </w:rPr>
        <w:t>położona wzdłuż granicy frontowej działki sąsiedniej</w:t>
      </w:r>
      <w:r w:rsidR="00891161">
        <w:rPr>
          <w:rFonts w:cstheme="minorHAnsi"/>
          <w:sz w:val="28"/>
          <w:szCs w:val="28"/>
        </w:rPr>
        <w:t>.</w:t>
      </w:r>
    </w:p>
    <w:p w14:paraId="06EE5FED" w14:textId="55B6C6C8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Sprzedaż nastąpi na poszerzenie nieruchomości sąsiedniej, oznaczonej ewidencyjnym numer</w:t>
      </w:r>
      <w:r w:rsidR="000C2A2C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>m działk</w:t>
      </w:r>
      <w:r w:rsidR="000C2A2C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</w:t>
      </w:r>
      <w:r w:rsidR="000C2A2C">
        <w:rPr>
          <w:rFonts w:cstheme="minorHAnsi"/>
          <w:sz w:val="28"/>
          <w:szCs w:val="28"/>
        </w:rPr>
        <w:t>253</w:t>
      </w:r>
      <w:r w:rsidR="009735CE">
        <w:rPr>
          <w:rFonts w:cstheme="minorHAnsi"/>
          <w:sz w:val="28"/>
          <w:szCs w:val="28"/>
        </w:rPr>
        <w:t>.</w:t>
      </w:r>
    </w:p>
    <w:p w14:paraId="31169598" w14:textId="2B06CE0F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</w:t>
      </w:r>
      <w:r w:rsidR="00CC7509">
        <w:rPr>
          <w:rFonts w:cstheme="minorHAnsi"/>
          <w:sz w:val="28"/>
          <w:szCs w:val="28"/>
        </w:rPr>
        <w:t>ęgi</w:t>
      </w:r>
      <w:r w:rsidRPr="00E124C4">
        <w:rPr>
          <w:rFonts w:cstheme="minorHAnsi"/>
          <w:sz w:val="28"/>
          <w:szCs w:val="28"/>
        </w:rPr>
        <w:t xml:space="preserve"> wieczyst</w:t>
      </w:r>
      <w:r w:rsidR="00CC7509">
        <w:rPr>
          <w:rFonts w:cstheme="minorHAnsi"/>
          <w:sz w:val="28"/>
          <w:szCs w:val="28"/>
        </w:rPr>
        <w:t>ej</w:t>
      </w:r>
      <w:r w:rsidRPr="00E124C4">
        <w:rPr>
          <w:rFonts w:cstheme="minorHAnsi"/>
          <w:sz w:val="28"/>
          <w:szCs w:val="28"/>
        </w:rPr>
        <w:t xml:space="preserve"> nie wykazują obciążeń.</w:t>
      </w:r>
    </w:p>
    <w:p w14:paraId="6E556D40" w14:textId="64B46379" w:rsidR="00E124C4" w:rsidRPr="00E124C4" w:rsidRDefault="00CC7509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Sprzedaż zwolniona będzie z podatku VAT na podstawie art. </w:t>
      </w:r>
      <w:r>
        <w:rPr>
          <w:rFonts w:eastAsia="Times New Roman" w:cstheme="minorHAnsi"/>
          <w:bCs/>
          <w:sz w:val="28"/>
          <w:szCs w:val="28"/>
          <w:lang w:eastAsia="pl-PL"/>
        </w:rPr>
        <w:t>43 ust. 1 pkt 9 ustawy o podatku od towarów i usług (Dz. U. z 2025 poz. 775 ze zm.)</w:t>
      </w:r>
      <w:r w:rsidR="00E124C4" w:rsidRPr="00E124C4">
        <w:rPr>
          <w:rFonts w:cstheme="minorHAnsi"/>
          <w:sz w:val="28"/>
          <w:szCs w:val="28"/>
        </w:rPr>
        <w:t>.</w:t>
      </w:r>
    </w:p>
    <w:p w14:paraId="5F5E2833" w14:textId="0518401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dnia wywieszenia wykazu.</w:t>
      </w:r>
    </w:p>
    <w:p w14:paraId="67236ACB" w14:textId="6594C7DC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61 28 47 134.</w:t>
      </w:r>
    </w:p>
    <w:p w14:paraId="58362B69" w14:textId="502218D8" w:rsidR="00D75446" w:rsidRDefault="00D75446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7581B22F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CC7509">
        <w:rPr>
          <w:rFonts w:cstheme="minorHAnsi"/>
          <w:sz w:val="20"/>
        </w:rPr>
        <w:t>lutego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CC7509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1C17BB45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4422EEBA">
            <wp:simplePos x="0" y="0"/>
            <wp:positionH relativeFrom="margin">
              <wp:posOffset>-9525</wp:posOffset>
            </wp:positionH>
            <wp:positionV relativeFrom="margin">
              <wp:posOffset>8805655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CC7509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CC7509">
        <w:rPr>
          <w:rFonts w:cstheme="minorHAnsi"/>
          <w:sz w:val="20"/>
        </w:rPr>
        <w:t>.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9A513" w14:textId="77777777" w:rsidR="00EF481E" w:rsidRDefault="00EF481E">
      <w:r>
        <w:separator/>
      </w:r>
    </w:p>
  </w:endnote>
  <w:endnote w:type="continuationSeparator" w:id="0">
    <w:p w14:paraId="78528C3A" w14:textId="77777777" w:rsidR="00EF481E" w:rsidRDefault="00EF4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5BC66" w14:textId="77777777" w:rsidR="00EF481E" w:rsidRDefault="00EF481E">
      <w:r>
        <w:separator/>
      </w:r>
    </w:p>
  </w:footnote>
  <w:footnote w:type="continuationSeparator" w:id="0">
    <w:p w14:paraId="42DADFE7" w14:textId="77777777" w:rsidR="00EF481E" w:rsidRDefault="00EF4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2A2C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40494"/>
    <w:rsid w:val="009517A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C7509"/>
    <w:rsid w:val="00CD017A"/>
    <w:rsid w:val="00CF0897"/>
    <w:rsid w:val="00CF0FD0"/>
    <w:rsid w:val="00CF2A3D"/>
    <w:rsid w:val="00D12B2E"/>
    <w:rsid w:val="00D30A6D"/>
    <w:rsid w:val="00D34F6C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81E"/>
    <w:rsid w:val="00EF4DA8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115</cp:revision>
  <cp:lastPrinted>2025-03-21T08:38:00Z</cp:lastPrinted>
  <dcterms:created xsi:type="dcterms:W3CDTF">2013-11-07T10:24:00Z</dcterms:created>
  <dcterms:modified xsi:type="dcterms:W3CDTF">2026-02-05T09:43:00Z</dcterms:modified>
</cp:coreProperties>
</file>