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41471" w14:textId="77777777" w:rsidR="003235C6" w:rsidRPr="003235C6" w:rsidRDefault="003235C6" w:rsidP="00BD5A34">
      <w:pPr>
        <w:spacing w:after="0" w:line="240" w:lineRule="auto"/>
        <w:ind w:right="5668"/>
        <w:jc w:val="center"/>
        <w:rPr>
          <w:rFonts w:cstheme="minorHAnsi"/>
          <w:bCs/>
          <w:sz w:val="20"/>
          <w:szCs w:val="20"/>
        </w:rPr>
      </w:pPr>
    </w:p>
    <w:p w14:paraId="5D0C37BD" w14:textId="664E8D6A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Burmistrz Śremu</w:t>
      </w:r>
    </w:p>
    <w:p w14:paraId="38C3318A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ul. Plac 20 Października 1</w:t>
      </w:r>
    </w:p>
    <w:p w14:paraId="335059D8" w14:textId="77777777" w:rsidR="00BD5A34" w:rsidRPr="0063592D" w:rsidRDefault="00BD5A34" w:rsidP="003235C6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63-100 Śrem</w:t>
      </w:r>
    </w:p>
    <w:p w14:paraId="2C937DB9" w14:textId="5521C6C9" w:rsidR="00BD5A34" w:rsidRPr="0063592D" w:rsidRDefault="00BD5A34" w:rsidP="003235C6">
      <w:pPr>
        <w:spacing w:after="0" w:line="240" w:lineRule="auto"/>
        <w:jc w:val="right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Śrem,</w:t>
      </w:r>
      <w:r w:rsidR="0096171F">
        <w:rPr>
          <w:rFonts w:cstheme="minorHAnsi"/>
          <w:sz w:val="28"/>
          <w:szCs w:val="28"/>
        </w:rPr>
        <w:t xml:space="preserve"> 08 </w:t>
      </w:r>
      <w:r w:rsidR="00EF0F12">
        <w:rPr>
          <w:rFonts w:cstheme="minorHAnsi"/>
          <w:sz w:val="28"/>
          <w:szCs w:val="28"/>
        </w:rPr>
        <w:t>kwietnia</w:t>
      </w:r>
      <w:r w:rsidR="00E24C80">
        <w:rPr>
          <w:rFonts w:cstheme="minorHAnsi"/>
          <w:sz w:val="28"/>
          <w:szCs w:val="28"/>
        </w:rPr>
        <w:t xml:space="preserve"> 2026</w:t>
      </w:r>
      <w:r w:rsidRPr="0063592D">
        <w:rPr>
          <w:rFonts w:cstheme="minorHAnsi"/>
          <w:sz w:val="28"/>
          <w:szCs w:val="28"/>
        </w:rPr>
        <w:t xml:space="preserve"> </w:t>
      </w:r>
      <w:r w:rsidR="005038FC">
        <w:rPr>
          <w:rFonts w:cstheme="minorHAnsi"/>
          <w:sz w:val="28"/>
          <w:szCs w:val="28"/>
        </w:rPr>
        <w:t>r.</w:t>
      </w:r>
    </w:p>
    <w:p w14:paraId="314AFC46" w14:textId="01450064" w:rsidR="00BD5A34" w:rsidRPr="0063592D" w:rsidRDefault="00BD5A34" w:rsidP="00BD5A34">
      <w:pPr>
        <w:spacing w:after="120" w:line="240" w:lineRule="auto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PPSOŚ.6220.</w:t>
      </w:r>
      <w:r w:rsidR="00EF0F12">
        <w:rPr>
          <w:rFonts w:cstheme="minorHAnsi"/>
          <w:sz w:val="28"/>
          <w:szCs w:val="28"/>
        </w:rPr>
        <w:t>1</w:t>
      </w:r>
      <w:r w:rsidR="005038FC">
        <w:rPr>
          <w:rFonts w:cstheme="minorHAnsi"/>
          <w:sz w:val="28"/>
          <w:szCs w:val="28"/>
        </w:rPr>
        <w:t>.202</w:t>
      </w:r>
      <w:r w:rsidR="00EF0F12">
        <w:rPr>
          <w:rFonts w:cstheme="minorHAnsi"/>
          <w:sz w:val="28"/>
          <w:szCs w:val="28"/>
        </w:rPr>
        <w:t>6</w:t>
      </w:r>
      <w:r w:rsidRPr="0063592D">
        <w:rPr>
          <w:rFonts w:cstheme="minorHAnsi"/>
          <w:sz w:val="28"/>
          <w:szCs w:val="28"/>
        </w:rPr>
        <w:t>.BM</w:t>
      </w:r>
    </w:p>
    <w:p w14:paraId="24BCC9A5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Obwieszczenie</w:t>
      </w:r>
    </w:p>
    <w:p w14:paraId="79908BF7" w14:textId="421A96F5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 xml:space="preserve">o wydaniu decyzji o </w:t>
      </w:r>
      <w:r w:rsidR="00EF0F12">
        <w:rPr>
          <w:rFonts w:eastAsia="Times New Roman" w:cstheme="minorHAnsi"/>
          <w:sz w:val="28"/>
          <w:szCs w:val="28"/>
        </w:rPr>
        <w:t>odmowie zgody na realizację przedsięwzięcia</w:t>
      </w:r>
    </w:p>
    <w:p w14:paraId="708F1435" w14:textId="6C6A8491" w:rsidR="00D41FE4" w:rsidRPr="00E24C80" w:rsidRDefault="00D0263E" w:rsidP="00F80DB4">
      <w:pPr>
        <w:spacing w:after="120" w:line="240" w:lineRule="auto"/>
        <w:ind w:firstLine="708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awiadamiam</w:t>
      </w:r>
      <w:r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strony postępowania, że Burmistrz Śremu </w:t>
      </w:r>
      <w:r w:rsidR="00EF0F12">
        <w:rPr>
          <w:rFonts w:eastAsia="Times New Roman" w:cstheme="minorHAnsi"/>
          <w:sz w:val="28"/>
          <w:szCs w:val="28"/>
          <w:lang w:eastAsia="pl-PL"/>
        </w:rPr>
        <w:t xml:space="preserve">na mocy decyzji z 7 kwietnia 2026 r. odmówił zgody na realizację przedsięwzięcia, planowanego przez osoby fizyczne, polegającego na </w:t>
      </w:r>
      <w:r w:rsidR="00EF0F12" w:rsidRPr="00EF0F12">
        <w:rPr>
          <w:rFonts w:eastAsia="Times New Roman" w:cstheme="minorHAnsi"/>
          <w:b/>
          <w:bCs/>
          <w:sz w:val="28"/>
          <w:szCs w:val="28"/>
          <w:lang w:eastAsia="pl-PL"/>
        </w:rPr>
        <w:t>wykonaniu urządzenia wodnego – deszczowni przenośnej rurowej na działkach o nr ewid. : 354; 353 i 391, obręb Dąbrowa do nawadniania upraw rolniczych znajdujących się na tych działkach</w:t>
      </w:r>
      <w:r w:rsidR="008F3048">
        <w:rPr>
          <w:rFonts w:eastAsia="Times New Roman" w:cstheme="minorHAnsi"/>
          <w:bCs/>
          <w:sz w:val="28"/>
          <w:szCs w:val="28"/>
          <w:lang w:eastAsia="pl-PL"/>
        </w:rPr>
        <w:t>, w związku ze stwierdzeniem niezgodności lokalizacji przedsięwzięcia z ustaleniami miejscowego planu zagospodarowania przestrzennego.</w:t>
      </w:r>
      <w:r w:rsidR="00BD5A34" w:rsidRPr="00EF0F12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</w:p>
    <w:p w14:paraId="45576EAD" w14:textId="4575BFFC" w:rsidR="00BD5A34" w:rsidRPr="00D54DF8" w:rsidRDefault="00BD5A34" w:rsidP="00F80DB4">
      <w:pPr>
        <w:spacing w:after="120" w:line="240" w:lineRule="auto"/>
        <w:ind w:firstLine="708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Od decyzji służy stronie prawo wniesienia odwołania do Samorządowego Kolegium Odwoławczego w Poznaniu, za pośrednictwem Burmistrza Śremu, w terminie 14 dni od dnia doręczenia. 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Przed upływem terminu do wniesienia odwołania </w:t>
      </w:r>
      <w:r w:rsidR="00D0263E">
        <w:rPr>
          <w:rFonts w:eastAsia="Times New Roman" w:cstheme="minorHAnsi"/>
          <w:sz w:val="28"/>
          <w:szCs w:val="28"/>
          <w:lang w:eastAsia="pl-PL"/>
        </w:rPr>
        <w:t>s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trona może zrzec się prawa do wniesienia odwołania wobec organu administracji publicznej, który wydał decyzję</w:t>
      </w:r>
      <w:r w:rsidR="00D0263E">
        <w:rPr>
          <w:rFonts w:eastAsia="Times New Roman" w:cstheme="minorHAnsi"/>
          <w:sz w:val="28"/>
          <w:szCs w:val="28"/>
          <w:lang w:eastAsia="pl-PL"/>
        </w:rPr>
        <w:t>,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 zgodnie z art. 127a § 1 ustawy z dnia 14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czerwca 1960 r. – Kodeks postępowania administracyjnego </w:t>
      </w:r>
      <w:r w:rsidR="00D0263E" w:rsidRPr="00E24C80">
        <w:rPr>
          <w:rFonts w:eastAsia="Times New Roman" w:cstheme="minorHAnsi"/>
          <w:sz w:val="28"/>
          <w:szCs w:val="28"/>
          <w:lang w:eastAsia="pl-PL"/>
        </w:rPr>
        <w:t>(</w:t>
      </w:r>
      <w:r w:rsidR="00E24C80" w:rsidRPr="00E24C80">
        <w:rPr>
          <w:rFonts w:eastAsia="Times New Roman" w:cstheme="minorHAnsi"/>
          <w:sz w:val="28"/>
          <w:szCs w:val="28"/>
          <w:lang w:eastAsia="pl-PL"/>
        </w:rPr>
        <w:t>Dz. U. z 2025 r. poz. 1691</w:t>
      </w:r>
      <w:r w:rsidR="00D0263E" w:rsidRPr="00E24C80">
        <w:rPr>
          <w:rFonts w:eastAsia="Times New Roman" w:cstheme="minorHAnsi"/>
          <w:sz w:val="28"/>
          <w:szCs w:val="28"/>
          <w:lang w:eastAsia="pl-PL"/>
        </w:rPr>
        <w:t>).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 Z dniem doręczenia organowi administracji publicznej oświadczenia o zrzeczeniu się prawa do wniesienia odwołania przez ostatnią ze </w:t>
      </w:r>
      <w:r w:rsidR="00D0263E">
        <w:rPr>
          <w:rFonts w:eastAsia="Times New Roman" w:cstheme="minorHAnsi"/>
          <w:sz w:val="28"/>
          <w:szCs w:val="28"/>
          <w:lang w:eastAsia="pl-PL"/>
        </w:rPr>
        <w:t>s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tron postępowania, decyzja staje się ostateczna i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prawomocna.</w:t>
      </w:r>
      <w:r w:rsidR="00D0263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Doręczenie przez obwieszczenie uważa się za dokonane po 14</w:t>
      </w:r>
      <w:r w:rsidR="008A1C0E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dniach od dnia publicznego ogłoszenia stosownie do art. 49 </w:t>
      </w:r>
      <w:r w:rsidR="00D0263E">
        <w:rPr>
          <w:rFonts w:eastAsia="Times New Roman" w:cstheme="minorHAnsi"/>
          <w:sz w:val="28"/>
          <w:szCs w:val="28"/>
          <w:lang w:eastAsia="pl-PL"/>
        </w:rPr>
        <w:t>przywołanej ustawy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0D2146EB" w14:textId="5BCD65A7" w:rsidR="00DC053D" w:rsidRDefault="00BD5A34" w:rsidP="00F80DB4">
      <w:pPr>
        <w:spacing w:after="120" w:line="240" w:lineRule="auto"/>
        <w:ind w:firstLine="708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Jednocześnie, podaję do publicznej wiadomości informację, że z treścią decyzji oraz z dokumentacją sprawy</w:t>
      </w:r>
      <w:r w:rsidR="00EF0F12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można zapoznać się w Urzędzie Miejskim w Śremie (ul.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>Plac 20 Października</w:t>
      </w:r>
      <w:r w:rsidR="00265CEF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1, pok. 33), w godzinach od 7:00 do 15:00.</w:t>
      </w:r>
    </w:p>
    <w:p w14:paraId="626D4A90" w14:textId="0E817322" w:rsidR="000B663C" w:rsidRDefault="00BD5A34" w:rsidP="000B663C">
      <w:pPr>
        <w:spacing w:after="120" w:line="240" w:lineRule="auto"/>
        <w:ind w:firstLine="709"/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Z treścią decyzji można zapoznać się również w Biuletynie Informacji Publicznej Urzędu Miejskiego w Śremie </w:t>
      </w:r>
      <w:hyperlink r:id="rId8" w:history="1">
        <w:r w:rsidR="00EF0F12" w:rsidRPr="00EF0F12">
          <w:rPr>
            <w:rStyle w:val="Hipercze"/>
            <w:sz w:val="28"/>
            <w:szCs w:val="28"/>
          </w:rPr>
          <w:t>https://bip.srem.pl/public/?id=238870</w:t>
        </w:r>
      </w:hyperlink>
      <w:r w:rsidR="000B663C" w:rsidRPr="00EF0F12">
        <w:rPr>
          <w:sz w:val="28"/>
          <w:szCs w:val="28"/>
        </w:rPr>
        <w:t>.</w:t>
      </w:r>
    </w:p>
    <w:p w14:paraId="73E69AC5" w14:textId="77777777" w:rsidR="000B663C" w:rsidRPr="000B663C" w:rsidRDefault="000B663C" w:rsidP="000B663C">
      <w:pPr>
        <w:spacing w:after="120" w:line="240" w:lineRule="auto"/>
        <w:ind w:left="4394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0B663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Grzegorz Wiśniewski</w:t>
      </w:r>
    </w:p>
    <w:p w14:paraId="70CC64A9" w14:textId="77777777" w:rsidR="000B663C" w:rsidRPr="000B663C" w:rsidRDefault="000B663C" w:rsidP="000B663C">
      <w:pPr>
        <w:spacing w:after="120" w:line="240" w:lineRule="auto"/>
        <w:ind w:left="4394"/>
        <w:jc w:val="center"/>
        <w:rPr>
          <w:rFonts w:ascii="Calibri" w:eastAsia="Times New Roman" w:hAnsi="Calibri" w:cs="Calibri"/>
          <w:i/>
          <w:kern w:val="2"/>
          <w:sz w:val="28"/>
          <w:szCs w:val="28"/>
          <w:lang w:eastAsia="pl-PL"/>
          <w14:ligatures w14:val="standardContextual"/>
        </w:rPr>
      </w:pPr>
      <w:r w:rsidRPr="000B663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Burmistrz Śremu</w:t>
      </w:r>
    </w:p>
    <w:p w14:paraId="6A45C5F6" w14:textId="4B4A6D68" w:rsidR="00BD5A34" w:rsidRPr="0063592D" w:rsidRDefault="00BD5A34" w:rsidP="00F80DB4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EF0F12">
        <w:rPr>
          <w:rFonts w:eastAsia="Times New Roman" w:cstheme="minorHAnsi"/>
          <w:sz w:val="28"/>
          <w:szCs w:val="28"/>
          <w:lang w:eastAsia="pl-PL"/>
        </w:rPr>
        <w:t>09.04</w:t>
      </w:r>
      <w:r w:rsidR="00E24C80">
        <w:rPr>
          <w:rFonts w:eastAsia="Times New Roman" w:cstheme="minorHAnsi"/>
          <w:sz w:val="28"/>
          <w:szCs w:val="28"/>
          <w:lang w:eastAsia="pl-PL"/>
        </w:rPr>
        <w:t>.2026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1C855B2" w14:textId="77777777" w:rsidR="00BD5A34" w:rsidRPr="0063592D" w:rsidRDefault="00BD5A34" w:rsidP="00F80DB4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3F186F67" w14:textId="48C6F332" w:rsidR="00D0263E" w:rsidRDefault="00D0263E" w:rsidP="00F80DB4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DB7313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Podstawa prawna: </w:t>
      </w:r>
      <w:r w:rsidRPr="0063592D">
        <w:rPr>
          <w:rFonts w:eastAsia="Times New Roman" w:cstheme="minorHAnsi"/>
          <w:sz w:val="28"/>
          <w:szCs w:val="28"/>
          <w:lang w:eastAsia="pl-PL"/>
        </w:rPr>
        <w:t>art. 73 ust. 1</w:t>
      </w:r>
      <w:r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63592D">
        <w:rPr>
          <w:rFonts w:eastAsia="Times New Roman" w:cstheme="minorHAnsi"/>
          <w:sz w:val="28"/>
          <w:szCs w:val="28"/>
          <w:lang w:eastAsia="pl-PL"/>
        </w:rPr>
        <w:t>art. 74 ust. 3</w:t>
      </w:r>
      <w:r>
        <w:rPr>
          <w:rFonts w:eastAsia="Times New Roman" w:cstheme="minorHAnsi"/>
          <w:sz w:val="28"/>
          <w:szCs w:val="28"/>
          <w:lang w:eastAsia="pl-PL"/>
        </w:rPr>
        <w:t xml:space="preserve"> oraz art. 85 ust. 3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ustawy z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 3 października 2008 r. o udostępnianiu informacji o środowisku i jego ochronie, udziale społeczeństwa w ochronie środowiska oraz o ocenach oddziaływania na środowisko </w:t>
      </w:r>
      <w:r w:rsidRPr="00BD5A34">
        <w:rPr>
          <w:rFonts w:eastAsia="Times New Roman" w:cstheme="minorHAnsi"/>
          <w:sz w:val="28"/>
          <w:szCs w:val="28"/>
          <w:lang w:eastAsia="pl-PL"/>
        </w:rPr>
        <w:t>(</w:t>
      </w:r>
      <w:r w:rsidR="00566AC2" w:rsidRPr="00566AC2">
        <w:rPr>
          <w:rFonts w:eastAsia="Times New Roman" w:cstheme="minorHAnsi"/>
          <w:sz w:val="28"/>
          <w:szCs w:val="28"/>
          <w:lang w:eastAsia="pl-PL"/>
        </w:rPr>
        <w:t xml:space="preserve">Dz. U. z </w:t>
      </w:r>
      <w:r w:rsidR="00C552DF">
        <w:rPr>
          <w:rFonts w:eastAsia="Times New Roman" w:cstheme="minorHAnsi"/>
          <w:sz w:val="28"/>
          <w:szCs w:val="28"/>
          <w:lang w:eastAsia="pl-PL"/>
        </w:rPr>
        <w:t>2024 r. poz. 1112</w:t>
      </w:r>
      <w:r w:rsidR="00116E81">
        <w:rPr>
          <w:rFonts w:eastAsia="Times New Roman" w:cstheme="minorHAnsi"/>
          <w:sz w:val="28"/>
          <w:szCs w:val="28"/>
          <w:lang w:eastAsia="pl-PL"/>
        </w:rPr>
        <w:t>, 1940</w:t>
      </w:r>
      <w:r w:rsidR="00E24C80">
        <w:rPr>
          <w:rFonts w:eastAsia="Times New Roman" w:cstheme="minorHAnsi"/>
          <w:sz w:val="28"/>
          <w:szCs w:val="28"/>
          <w:lang w:eastAsia="pl-PL"/>
        </w:rPr>
        <w:t xml:space="preserve"> i</w:t>
      </w:r>
      <w:r w:rsidR="004D3E4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16E81">
        <w:rPr>
          <w:rFonts w:eastAsia="Times New Roman" w:cstheme="minorHAnsi"/>
          <w:sz w:val="28"/>
          <w:szCs w:val="28"/>
          <w:lang w:eastAsia="pl-PL"/>
        </w:rPr>
        <w:t>1881</w:t>
      </w:r>
      <w:r w:rsidR="004D3E4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E24C80">
        <w:rPr>
          <w:rFonts w:eastAsia="Times New Roman" w:cstheme="minorHAnsi"/>
          <w:sz w:val="28"/>
          <w:szCs w:val="28"/>
          <w:lang w:eastAsia="pl-PL"/>
        </w:rPr>
        <w:t>oraz</w:t>
      </w:r>
      <w:r w:rsidR="004D3E4D">
        <w:rPr>
          <w:rFonts w:eastAsia="Times New Roman" w:cstheme="minorHAnsi"/>
          <w:sz w:val="28"/>
          <w:szCs w:val="28"/>
          <w:lang w:eastAsia="pl-PL"/>
        </w:rPr>
        <w:t> z 2025 r. poz. 1535</w:t>
      </w:r>
      <w:r w:rsidRPr="00BD5A34">
        <w:rPr>
          <w:rFonts w:eastAsia="Times New Roman" w:cstheme="minorHAnsi"/>
          <w:sz w:val="28"/>
          <w:szCs w:val="28"/>
          <w:lang w:eastAsia="pl-PL"/>
        </w:rPr>
        <w:t>)</w:t>
      </w:r>
      <w:r w:rsidR="00DB7313">
        <w:rPr>
          <w:rFonts w:eastAsia="Times New Roman" w:cstheme="minorHAnsi"/>
          <w:sz w:val="28"/>
          <w:szCs w:val="28"/>
          <w:lang w:eastAsia="pl-PL"/>
        </w:rPr>
        <w:t>.</w:t>
      </w:r>
    </w:p>
    <w:p w14:paraId="0D525645" w14:textId="77777777" w:rsidR="00D0263E" w:rsidRPr="0063592D" w:rsidRDefault="00D0263E" w:rsidP="00F80DB4">
      <w:pPr>
        <w:spacing w:after="120" w:line="240" w:lineRule="auto"/>
        <w:ind w:firstLine="708"/>
        <w:rPr>
          <w:rFonts w:eastAsia="Times New Roman" w:cstheme="minorHAnsi"/>
          <w:sz w:val="28"/>
          <w:szCs w:val="28"/>
          <w:lang w:eastAsia="pl-PL"/>
        </w:rPr>
      </w:pPr>
    </w:p>
    <w:p w14:paraId="1B71D3CF" w14:textId="77777777" w:rsidR="00BD5A34" w:rsidRPr="0063592D" w:rsidRDefault="00BD5A34" w:rsidP="00BD5A34">
      <w:pPr>
        <w:rPr>
          <w:rFonts w:eastAsia="Times New Roman" w:cstheme="minorHAnsi"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bCs/>
          <w:sz w:val="28"/>
          <w:szCs w:val="28"/>
          <w:lang w:eastAsia="pl-PL"/>
        </w:rPr>
        <w:br w:type="page"/>
      </w:r>
    </w:p>
    <w:p w14:paraId="38BED7A1" w14:textId="77777777" w:rsidR="00E24C80" w:rsidRPr="00E24C80" w:rsidRDefault="00E24C80" w:rsidP="00E24C80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E24C80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0C6304C6" w14:textId="77777777" w:rsidR="00E24C80" w:rsidRPr="00E24C80" w:rsidRDefault="00E24C80" w:rsidP="00E24C80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E24C80"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4DBAC5C5" w14:textId="77777777" w:rsidR="00E24C80" w:rsidRPr="00E24C80" w:rsidRDefault="00E24C80" w:rsidP="00797713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E24C80"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32DC5BDF" w14:textId="77777777" w:rsidR="00797713" w:rsidRPr="00797713" w:rsidRDefault="00797713" w:rsidP="00797713">
      <w:pPr>
        <w:spacing w:after="0" w:line="240" w:lineRule="auto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Śrem, 7 kwietnia 2026 r.</w:t>
      </w:r>
    </w:p>
    <w:p w14:paraId="4ABD4790" w14:textId="77777777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PPSOŚ.6220.1.2026.BM</w:t>
      </w:r>
    </w:p>
    <w:p w14:paraId="5A6F3913" w14:textId="77777777" w:rsidR="00797713" w:rsidRPr="00797713" w:rsidRDefault="00797713" w:rsidP="00797713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t>Decyzja</w:t>
      </w:r>
    </w:p>
    <w:p w14:paraId="77ED7EF7" w14:textId="77777777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ab/>
        <w:t>Na podstawie art. 59a ust. 3 pkt 1, art. 71 ust. 2 pkt 2, art. 75 ust. 1 pkt 4, art. 80 ust. 2 ustawy z dnia 3 października 2008 r. o udostępnianiu informacji o środowisku i jego ochronie, udziale społeczeństwa w ochronie środowiska oraz o ocenach oddziaływania na środowisko (</w:t>
      </w:r>
      <w:r w:rsidRPr="0079771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 2024 r. poz. 1112, 1940 i 1881 oraz z 2025 r. poz. 1535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), zwanej dalej </w:t>
      </w:r>
      <w:proofErr w:type="spellStart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.,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br/>
      </w:r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§ 3 ust. 1 pkt 89 lit. b rozporządzenia Rady Ministrów z dnia 10 września 2019 r. w sprawie przedsięwzięć mogących znacząco oddziaływać na środowisko (Dz. U. poz. 1839, z 2022 r. poz. 1071 i z 2023 r. poz. 1724) 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oraz art. 104 ustawy z dnia 14 czerwca 1960 r. – Kodeks postępowania administracyjnego (Dz. U. z 2025 r. poz. 1691), zwanej dalej K.p.a.,</w:t>
      </w:r>
    </w:p>
    <w:p w14:paraId="6D2CCD9A" w14:textId="77777777" w:rsidR="00797713" w:rsidRPr="00797713" w:rsidRDefault="00797713" w:rsidP="00797713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po rozpatrzeniu</w:t>
      </w:r>
    </w:p>
    <w:p w14:paraId="6AD88128" w14:textId="43232B92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wniosku </w:t>
      </w:r>
      <w:r w:rsidRPr="00797713">
        <w:rPr>
          <w:rFonts w:ascii="Calibri" w:eastAsia="Times New Roman" w:hAnsi="Calibri" w:cs="Calibri"/>
          <w:sz w:val="28"/>
          <w:szCs w:val="28"/>
          <w:highlight w:val="black"/>
          <w:lang w:eastAsia="pl-PL"/>
        </w:rPr>
        <w:t>……………………………………………………………………………………….………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, </w:t>
      </w:r>
      <w:r w:rsidRPr="00797713">
        <w:rPr>
          <w:rFonts w:ascii="Calibri" w:eastAsia="Times New Roman" w:hAnsi="Calibri" w:cs="Calibri"/>
          <w:sz w:val="28"/>
          <w:szCs w:val="28"/>
          <w:highlight w:val="black"/>
          <w:lang w:eastAsia="pl-PL"/>
        </w:rPr>
        <w:t>………………………………………………………………………….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, o wydanie decyzji o środowiskowych uwarunkowaniach dla planowanego przedsięwzięcia polegającego na </w:t>
      </w:r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wykonaniu urządzenia wodnego – deszczowni przenośnej rurowej do </w:t>
      </w:r>
      <w:proofErr w:type="spellStart"/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t>nawodnień</w:t>
      </w:r>
      <w:proofErr w:type="spellEnd"/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gruntów rolnych na działkach o nr ewid.: 354; 353 i 391, obręb Dąbrowa oraz nawadnianiu upraw rolniczych za pomocą urządzeń melioracji wodnych – deszczowni na działkach o nr ewid.: 354; 353 i 391, obręb Dąbrowa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,</w:t>
      </w:r>
    </w:p>
    <w:p w14:paraId="0EDFD13F" w14:textId="77777777" w:rsidR="00797713" w:rsidRPr="00797713" w:rsidRDefault="00797713" w:rsidP="00797713">
      <w:pPr>
        <w:spacing w:after="120" w:line="240" w:lineRule="auto"/>
        <w:jc w:val="center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b/>
          <w:sz w:val="28"/>
          <w:szCs w:val="28"/>
          <w:lang w:eastAsia="pl-PL"/>
        </w:rPr>
        <w:t>odmawiam</w:t>
      </w:r>
    </w:p>
    <w:p w14:paraId="3B6B1F26" w14:textId="77777777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b/>
          <w:sz w:val="28"/>
          <w:szCs w:val="28"/>
          <w:lang w:eastAsia="pl-PL"/>
        </w:rPr>
        <w:t xml:space="preserve">zgody na realizację przedsięwzięcia 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polegającego na </w:t>
      </w:r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wykonaniu urządzenia wodnego – deszczowni przenośnej rurowej na działkach o nr ewid.: 354; 353 i 391, obręb Dąbrowa do nawadniania upraw rolniczych znajdujących się na tych działkach, </w:t>
      </w:r>
      <w:r w:rsidRPr="00797713">
        <w:rPr>
          <w:rFonts w:ascii="Calibri" w:eastAsia="Times New Roman" w:hAnsi="Calibri" w:cs="Calibri"/>
          <w:b/>
          <w:sz w:val="28"/>
          <w:szCs w:val="28"/>
          <w:lang w:eastAsia="pl-PL"/>
        </w:rPr>
        <w:t>w związku ze stwierdzeniem niezgodności lokalizacji przedsięwzięcia z ustaleniami miejscowego planu zagospodarowania przestrzennego.</w:t>
      </w:r>
    </w:p>
    <w:p w14:paraId="1796D6AA" w14:textId="77777777" w:rsidR="00797713" w:rsidRPr="00797713" w:rsidRDefault="00797713" w:rsidP="00797713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Uzasadnienie</w:t>
      </w:r>
    </w:p>
    <w:p w14:paraId="10B5F3C7" w14:textId="7CBCA511" w:rsidR="00797713" w:rsidRPr="00797713" w:rsidRDefault="00797713" w:rsidP="00797713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20.02.2026 r. do Burmistrza Śremu wpłynął wniosek </w:t>
      </w:r>
      <w:r w:rsidRPr="00797713">
        <w:rPr>
          <w:rFonts w:ascii="Calibri" w:eastAsia="Times New Roman" w:hAnsi="Calibri" w:cs="Calibri"/>
          <w:sz w:val="28"/>
          <w:szCs w:val="28"/>
          <w:highlight w:val="black"/>
          <w:lang w:eastAsia="pl-PL"/>
        </w:rPr>
        <w:t>…………………………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97713">
        <w:rPr>
          <w:rFonts w:ascii="Calibri" w:eastAsia="Times New Roman" w:hAnsi="Calibri" w:cs="Calibri"/>
          <w:sz w:val="28"/>
          <w:szCs w:val="28"/>
          <w:highlight w:val="black"/>
          <w:lang w:eastAsia="pl-PL"/>
        </w:rPr>
        <w:t>………………………………………………………………………………………………………………….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,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br/>
      </w:r>
      <w:r w:rsidRPr="00797713">
        <w:rPr>
          <w:rFonts w:ascii="Calibri" w:eastAsia="Times New Roman" w:hAnsi="Calibri" w:cs="Calibri"/>
          <w:sz w:val="28"/>
          <w:szCs w:val="28"/>
          <w:highlight w:val="black"/>
          <w:lang w:eastAsia="pl-PL"/>
        </w:rPr>
        <w:t>………………………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, o wydanie decyzji o środowiskowych uwarunkowaniach dla planowanego przedsięwzięcia polegającego na </w:t>
      </w:r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wykonaniu urządzenia </w:t>
      </w:r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lastRenderedPageBreak/>
        <w:t>wodnego – deszczowni przenośnej rurowej na działkach o nr ewid.: 354; 353 i 391, obręb Dąbrowa do nawadniania upraw rolniczych znajdujących się na tych działkach</w:t>
      </w:r>
      <w:r w:rsidRPr="00797713">
        <w:rPr>
          <w:rFonts w:ascii="Calibri" w:eastAsia="Calibri" w:hAnsi="Calibri" w:cs="Calibri"/>
          <w:bCs/>
          <w:sz w:val="28"/>
          <w:szCs w:val="28"/>
        </w:rPr>
        <w:t>.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97713">
        <w:rPr>
          <w:rFonts w:ascii="Calibri" w:eastAsia="Calibri" w:hAnsi="Calibri" w:cs="Calibri"/>
          <w:sz w:val="28"/>
          <w:szCs w:val="28"/>
        </w:rPr>
        <w:t>Do wniosku załączona została karta informacyjna przedsięwzięcia wraz z wymaganymi załącznikami.</w:t>
      </w:r>
    </w:p>
    <w:p w14:paraId="2F55DFBA" w14:textId="77777777" w:rsidR="00797713" w:rsidRPr="00797713" w:rsidRDefault="00797713" w:rsidP="00797713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73 ust.1 </w:t>
      </w:r>
      <w:proofErr w:type="spellStart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. postępowanie w sprawie wydania decyzji o środowiskowych uwarunkowaniach wszczyna się na wniosek podmiotu planującego podjęcie realizacji przedsięwzięcia.</w:t>
      </w:r>
    </w:p>
    <w:p w14:paraId="0C74B286" w14:textId="77777777" w:rsidR="00797713" w:rsidRPr="00797713" w:rsidRDefault="00797713" w:rsidP="00797713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Calibri" w:hAnsi="Calibri" w:cs="Calibri"/>
          <w:sz w:val="28"/>
          <w:szCs w:val="28"/>
        </w:rPr>
        <w:t xml:space="preserve">W przypadku przedmiotowego przedsięwzięcia właściwym organem do wydania decyzji o środowiskowych uwarunkowaniach jest Burmistrz Śremu (art. 75 ust. 1 pkt 4 </w:t>
      </w:r>
      <w:proofErr w:type="spellStart"/>
      <w:r w:rsidRPr="00797713">
        <w:rPr>
          <w:rFonts w:ascii="Calibri" w:eastAsia="Calibri" w:hAnsi="Calibri" w:cs="Calibri"/>
          <w:sz w:val="28"/>
          <w:szCs w:val="28"/>
        </w:rPr>
        <w:t>u.o.o.ś</w:t>
      </w:r>
      <w:proofErr w:type="spellEnd"/>
      <w:r w:rsidRPr="00797713">
        <w:rPr>
          <w:rFonts w:ascii="Calibri" w:eastAsia="Calibri" w:hAnsi="Calibri" w:cs="Calibri"/>
          <w:sz w:val="28"/>
          <w:szCs w:val="28"/>
        </w:rPr>
        <w:t xml:space="preserve">.). </w:t>
      </w:r>
    </w:p>
    <w:p w14:paraId="73F16AE2" w14:textId="77777777" w:rsidR="00797713" w:rsidRPr="00797713" w:rsidRDefault="00797713" w:rsidP="00797713">
      <w:pPr>
        <w:spacing w:after="120" w:line="240" w:lineRule="auto"/>
        <w:ind w:firstLine="708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797713">
        <w:rPr>
          <w:rFonts w:ascii="Calibri" w:eastAsia="Calibri" w:hAnsi="Calibri" w:cs="Calibri"/>
          <w:sz w:val="28"/>
          <w:szCs w:val="28"/>
        </w:rPr>
        <w:t xml:space="preserve">Planowane przedsięwzięcie polega na </w:t>
      </w:r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wykonaniu urządzenia wodnego – deszczowni przenośnej rurowej do </w:t>
      </w:r>
      <w:proofErr w:type="spellStart"/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t>nawodnień</w:t>
      </w:r>
      <w:proofErr w:type="spellEnd"/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gruntów rolnych oraz nawadnianiu upraw rolniczych za pomocą urządzeń melioracji wodnych – deszczowni, na terenie o łącznej powierzchni przeznaczonej do nawadniania wynoszącej 5,7504 ha, na działkach o nr ewid.: 354; 353 i 391, obręb Dąbrowa. </w:t>
      </w:r>
    </w:p>
    <w:p w14:paraId="0F9E66C0" w14:textId="77777777" w:rsidR="00797713" w:rsidRPr="00797713" w:rsidRDefault="00797713" w:rsidP="00797713">
      <w:pPr>
        <w:spacing w:after="120" w:line="240" w:lineRule="auto"/>
        <w:ind w:firstLine="708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797713">
        <w:rPr>
          <w:rFonts w:ascii="Calibri" w:eastAsia="Calibri" w:hAnsi="Calibri" w:cs="Calibri"/>
          <w:sz w:val="28"/>
          <w:szCs w:val="28"/>
        </w:rPr>
        <w:t>Teren przeznaczony pod planowane przedsięwzięcie znajduje się na</w:t>
      </w:r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obszarach objętych formami ochrony przyrody, o których mowa w art. 6 ust. 1 pkt 1 - 5, 8 i 9 ustawy z dnia 16 kwietnia 2004 r. o ochronie przyrody (Dz. U. z 2026 r. poz. 13), a mianowicie w obszarze mającym znaczenie dla Wspólnoty PLH300012 Rogalińska Dolina Warty i obszarze specjalnej ochrony ptaków PLB300017 Ostoja Rogalińska, a także w granicach Zespołu Przyrodniczo-Krajobrazowego „Łęgi Mechlińskie”.</w:t>
      </w:r>
    </w:p>
    <w:p w14:paraId="4AD896F6" w14:textId="77777777" w:rsidR="00797713" w:rsidRPr="00797713" w:rsidRDefault="00797713" w:rsidP="00797713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bookmarkStart w:id="0" w:name="_Hlk198794752"/>
      <w:r w:rsidRPr="00797713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Przedmiotowe przedsięwzięcie zakwalifikowano do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97713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przedsięwzięć mogących potencjalnie znacząco oddziaływać na środowisko</w:t>
      </w:r>
      <w:bookmarkEnd w:id="0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, dla których obowiązek przeprowadzenia oceny oddziaływania na środowisko może być stwierdzony, wymienionych w rozporządzeniu Rady Ministrów z dnia 10 września 2019 r. w sprawie przedsięwzięć mogących znacząco oddziaływać na środowisko w </w:t>
      </w:r>
      <w:r w:rsidRPr="00797713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§ 3 ust. 1 pkt 89 lit. b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: „</w:t>
      </w:r>
      <w:r w:rsidRPr="00797713">
        <w:rPr>
          <w:rFonts w:ascii="Calibri" w:eastAsia="Calibri" w:hAnsi="Calibri" w:cs="Calibri"/>
          <w:sz w:val="28"/>
          <w:szCs w:val="28"/>
        </w:rPr>
        <w:t xml:space="preserve">gospodarowanie wodą w rolnictwie polegające na melioracji terenów znajdujących się na obszarach objętych formami ochrony przyrody, o których mowa </w:t>
      </w:r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t>art. 6 ust. 1 pkt 1 - 5, 8 i 9 ustawy z dnia 16 kwietnia 2004 r. o ochronie przyrody, lub w otulinach form ochrony przyrody, o których mowa w art. 6 ust. 1 pkt 1 – 3 tej ustawy, innej niż wymieniona w lit. a</w:t>
      </w:r>
      <w:r w:rsidRPr="00797713">
        <w:rPr>
          <w:rFonts w:ascii="Calibri" w:eastAsia="Times New Roman" w:hAnsi="Calibri" w:cs="Calibri"/>
          <w:bCs/>
          <w:sz w:val="28"/>
          <w:szCs w:val="28"/>
          <w:vertAlign w:val="superscript"/>
          <w:lang w:eastAsia="pl-PL"/>
        </w:rPr>
        <w:footnoteReference w:id="1"/>
      </w:r>
      <w:r w:rsidRPr="00797713">
        <w:rPr>
          <w:rFonts w:ascii="Calibri" w:eastAsia="Calibri" w:hAnsi="Calibri" w:cs="Calibri"/>
          <w:sz w:val="28"/>
          <w:szCs w:val="28"/>
        </w:rPr>
        <w:t>”.</w:t>
      </w:r>
    </w:p>
    <w:p w14:paraId="72243295" w14:textId="77777777" w:rsidR="00797713" w:rsidRPr="00797713" w:rsidRDefault="00797713" w:rsidP="00797713">
      <w:pPr>
        <w:spacing w:after="120" w:line="240" w:lineRule="auto"/>
        <w:ind w:firstLine="709"/>
        <w:rPr>
          <w:rFonts w:ascii="Calibri" w:eastAsia="Calibri" w:hAnsi="Calibri" w:cs="Calibri"/>
          <w:sz w:val="28"/>
          <w:szCs w:val="28"/>
        </w:rPr>
      </w:pPr>
    </w:p>
    <w:p w14:paraId="71B56873" w14:textId="77777777" w:rsidR="00797713" w:rsidRPr="00797713" w:rsidRDefault="00797713" w:rsidP="00797713">
      <w:pPr>
        <w:spacing w:after="120" w:line="240" w:lineRule="auto"/>
        <w:ind w:firstLine="709"/>
        <w:rPr>
          <w:rFonts w:ascii="Calibri" w:eastAsia="Calibri" w:hAnsi="Calibri" w:cs="Calibri"/>
          <w:sz w:val="28"/>
          <w:szCs w:val="28"/>
        </w:rPr>
      </w:pPr>
      <w:r w:rsidRPr="00797713">
        <w:rPr>
          <w:rFonts w:ascii="Calibri" w:eastAsia="Calibri" w:hAnsi="Calibri" w:cs="Calibri"/>
          <w:sz w:val="28"/>
          <w:szCs w:val="28"/>
        </w:rPr>
        <w:lastRenderedPageBreak/>
        <w:t xml:space="preserve">Stosownie do art. 74 ust. 3a </w:t>
      </w:r>
      <w:proofErr w:type="spellStart"/>
      <w:r w:rsidRPr="00797713">
        <w:rPr>
          <w:rFonts w:ascii="Calibri" w:eastAsia="Calibri" w:hAnsi="Calibri" w:cs="Calibri"/>
          <w:sz w:val="28"/>
          <w:szCs w:val="28"/>
        </w:rPr>
        <w:t>u.o.o.ś</w:t>
      </w:r>
      <w:proofErr w:type="spellEnd"/>
      <w:r w:rsidRPr="00797713">
        <w:rPr>
          <w:rFonts w:ascii="Calibri" w:eastAsia="Calibri" w:hAnsi="Calibri" w:cs="Calibri"/>
          <w:sz w:val="28"/>
          <w:szCs w:val="28"/>
        </w:rPr>
        <w:t>. Burmistrz Śremu ustalił krąg podmiotów, którym przysługuje przymiot strony. Przymiot strony postępowania otrzymali: wnioskodawcy i właściciele terenu, na którym zaplanowano realizację przedsięwzięcia (działki o nr ewid.: 354; 353 i 391, obręb Dąbrowa) oraz podmioty, którym przysługuje prawo rzeczowe do nieruchomości znajdujących się w obszarze wyznaczonym w odległości 100 m od granic terenu przedsięwzięcia. Obszar ten objął więc działki o nr ewid.: 328/2; 336; 356/16; 387; 351/8; 371; 388; 352; 348; 349/2; 355; 360; 359; 384; 357/1; 358; 385; 386; 337/2; 392; 5148/3; 5148/4; 370/4, obręb Dąbrowa.</w:t>
      </w:r>
    </w:p>
    <w:p w14:paraId="5774FA63" w14:textId="77777777" w:rsidR="00797713" w:rsidRPr="00797713" w:rsidRDefault="00797713" w:rsidP="00797713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Calibri" w:hAnsi="Calibri" w:cs="Calibri"/>
          <w:sz w:val="28"/>
          <w:szCs w:val="28"/>
        </w:rPr>
        <w:t xml:space="preserve">Zgodnie z art. 74 ust. 3 </w:t>
      </w:r>
      <w:proofErr w:type="spellStart"/>
      <w:r w:rsidRPr="00797713">
        <w:rPr>
          <w:rFonts w:ascii="Calibri" w:eastAsia="Calibri" w:hAnsi="Calibri" w:cs="Calibri"/>
          <w:sz w:val="28"/>
          <w:szCs w:val="28"/>
        </w:rPr>
        <w:t>u.o.o.ś</w:t>
      </w:r>
      <w:proofErr w:type="spellEnd"/>
      <w:r w:rsidRPr="00797713">
        <w:rPr>
          <w:rFonts w:ascii="Calibri" w:eastAsia="Calibri" w:hAnsi="Calibri" w:cs="Calibri"/>
          <w:sz w:val="28"/>
          <w:szCs w:val="28"/>
        </w:rPr>
        <w:t xml:space="preserve">., strony postępowania zostały powiadomione, w formie obwieszczenia z 09.03.2026 r., 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o wszczęciu postępowania administracyjnego oraz o możliwości zapoznania się i wypowiedzenia co do materiałów zgromadzonych w sprawie, w terminie do 29.03.2026 r. </w:t>
      </w:r>
      <w:r w:rsidRPr="00797713">
        <w:rPr>
          <w:rFonts w:ascii="Calibri" w:eastAsia="Calibri" w:hAnsi="Calibri" w:cs="Calibri"/>
          <w:sz w:val="28"/>
          <w:szCs w:val="28"/>
        </w:rPr>
        <w:t>Obwieszczenie zamieszczono w Biuletynie Informacji Publicznej Urzędu Miejskiego w Śremie (</w:t>
      </w:r>
      <w:hyperlink r:id="rId9" w:history="1">
        <w:r w:rsidRPr="00797713">
          <w:rPr>
            <w:rFonts w:ascii="Calibri" w:eastAsia="Calibri" w:hAnsi="Calibri" w:cs="Calibri"/>
            <w:color w:val="467886"/>
            <w:sz w:val="28"/>
            <w:szCs w:val="28"/>
            <w:u w:val="single"/>
          </w:rPr>
          <w:t>https://bip.srem.pl/public/?id=238870</w:t>
        </w:r>
      </w:hyperlink>
      <w:r w:rsidRPr="00797713">
        <w:rPr>
          <w:rFonts w:ascii="Calibri" w:eastAsia="Calibri" w:hAnsi="Calibri" w:cs="Calibri"/>
          <w:sz w:val="28"/>
          <w:szCs w:val="28"/>
        </w:rPr>
        <w:t xml:space="preserve">), w gablotach informacyjnych Urzędu oraz na tablicy ogłoszeniowej w Dąbrowie. 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Żadna ze stron postępowania nie skorzystała z przysługującego jej prawa.</w:t>
      </w:r>
    </w:p>
    <w:p w14:paraId="3DB6967C" w14:textId="77777777" w:rsidR="00797713" w:rsidRPr="00797713" w:rsidRDefault="00797713" w:rsidP="00797713">
      <w:pPr>
        <w:spacing w:after="120" w:line="240" w:lineRule="auto"/>
        <w:ind w:firstLine="709"/>
        <w:rPr>
          <w:rFonts w:ascii="Calibri" w:eastAsia="Times New Roman" w:hAnsi="Calibri" w:cs="Calibri"/>
          <w:b/>
          <w:bCs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80 ust. 2 </w:t>
      </w:r>
      <w:proofErr w:type="spellStart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. </w:t>
      </w:r>
      <w:r w:rsidRPr="00797713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właściwy organ wydaje decyzję o środowiskowych uwarunkowaniach po stwierdzeniu zgodności lokalizacji przedsięwzięcia z ustaleniami miejscowego planu zagospodarowania przestrzennego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, jeżeli plan ten został uchwalony. Natomiast zgodnie z art. 59a ust. 3 pkt 1 </w:t>
      </w:r>
      <w:proofErr w:type="spellStart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., </w:t>
      </w:r>
      <w:r w:rsidRPr="00797713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w przypadku stwierdzenia niezgodności lokalizacji przedsięwzięcia z ustaleniami miejscowego planu zagospodarowania przestrzennego, organ właściwy do wydania decyzji o środowiskowych uwarunkowaniach odmawia zgody na realizację przedsięwzięcia.</w:t>
      </w:r>
    </w:p>
    <w:p w14:paraId="20B7E9D1" w14:textId="77777777" w:rsidR="00797713" w:rsidRPr="00797713" w:rsidRDefault="00797713" w:rsidP="00797713">
      <w:pPr>
        <w:spacing w:after="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Przepisów art. 59a ust. 3 pkt 1 </w:t>
      </w:r>
      <w:proofErr w:type="spellStart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. nie stosuje się do decyzji o środowiskowych uwarunkowaniach wydawanej dla inwestycji strategicznych, mianowicie:</w:t>
      </w:r>
    </w:p>
    <w:p w14:paraId="4A91B770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drogi publicznej,</w:t>
      </w:r>
    </w:p>
    <w:p w14:paraId="53372C96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linii kolejowej, linii tramwajowej i metra realizowanych na podstawie ustawy z dnia 28 marca 2003 r. o transporcie kolejowym (Dz. U. z 2025 r. poz. 1234 i z 2026 r. poz. 41),</w:t>
      </w:r>
    </w:p>
    <w:p w14:paraId="06B65BB9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publicznych urządzeń służących do zaopatrzenia ludności w wodę,</w:t>
      </w:r>
    </w:p>
    <w:p w14:paraId="1CE98AE5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publicznych urządzeń służących do przesyłania i odprowadzania ścieków,</w:t>
      </w:r>
    </w:p>
    <w:p w14:paraId="46823FFE" w14:textId="77777777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0DDDD416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przedsięwzięć wymagających koncesji na poszukiwanie i rozpoznawanie złóż kopalin lub koncesji na wydobywanie kopalin ze złóż objętych własnością górniczą, a także koncesji na poszukiwanie i rozpoznawanie złóż węglowodorów oraz wydobywanie węglowodorów ze złóż, o których mowa w ustawie z dnia 9 czerwca 2011 r. - Prawo geologiczne i górnicze, z wyjątkiem przedsięwzięć realizowanych na obszarach morskich,</w:t>
      </w:r>
    </w:p>
    <w:p w14:paraId="121DF72F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inwestycji w zakresie terminalu realizowanej na podstawie ustawy z dnia 24 kwietnia 2009 r. o inwestycjach w zakresie terminalu </w:t>
      </w:r>
      <w:proofErr w:type="spellStart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regazyfikacyjnego</w:t>
      </w:r>
      <w:proofErr w:type="spellEnd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 skroplonego gazu ziemnego w Świnoujściu (Dz. U. z 2025 r. poz. 1222) w zakresie zadań inwestycyjnych, o których mowa w art. 2 ust. 2 tej ustawy, oraz inwestycji towarzyszących, o których mowa w art. 38 tej ustawy, zwanej dalej "inwestycją w zakresie terminalu",</w:t>
      </w:r>
    </w:p>
    <w:p w14:paraId="22A0797A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inwestycji związanej z regionalnymi sieciami szerokopasmowymi,</w:t>
      </w:r>
    </w:p>
    <w:p w14:paraId="01610807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inwestycji realizowanej na podstawie ustawy z dnia 8 lipca 2010 r. o szczególnych zasadach przygotowania do realizacji inwestycji w zakresie budowli przeciwpowodziowych (Dz. U. z 2026 r. poz. 104),</w:t>
      </w:r>
    </w:p>
    <w:p w14:paraId="027DABB2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inwestycji w zakresie budowy obiektów energetyki jądrowej lub inwestycji towarzyszących realizowanych na podstawie ustawy z dnia 29 czerwca 2011 r. o przygotowaniu i realizacji inwestycji w zakresie obiektów energetyki jądrowej oraz inwestycji towarzyszących (Dz. U. z 2025 r. poz. 1156),</w:t>
      </w:r>
    </w:p>
    <w:p w14:paraId="2A307327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strategicznej inwestycji w zakresie sieci przesyłowej oraz inwestycji towarzyszącej realizowanych na podstawie ustawy z dnia 24 lipca 2015 r. o przygotowaniu i realizacji strategicznych inwestycji w zakresie sieci przesyłowych (Dz. U. z 2024 r. poz. 1199),</w:t>
      </w:r>
    </w:p>
    <w:p w14:paraId="1FBE79F2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inwestycji w zakresie infrastruktury dostępowej realizowanej na podstawie ustawy z dnia 24 lutego 2017 r. o inwestycjach w zakresie budowy drogi wodnej łączącej Zalew Wiślany z Zatoką Gdańską (Dz. U. z 2024 r. poz. 285),</w:t>
      </w:r>
    </w:p>
    <w:p w14:paraId="6958EAC7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Inwestycji lub Inwestycji Towarzyszącej realizowanych na podstawie ustawy z dnia 10 maja 2018 r. o Centralnym Porcie Komunikacyjnym (Dz. U. z 2024 r. poz. 1747 i z 2025 r. 1531),</w:t>
      </w:r>
    </w:p>
    <w:p w14:paraId="1333BCC9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inwestycji mieszkaniowej oraz inwestycji towarzyszących realizowanych na podstawie ustawy z dnia 5 lipca 2018 r. o ułatwieniach w przygotowaniu i realizacji inwestycji mieszkaniowych oraz inwestycji towarzyszących (Dz. U. z 2025 r. 1754),</w:t>
      </w:r>
    </w:p>
    <w:p w14:paraId="42DE16C7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strategicznej inwestycji w sektorze naftowym,</w:t>
      </w:r>
    </w:p>
    <w:p w14:paraId="5D1CAD21" w14:textId="77777777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302AA6DA" w14:textId="77777777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6F4FC731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inwestycji w zakresie budowy Muzeum Westerplatte i Wojny 1939 - Oddziału Muzeum II Wojny Światowej w Gdańsku realizowanych na podstawie ustawy z dnia 19 lipca 2019 r. o inwestycjach w zakresie budowy Muzeum Westerplatte i Wojny 1939 - Oddziału Muzeum II Wojny Światowej w Gdańsku (Dz. U. z 2024 r. poz. 100),</w:t>
      </w:r>
    </w:p>
    <w:p w14:paraId="6299A660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inwestycji w zakresie budowy portu zewnętrznego realizowanej na podstawie ustawy z dnia 9 sierpnia 2019 r. o inwestycjach w zakresie budowy portów zewnętrznych (Dz. U. z 2024 r. poz. 1852 i z 2025 r. poz. 409),</w:t>
      </w:r>
    </w:p>
    <w:p w14:paraId="3B908937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inwestycji w zakresie odbudowy Pałacu Saskiego, Pałacu </w:t>
      </w:r>
      <w:proofErr w:type="spellStart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Brühla</w:t>
      </w:r>
      <w:proofErr w:type="spellEnd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 oraz kamienic przy ulicy Królewskiej w Warszawie realizowanych na podstawie ustawy z dnia 11 sierpnia 2021 r. o przygotowaniu i realizacji inwestycji w zakresie odbudowy Pałacu Saskiego, Pałacu </w:t>
      </w:r>
      <w:proofErr w:type="spellStart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Brühla</w:t>
      </w:r>
      <w:proofErr w:type="spellEnd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 oraz kamienic przy ulicy Królewskiej w Warszawie (Dz. U. z 2024 r. poz. 578),</w:t>
      </w:r>
    </w:p>
    <w:p w14:paraId="32ECE2BD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przedsięwzięć realizowanych na podstawie ustawy z dnia 2 grudnia 2021 r. o wsparciu przygotowania III Igrzysk Europejskich w 2023 roku (Dz. U. z 2024 r. poz. 75),</w:t>
      </w:r>
    </w:p>
    <w:p w14:paraId="44C34BBF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inwestycji w zakresie lotniska użytku publicznego realizowanej na podstawie ustawy z dnia 12 lutego 2009 r. o szczególnych zasadach przygotowania i realizacji inwestycji w zakresie lotnisk użytku publicznego (Dz. U. z 2024 r. poz. 1464),</w:t>
      </w:r>
    </w:p>
    <w:p w14:paraId="133DA51F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inwestycji realizowanych w interesie bezpieczeństwa i obronności w rozumieniu art. 2 pkt 9 ustawy z dnia 11 marca 2022 r. o obronie Ojczyzny (Dz. U. z 2025 r. poz. 825, 1014, 1080 i 718) na terenach zamkniętych określonych przez Ministra Obrony Narodowej,</w:t>
      </w:r>
    </w:p>
    <w:p w14:paraId="3EF45BB8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inwestycji w zakresie elektrowni szczytowo-pompowej realizowanej na podstawie ustawy z dnia 14 kwietnia 2023 r. o przygotowaniu i realizacji inwestycji w zakresie elektrowni szczytowo-pompowych oraz inwestycji towarzyszących (Dz. U. z 2025 r. poz. 264),</w:t>
      </w:r>
    </w:p>
    <w:p w14:paraId="3F6F8A4B" w14:textId="77777777" w:rsidR="00797713" w:rsidRPr="00797713" w:rsidRDefault="00797713">
      <w:pPr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inwestycji w zakresie infrastruktury portowej w rozumieniu ustawy z dnia 20 grudnia 1996 r. o portach i przystaniach morskich (Dz. U. z 2023 r. poz. 1796) przeznaczonej do obsługi budowy i eksploatacji morskich farm wiatrowych w rozumieniu ustawy z dnia 17 grudnia 2020 r. o promowaniu wytwarzania energii elektrycznej w morskich farmach wiatrowych (Dz. U. z 2025 r. poz. 498 i 1535),</w:t>
      </w:r>
    </w:p>
    <w:p w14:paraId="35194107" w14:textId="77777777" w:rsidR="00797713" w:rsidRPr="00797713" w:rsidRDefault="00797713">
      <w:pPr>
        <w:numPr>
          <w:ilvl w:val="0"/>
          <w:numId w:val="1"/>
        </w:numPr>
        <w:spacing w:after="120" w:line="240" w:lineRule="auto"/>
        <w:ind w:left="425" w:hanging="425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inwestycji w zakresie zespołów urządzeń służących do wyprowadzenia mocy w rozumieniu ustawy z dnia 17 grudnia 2020 r. o promowaniu wytwarzania energii elektrycznej w morskich farmach wiatrowych.</w:t>
      </w:r>
    </w:p>
    <w:p w14:paraId="24E084F5" w14:textId="77777777" w:rsidR="00797713" w:rsidRPr="00797713" w:rsidRDefault="00797713" w:rsidP="00797713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Przepisów art. 59a ust. 3 pkt 1 </w:t>
      </w:r>
      <w:proofErr w:type="spellStart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. nie stosuje się również do urządzeń infrastruktury technicznej objętych pracami budowlanymi w celu usunięcia kolizji z planowaną do realizacji inwestycją strategiczną.</w:t>
      </w:r>
    </w:p>
    <w:p w14:paraId="5459758F" w14:textId="77777777" w:rsidR="00797713" w:rsidRPr="00797713" w:rsidRDefault="00797713" w:rsidP="00797713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Planowane przedsięwzięcie nie stanowi inwestycji strategicznej.</w:t>
      </w:r>
    </w:p>
    <w:p w14:paraId="06FFBE87" w14:textId="77777777" w:rsidR="00797713" w:rsidRPr="00797713" w:rsidRDefault="00797713" w:rsidP="00797713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b/>
          <w:sz w:val="28"/>
          <w:szCs w:val="28"/>
          <w:lang w:eastAsia="pl-PL"/>
        </w:rPr>
        <w:t>Działki o nr ewid.: 354; 353 i 391, obręb Dąbrowa, objęte są ustaleniami obowiązującego miejscowego planu zagospodarowania przestrzennego „Łęgi Mechlińskie”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, uchwalonego uchwałą Nr 439/XLIV/2014 Rady Miejskiej w Śremie z dnia 27 marca 2014 r. (Dz. Urz. Woj. Wielk. poz. 3009) i przeznaczone są pod tereny zieleni otwartej, oznaczone symbolami 10ZO (działki o nr ewid. 353 i 354) i 12 ZO (działka o nr ewid. 391).</w:t>
      </w:r>
    </w:p>
    <w:p w14:paraId="1C3CF0C6" w14:textId="77777777" w:rsidR="00797713" w:rsidRPr="00797713" w:rsidRDefault="00797713" w:rsidP="00797713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ab/>
        <w:t xml:space="preserve">Na terenie przywołanego planu obowiązuje </w:t>
      </w:r>
      <w:r w:rsidRPr="00797713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zakaz lokalizacji przedsięwzięć mogących zawsze lub potencjalnie znacząco oddziaływać na środowisko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, w rozumieniu przepisów odrębnych (§ 5 pkt 9 uchwały).</w:t>
      </w:r>
    </w:p>
    <w:p w14:paraId="68EDAA74" w14:textId="77777777" w:rsidR="00797713" w:rsidRPr="00797713" w:rsidRDefault="00797713" w:rsidP="00797713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color w:val="FF0000"/>
          <w:sz w:val="28"/>
          <w:szCs w:val="28"/>
          <w:lang w:eastAsia="pl-PL"/>
        </w:rPr>
        <w:tab/>
      </w:r>
      <w:r w:rsidRPr="00797713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Przedmiotowe przedsięwzięcie kwalifikuje się do przedsięwzięć mogących potencjalnie znacząco oddziaływać na środowisko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 wymienionych w rozporządzenia Rady Ministrów z dnia 10 września 2019 r. w sprawie przedsięwzięć mogących znacząco oddziaływać na środowisko.</w:t>
      </w:r>
    </w:p>
    <w:p w14:paraId="00B10BC5" w14:textId="77777777" w:rsidR="00797713" w:rsidRPr="00797713" w:rsidRDefault="00797713" w:rsidP="00797713">
      <w:pPr>
        <w:spacing w:after="120" w:line="240" w:lineRule="auto"/>
        <w:ind w:firstLine="709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t>Biorąc powyższe pod uwagę</w:t>
      </w:r>
      <w:r w:rsidRPr="00797713">
        <w:rPr>
          <w:rFonts w:ascii="Calibri" w:eastAsia="Times New Roman" w:hAnsi="Calibri" w:cs="Calibri"/>
          <w:b/>
          <w:sz w:val="28"/>
          <w:szCs w:val="28"/>
          <w:lang w:eastAsia="pl-PL"/>
        </w:rPr>
        <w:t xml:space="preserve"> lokalizacja planowanego przedsięwzięcia nie jest zgodna z</w:t>
      </w:r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</w:t>
      </w:r>
      <w:r w:rsidRPr="00797713">
        <w:rPr>
          <w:rFonts w:ascii="Calibri" w:eastAsia="Times New Roman" w:hAnsi="Calibri" w:cs="Calibri"/>
          <w:b/>
          <w:sz w:val="28"/>
          <w:szCs w:val="28"/>
          <w:lang w:eastAsia="pl-PL"/>
        </w:rPr>
        <w:t xml:space="preserve">ustalenia obowiązującego planu. </w:t>
      </w:r>
    </w:p>
    <w:p w14:paraId="231D4010" w14:textId="77777777" w:rsidR="00797713" w:rsidRPr="00797713" w:rsidRDefault="00797713" w:rsidP="00797713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Zgodność lokalizacji przedsięwzięcia z ustaleniami miejscowego planu zagospodarowania jest podstawowym kryterium oceny zamierzeń inwestycyjnych podmiotu ubiegającego się o wydanie decyzji o środowiskowych uwarunkowaniach. Sprzeczność lokalizacji przedsięwzięcia z miejscowym planem zagospodarowania przestrzennego zwalnia organ prowadzący postępowanie z przeprowadzenia dalszych czynności w sprawie, w szczególności z przeprowadzenia oceny oddziaływania na środowisko, analizy i oceny wpływu danego przedsięwzięcia, uzgodnień z innymi organami i umożliwia odmówienie wydania decyzji środowiskowej.</w:t>
      </w:r>
    </w:p>
    <w:p w14:paraId="342F61D5" w14:textId="77777777" w:rsidR="00797713" w:rsidRPr="00797713" w:rsidRDefault="00797713" w:rsidP="00797713">
      <w:pPr>
        <w:spacing w:after="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Mając powyższe na uwadze orzeczono jak w sentencji decyzji.</w:t>
      </w:r>
    </w:p>
    <w:p w14:paraId="18C8FA51" w14:textId="77777777" w:rsidR="00797713" w:rsidRPr="00797713" w:rsidRDefault="00797713" w:rsidP="00797713">
      <w:pPr>
        <w:tabs>
          <w:tab w:val="left" w:pos="0"/>
        </w:tabs>
        <w:spacing w:after="8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Pouczenie</w:t>
      </w:r>
    </w:p>
    <w:p w14:paraId="7137ADA8" w14:textId="77777777" w:rsidR="00797713" w:rsidRPr="00797713" w:rsidRDefault="00797713" w:rsidP="00797713">
      <w:pPr>
        <w:tabs>
          <w:tab w:val="left" w:pos="0"/>
        </w:tabs>
        <w:spacing w:after="8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ab/>
        <w:t xml:space="preserve">Od niniejszej decyzji służy Stronie prawo wniesienia odwołania do Samorządowego Kolegium Odwoławczego w Poznaniu, za moim pośrednictwem, w terminie 14 dni od dnia doręczenia. </w:t>
      </w:r>
    </w:p>
    <w:p w14:paraId="000DFF62" w14:textId="77777777" w:rsidR="00797713" w:rsidRPr="00797713" w:rsidRDefault="00797713" w:rsidP="00797713">
      <w:pPr>
        <w:tabs>
          <w:tab w:val="left" w:pos="0"/>
        </w:tabs>
        <w:spacing w:after="8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ab/>
        <w:t xml:space="preserve">Przed upływem terminu do wniesienia odwołania Strona może, zgodnie z art. 127a § 1 K.p.a., zrzec się prawa do wniesienia odwołania wobec organu administracji publicznej, który wydał decyzję. </w:t>
      </w:r>
    </w:p>
    <w:p w14:paraId="340AF957" w14:textId="77777777" w:rsidR="00797713" w:rsidRPr="00797713" w:rsidRDefault="00797713" w:rsidP="00797713">
      <w:pPr>
        <w:tabs>
          <w:tab w:val="left" w:pos="0"/>
        </w:tabs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Z dniem doręczenia organowi administracji publicznej oświadczenia o zrzeczeniu się prawa do wniesienia odwołania przez ostatnią ze Stron postępowania, decyzja staje się ostateczna i prawomocna.</w:t>
      </w:r>
    </w:p>
    <w:p w14:paraId="240C54ED" w14:textId="2E8C9063" w:rsidR="00797713" w:rsidRPr="00797713" w:rsidRDefault="00797713" w:rsidP="00797713">
      <w:pPr>
        <w:spacing w:after="0" w:line="240" w:lineRule="auto"/>
        <w:ind w:left="424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z up. BURMISTRZA</w:t>
      </w:r>
    </w:p>
    <w:p w14:paraId="0822D2CE" w14:textId="43EBA0BD" w:rsidR="00797713" w:rsidRDefault="00797713" w:rsidP="00797713">
      <w:pPr>
        <w:spacing w:after="0" w:line="240" w:lineRule="auto"/>
        <w:ind w:left="424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Katarzyna Bednarowicz</w:t>
      </w:r>
    </w:p>
    <w:p w14:paraId="3D08AFD4" w14:textId="47DDD3C1" w:rsidR="00797713" w:rsidRDefault="00797713" w:rsidP="00797713">
      <w:pPr>
        <w:spacing w:after="0" w:line="240" w:lineRule="auto"/>
        <w:ind w:left="424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naczelnik Pionu Gospodarowania</w:t>
      </w:r>
    </w:p>
    <w:p w14:paraId="40F11A08" w14:textId="7E2E2B64" w:rsidR="00797713" w:rsidRDefault="00797713" w:rsidP="00797713">
      <w:pPr>
        <w:spacing w:after="0" w:line="240" w:lineRule="auto"/>
        <w:ind w:left="424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Przestrzenią i Środowiskiem</w:t>
      </w:r>
    </w:p>
    <w:p w14:paraId="48CC6319" w14:textId="77777777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Sprawę prowadzi:</w:t>
      </w:r>
    </w:p>
    <w:p w14:paraId="64029517" w14:textId="77777777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Małgorzata Borowska</w:t>
      </w:r>
    </w:p>
    <w:p w14:paraId="521E797B" w14:textId="77777777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inspektor</w:t>
      </w:r>
    </w:p>
    <w:p w14:paraId="762753A0" w14:textId="77777777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tel. 61 28 47 140</w:t>
      </w:r>
    </w:p>
    <w:p w14:paraId="5DC00933" w14:textId="77777777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2B2DCEE8" w14:textId="77777777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17676AE8" w14:textId="77777777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I. Strony postępowania:</w:t>
      </w:r>
    </w:p>
    <w:p w14:paraId="757D0AD6" w14:textId="109373D6" w:rsidR="00797713" w:rsidRPr="00797713" w:rsidRDefault="00CD7C29">
      <w:pPr>
        <w:numPr>
          <w:ilvl w:val="0"/>
          <w:numId w:val="2"/>
        </w:numPr>
        <w:spacing w:after="0" w:line="240" w:lineRule="auto"/>
        <w:ind w:left="284" w:hanging="284"/>
        <w:rPr>
          <w:rFonts w:ascii="Calibri" w:eastAsia="Calibri" w:hAnsi="Calibri" w:cs="Calibri"/>
          <w:sz w:val="28"/>
        </w:rPr>
      </w:pPr>
      <w:r w:rsidRPr="00CD7C29">
        <w:rPr>
          <w:rFonts w:ascii="Calibri" w:eastAsia="Calibri" w:hAnsi="Calibri" w:cs="Calibri"/>
          <w:sz w:val="28"/>
          <w:highlight w:val="black"/>
        </w:rPr>
        <w:t>………………………………………………………………….</w:t>
      </w:r>
    </w:p>
    <w:p w14:paraId="5915BBA9" w14:textId="01EB3FE8" w:rsidR="00797713" w:rsidRPr="00797713" w:rsidRDefault="00CD7C29">
      <w:pPr>
        <w:numPr>
          <w:ilvl w:val="0"/>
          <w:numId w:val="2"/>
        </w:numPr>
        <w:spacing w:after="0" w:line="240" w:lineRule="auto"/>
        <w:ind w:left="284" w:hanging="284"/>
        <w:rPr>
          <w:rFonts w:ascii="Calibri" w:eastAsia="Calibri" w:hAnsi="Calibri" w:cs="Calibri"/>
          <w:sz w:val="28"/>
        </w:rPr>
      </w:pPr>
      <w:r w:rsidRPr="00CD7C29">
        <w:rPr>
          <w:rFonts w:ascii="Calibri" w:eastAsia="Calibri" w:hAnsi="Calibri" w:cs="Calibri"/>
          <w:sz w:val="28"/>
          <w:highlight w:val="black"/>
        </w:rPr>
        <w:t>………………………………………………………………….</w:t>
      </w:r>
    </w:p>
    <w:p w14:paraId="31CD2F6B" w14:textId="77777777" w:rsidR="00797713" w:rsidRPr="00797713" w:rsidRDefault="00797713">
      <w:pPr>
        <w:numPr>
          <w:ilvl w:val="0"/>
          <w:numId w:val="2"/>
        </w:numPr>
        <w:spacing w:after="0" w:line="240" w:lineRule="auto"/>
        <w:ind w:left="284" w:hanging="284"/>
        <w:rPr>
          <w:rFonts w:ascii="Calibri" w:eastAsia="Calibri" w:hAnsi="Calibri" w:cs="Calibri"/>
          <w:sz w:val="28"/>
        </w:rPr>
      </w:pPr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Pozostałe strony postępowania przez obwieszczenie, zgodnie z art. 74 ust. 3 ustawy </w:t>
      </w: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z dnia 3 października 2008 r. o udostępnianiu informacji o środowisku i jego ochronie, udziale społeczeństwa w ochronie środowiska oraz o ocenach oddziaływania na środowisko</w:t>
      </w:r>
    </w:p>
    <w:p w14:paraId="27A0DA5D" w14:textId="77777777" w:rsidR="00797713" w:rsidRPr="00797713" w:rsidRDefault="00797713" w:rsidP="00797713">
      <w:pPr>
        <w:spacing w:after="0" w:line="240" w:lineRule="auto"/>
        <w:contextualSpacing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bCs/>
          <w:sz w:val="28"/>
          <w:szCs w:val="28"/>
          <w:lang w:eastAsia="pl-PL"/>
        </w:rPr>
        <w:t>II. aa</w:t>
      </w:r>
    </w:p>
    <w:p w14:paraId="60E5E7FE" w14:textId="77777777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  <w:lang w:eastAsia="pl-PL"/>
        </w:rPr>
      </w:pPr>
    </w:p>
    <w:p w14:paraId="6F01DCAD" w14:textId="77777777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 xml:space="preserve">Uiszczono opłatę skarbową w kwocie 205,00 zł </w:t>
      </w:r>
    </w:p>
    <w:p w14:paraId="357BDE25" w14:textId="77777777" w:rsidR="00797713" w:rsidRPr="00797713" w:rsidRDefault="00797713" w:rsidP="00797713">
      <w:pPr>
        <w:tabs>
          <w:tab w:val="left" w:pos="990"/>
        </w:tabs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data wpłaty 20.02.2026 r.</w:t>
      </w:r>
    </w:p>
    <w:p w14:paraId="6C0610AC" w14:textId="77777777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nr rachunku bankowego Urzędu Miejskiego w Śremie</w:t>
      </w:r>
    </w:p>
    <w:p w14:paraId="3FBA9184" w14:textId="77777777" w:rsidR="00797713" w:rsidRPr="00797713" w:rsidRDefault="00797713" w:rsidP="0079771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97713">
        <w:rPr>
          <w:rFonts w:ascii="Calibri" w:eastAsia="Times New Roman" w:hAnsi="Calibri" w:cs="Calibri"/>
          <w:sz w:val="28"/>
          <w:szCs w:val="28"/>
          <w:lang w:eastAsia="pl-PL"/>
        </w:rPr>
        <w:t>57 9084 0003 2102 0013 0521 0013</w:t>
      </w:r>
    </w:p>
    <w:p w14:paraId="768E7816" w14:textId="77777777" w:rsidR="00B81AFE" w:rsidRPr="00B81AFE" w:rsidRDefault="00B81AFE" w:rsidP="00797713">
      <w:pPr>
        <w:spacing w:after="120" w:line="240" w:lineRule="auto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</w:p>
    <w:sectPr w:rsidR="00B81AFE" w:rsidRPr="00B81AFE" w:rsidSect="004F329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3C14F" w14:textId="77777777" w:rsidR="009D7FF9" w:rsidRDefault="009D7FF9" w:rsidP="00053E5A">
      <w:pPr>
        <w:spacing w:after="0" w:line="240" w:lineRule="auto"/>
      </w:pPr>
      <w:r>
        <w:separator/>
      </w:r>
    </w:p>
  </w:endnote>
  <w:endnote w:type="continuationSeparator" w:id="0">
    <w:p w14:paraId="33F1434C" w14:textId="77777777" w:rsidR="009D7FF9" w:rsidRDefault="009D7FF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763017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1FC54B3" w14:textId="0A37A047" w:rsidR="00265CEF" w:rsidRDefault="00265CEF">
            <w:pPr>
              <w:pStyle w:val="Stopka"/>
              <w:jc w:val="center"/>
            </w:pP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PAGE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  <w:r w:rsidRPr="00265CEF">
              <w:rPr>
                <w:sz w:val="28"/>
                <w:szCs w:val="28"/>
              </w:rPr>
              <w:t xml:space="preserve"> z </w:t>
            </w: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NUMPAGES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1EB14E2" w:rsidR="00945706" w:rsidRPr="00353E61" w:rsidRDefault="00945706" w:rsidP="00353E61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353E61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E61" w:rsidRPr="00353E61">
      <w:rPr>
        <w:sz w:val="28"/>
        <w:szCs w:val="28"/>
      </w:rPr>
      <w:t xml:space="preserve">1 z </w:t>
    </w:r>
    <w:r w:rsidR="00CD7C29">
      <w:rPr>
        <w:sz w:val="28"/>
        <w:szCs w:val="28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6435B" w14:textId="77777777" w:rsidR="009D7FF9" w:rsidRDefault="009D7FF9" w:rsidP="00053E5A">
      <w:pPr>
        <w:spacing w:after="0" w:line="240" w:lineRule="auto"/>
      </w:pPr>
      <w:r>
        <w:separator/>
      </w:r>
    </w:p>
  </w:footnote>
  <w:footnote w:type="continuationSeparator" w:id="0">
    <w:p w14:paraId="1EF47906" w14:textId="77777777" w:rsidR="009D7FF9" w:rsidRDefault="009D7FF9" w:rsidP="00053E5A">
      <w:pPr>
        <w:spacing w:after="0" w:line="240" w:lineRule="auto"/>
      </w:pPr>
      <w:r>
        <w:continuationSeparator/>
      </w:r>
    </w:p>
  </w:footnote>
  <w:footnote w:id="1">
    <w:p w14:paraId="736D58AE" w14:textId="77777777" w:rsidR="00797713" w:rsidRPr="001675C7" w:rsidRDefault="00797713" w:rsidP="00797713">
      <w:pPr>
        <w:pStyle w:val="Tekstprzypisudolnego"/>
        <w:rPr>
          <w:rFonts w:ascii="Calibri" w:hAnsi="Calibri" w:cs="Calibri"/>
          <w:sz w:val="28"/>
          <w:szCs w:val="28"/>
        </w:rPr>
      </w:pPr>
      <w:r w:rsidRPr="001675C7">
        <w:rPr>
          <w:rStyle w:val="Odwoanieprzypisudolnego"/>
          <w:rFonts w:ascii="Calibri" w:hAnsi="Calibri" w:cs="Calibri"/>
          <w:sz w:val="28"/>
          <w:szCs w:val="28"/>
        </w:rPr>
        <w:footnoteRef/>
      </w:r>
      <w:r w:rsidRPr="001675C7">
        <w:rPr>
          <w:rFonts w:ascii="Calibri" w:hAnsi="Calibri" w:cs="Calibri"/>
          <w:sz w:val="28"/>
          <w:szCs w:val="28"/>
        </w:rPr>
        <w:t xml:space="preserve"> melioracja łąk, pastwisk lub nieużytków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226C5"/>
    <w:multiLevelType w:val="hybridMultilevel"/>
    <w:tmpl w:val="E730E0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1B18CD"/>
    <w:multiLevelType w:val="hybridMultilevel"/>
    <w:tmpl w:val="62F6FC9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007249641">
    <w:abstractNumId w:val="1"/>
  </w:num>
  <w:num w:numId="2" w16cid:durableId="5898916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25EAB"/>
    <w:rsid w:val="00053A6A"/>
    <w:rsid w:val="00053E5A"/>
    <w:rsid w:val="00066A1E"/>
    <w:rsid w:val="000812A8"/>
    <w:rsid w:val="000873F6"/>
    <w:rsid w:val="000B663C"/>
    <w:rsid w:val="000C3038"/>
    <w:rsid w:val="00116E81"/>
    <w:rsid w:val="00150836"/>
    <w:rsid w:val="00157B44"/>
    <w:rsid w:val="00163AFB"/>
    <w:rsid w:val="001B4128"/>
    <w:rsid w:val="001B5735"/>
    <w:rsid w:val="001E4093"/>
    <w:rsid w:val="002238DE"/>
    <w:rsid w:val="00234497"/>
    <w:rsid w:val="00250690"/>
    <w:rsid w:val="00265CEF"/>
    <w:rsid w:val="002800B1"/>
    <w:rsid w:val="00284D8F"/>
    <w:rsid w:val="002B7096"/>
    <w:rsid w:val="002C311C"/>
    <w:rsid w:val="002C6B9A"/>
    <w:rsid w:val="002D6590"/>
    <w:rsid w:val="002E3E3A"/>
    <w:rsid w:val="002E76FA"/>
    <w:rsid w:val="0030366F"/>
    <w:rsid w:val="00314D2D"/>
    <w:rsid w:val="003235C6"/>
    <w:rsid w:val="0032542D"/>
    <w:rsid w:val="00336472"/>
    <w:rsid w:val="00353E61"/>
    <w:rsid w:val="0036718C"/>
    <w:rsid w:val="003A09D4"/>
    <w:rsid w:val="003B22E8"/>
    <w:rsid w:val="003C0AFB"/>
    <w:rsid w:val="00415CBE"/>
    <w:rsid w:val="00417844"/>
    <w:rsid w:val="00425F0B"/>
    <w:rsid w:val="00435889"/>
    <w:rsid w:val="004519AC"/>
    <w:rsid w:val="00463950"/>
    <w:rsid w:val="0048459B"/>
    <w:rsid w:val="00487C97"/>
    <w:rsid w:val="004C1F30"/>
    <w:rsid w:val="004D3E4D"/>
    <w:rsid w:val="004F3296"/>
    <w:rsid w:val="005038FC"/>
    <w:rsid w:val="00506B0A"/>
    <w:rsid w:val="00525346"/>
    <w:rsid w:val="0054093D"/>
    <w:rsid w:val="00566AC2"/>
    <w:rsid w:val="005671D5"/>
    <w:rsid w:val="0057290A"/>
    <w:rsid w:val="005811F1"/>
    <w:rsid w:val="005968A5"/>
    <w:rsid w:val="005A57C7"/>
    <w:rsid w:val="005E5887"/>
    <w:rsid w:val="005F048F"/>
    <w:rsid w:val="005F23DE"/>
    <w:rsid w:val="00612602"/>
    <w:rsid w:val="00620F58"/>
    <w:rsid w:val="0063592D"/>
    <w:rsid w:val="00655DD8"/>
    <w:rsid w:val="006A6F3E"/>
    <w:rsid w:val="006B674C"/>
    <w:rsid w:val="006C68CB"/>
    <w:rsid w:val="006D530A"/>
    <w:rsid w:val="006E2754"/>
    <w:rsid w:val="007016CE"/>
    <w:rsid w:val="00727E56"/>
    <w:rsid w:val="00730C22"/>
    <w:rsid w:val="007362FC"/>
    <w:rsid w:val="00757413"/>
    <w:rsid w:val="007859F4"/>
    <w:rsid w:val="00797713"/>
    <w:rsid w:val="007C6800"/>
    <w:rsid w:val="0081559F"/>
    <w:rsid w:val="00825D54"/>
    <w:rsid w:val="00826F62"/>
    <w:rsid w:val="00831A7F"/>
    <w:rsid w:val="00837187"/>
    <w:rsid w:val="008750FA"/>
    <w:rsid w:val="00876801"/>
    <w:rsid w:val="00883133"/>
    <w:rsid w:val="008A1C0E"/>
    <w:rsid w:val="008A26BE"/>
    <w:rsid w:val="008A276A"/>
    <w:rsid w:val="008C4507"/>
    <w:rsid w:val="008E2A76"/>
    <w:rsid w:val="008E468F"/>
    <w:rsid w:val="008F3048"/>
    <w:rsid w:val="008F4549"/>
    <w:rsid w:val="00901AF0"/>
    <w:rsid w:val="009105D1"/>
    <w:rsid w:val="00912874"/>
    <w:rsid w:val="00917C21"/>
    <w:rsid w:val="00920491"/>
    <w:rsid w:val="00941F56"/>
    <w:rsid w:val="00942F0A"/>
    <w:rsid w:val="00945706"/>
    <w:rsid w:val="00945DDE"/>
    <w:rsid w:val="0095451D"/>
    <w:rsid w:val="00960867"/>
    <w:rsid w:val="009614DC"/>
    <w:rsid w:val="0096171F"/>
    <w:rsid w:val="009767A2"/>
    <w:rsid w:val="00981EE8"/>
    <w:rsid w:val="00990689"/>
    <w:rsid w:val="0099742B"/>
    <w:rsid w:val="009D7331"/>
    <w:rsid w:val="009D7FF9"/>
    <w:rsid w:val="009F2BF8"/>
    <w:rsid w:val="00A01E96"/>
    <w:rsid w:val="00A05E5B"/>
    <w:rsid w:val="00A26B85"/>
    <w:rsid w:val="00A307EC"/>
    <w:rsid w:val="00A3195C"/>
    <w:rsid w:val="00A515B8"/>
    <w:rsid w:val="00A568A2"/>
    <w:rsid w:val="00A62257"/>
    <w:rsid w:val="00A86635"/>
    <w:rsid w:val="00AE1740"/>
    <w:rsid w:val="00B109BE"/>
    <w:rsid w:val="00B54FE0"/>
    <w:rsid w:val="00B57958"/>
    <w:rsid w:val="00B70A12"/>
    <w:rsid w:val="00B81AFE"/>
    <w:rsid w:val="00B91287"/>
    <w:rsid w:val="00BA179E"/>
    <w:rsid w:val="00BD5A34"/>
    <w:rsid w:val="00C07730"/>
    <w:rsid w:val="00C13763"/>
    <w:rsid w:val="00C2545D"/>
    <w:rsid w:val="00C26DEC"/>
    <w:rsid w:val="00C416ED"/>
    <w:rsid w:val="00C55041"/>
    <w:rsid w:val="00C552DF"/>
    <w:rsid w:val="00C70779"/>
    <w:rsid w:val="00CD7C29"/>
    <w:rsid w:val="00CE0CFB"/>
    <w:rsid w:val="00CE396A"/>
    <w:rsid w:val="00CE490C"/>
    <w:rsid w:val="00CF4683"/>
    <w:rsid w:val="00D0263E"/>
    <w:rsid w:val="00D04695"/>
    <w:rsid w:val="00D05C8C"/>
    <w:rsid w:val="00D07D62"/>
    <w:rsid w:val="00D10EFD"/>
    <w:rsid w:val="00D26634"/>
    <w:rsid w:val="00D35D7C"/>
    <w:rsid w:val="00D41FE4"/>
    <w:rsid w:val="00D54DF8"/>
    <w:rsid w:val="00D72A13"/>
    <w:rsid w:val="00DA25D3"/>
    <w:rsid w:val="00DA2EEC"/>
    <w:rsid w:val="00DB7013"/>
    <w:rsid w:val="00DB7313"/>
    <w:rsid w:val="00DC053D"/>
    <w:rsid w:val="00DE0EAB"/>
    <w:rsid w:val="00E170E7"/>
    <w:rsid w:val="00E1748E"/>
    <w:rsid w:val="00E2033D"/>
    <w:rsid w:val="00E20F9D"/>
    <w:rsid w:val="00E24C80"/>
    <w:rsid w:val="00E315B4"/>
    <w:rsid w:val="00E34C2B"/>
    <w:rsid w:val="00E35A76"/>
    <w:rsid w:val="00E85F2B"/>
    <w:rsid w:val="00E93239"/>
    <w:rsid w:val="00EC387A"/>
    <w:rsid w:val="00EE6CBD"/>
    <w:rsid w:val="00EF0F12"/>
    <w:rsid w:val="00F51832"/>
    <w:rsid w:val="00F56842"/>
    <w:rsid w:val="00F80DB4"/>
    <w:rsid w:val="00FF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A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A34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5A3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66A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6AC2"/>
    <w:rPr>
      <w:color w:val="605E5C"/>
      <w:shd w:val="clear" w:color="auto" w:fill="E1DFDD"/>
    </w:rPr>
  </w:style>
  <w:style w:type="numbering" w:customStyle="1" w:styleId="Bezlisty1">
    <w:name w:val="Bez listy1"/>
    <w:next w:val="Bezlisty"/>
    <w:uiPriority w:val="99"/>
    <w:semiHidden/>
    <w:unhideWhenUsed/>
    <w:rsid w:val="00B81AFE"/>
  </w:style>
  <w:style w:type="numbering" w:customStyle="1" w:styleId="Bezlisty11">
    <w:name w:val="Bez listy11"/>
    <w:next w:val="Bezlisty"/>
    <w:uiPriority w:val="99"/>
    <w:semiHidden/>
    <w:unhideWhenUsed/>
    <w:rsid w:val="00B81AFE"/>
  </w:style>
  <w:style w:type="character" w:styleId="Numerstrony">
    <w:name w:val="page number"/>
    <w:rsid w:val="00B81AFE"/>
  </w:style>
  <w:style w:type="paragraph" w:customStyle="1" w:styleId="Akapitzlist1">
    <w:name w:val="Akapit z listą1"/>
    <w:basedOn w:val="Normalny"/>
    <w:next w:val="Akapitzlist"/>
    <w:uiPriority w:val="34"/>
    <w:qFormat/>
    <w:rsid w:val="00B81AFE"/>
    <w:pPr>
      <w:spacing w:after="120" w:line="240" w:lineRule="auto"/>
      <w:ind w:left="720"/>
      <w:contextualSpacing/>
      <w:jc w:val="both"/>
    </w:pPr>
    <w:rPr>
      <w:rFonts w:eastAsia="Calibri" w:cs="Times New Roman"/>
      <w:sz w:val="28"/>
    </w:rPr>
  </w:style>
  <w:style w:type="paragraph" w:customStyle="1" w:styleId="Tekstpodstawowy1">
    <w:name w:val="Tekst podstawowy1"/>
    <w:basedOn w:val="Normalny"/>
    <w:next w:val="Tekstpodstawowy"/>
    <w:link w:val="TekstpodstawowyZnak"/>
    <w:uiPriority w:val="99"/>
    <w:unhideWhenUsed/>
    <w:rsid w:val="00B81AFE"/>
    <w:pPr>
      <w:spacing w:after="120" w:line="240" w:lineRule="auto"/>
      <w:jc w:val="both"/>
    </w:pPr>
    <w:rPr>
      <w:rFonts w:ascii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1"/>
    <w:uiPriority w:val="99"/>
    <w:rsid w:val="00B81AFE"/>
    <w:rPr>
      <w:rFonts w:ascii="Calibri" w:hAnsi="Calibri" w:cs="Times New Roman"/>
    </w:rPr>
  </w:style>
  <w:style w:type="character" w:customStyle="1" w:styleId="WW8Num2z3">
    <w:name w:val="WW8Num2z3"/>
    <w:rsid w:val="00B81AFE"/>
  </w:style>
  <w:style w:type="paragraph" w:customStyle="1" w:styleId="Standard">
    <w:name w:val="Standard"/>
    <w:rsid w:val="00B81AF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kstprzypisukocowego1">
    <w:name w:val="Tekst przypisu końcowego1"/>
    <w:basedOn w:val="Normalny"/>
    <w:next w:val="Tekstprzypisukocowego"/>
    <w:link w:val="TekstprzypisukocowegoZnak"/>
    <w:uiPriority w:val="99"/>
    <w:semiHidden/>
    <w:unhideWhenUsed/>
    <w:rsid w:val="00B81AFE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rsid w:val="00B81AFE"/>
    <w:rPr>
      <w:rFonts w:ascii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1AFE"/>
    <w:rPr>
      <w:vertAlign w:val="superscript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B81AFE"/>
    <w:rPr>
      <w:color w:val="954F72"/>
      <w:u w:val="single"/>
    </w:rPr>
  </w:style>
  <w:style w:type="paragraph" w:styleId="Akapitzlist">
    <w:name w:val="List Paragraph"/>
    <w:basedOn w:val="Normalny"/>
    <w:uiPriority w:val="34"/>
    <w:qFormat/>
    <w:rsid w:val="00B81AFE"/>
    <w:pPr>
      <w:ind w:left="720"/>
      <w:contextualSpacing/>
    </w:pPr>
  </w:style>
  <w:style w:type="paragraph" w:styleId="Tekstpodstawowy">
    <w:name w:val="Body Text"/>
    <w:basedOn w:val="Normalny"/>
    <w:link w:val="TekstpodstawowyZnak1"/>
    <w:uiPriority w:val="99"/>
    <w:unhideWhenUsed/>
    <w:rsid w:val="00B81AFE"/>
    <w:pPr>
      <w:spacing w:after="120"/>
    </w:p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B81AFE"/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B81AFE"/>
    <w:pPr>
      <w:spacing w:after="0" w:line="240" w:lineRule="auto"/>
    </w:pPr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B81AFE"/>
    <w:rPr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B81AFE"/>
    <w:rPr>
      <w:color w:val="800080" w:themeColor="followedHyperlink"/>
      <w:u w:val="single"/>
    </w:rPr>
  </w:style>
  <w:style w:type="numbering" w:customStyle="1" w:styleId="Bezlisty2">
    <w:name w:val="Bez listy2"/>
    <w:next w:val="Bezlisty"/>
    <w:uiPriority w:val="99"/>
    <w:semiHidden/>
    <w:unhideWhenUsed/>
    <w:rsid w:val="00E24C80"/>
  </w:style>
  <w:style w:type="numbering" w:customStyle="1" w:styleId="Bezlisty12">
    <w:name w:val="Bez listy12"/>
    <w:next w:val="Bezlisty"/>
    <w:uiPriority w:val="99"/>
    <w:semiHidden/>
    <w:unhideWhenUsed/>
    <w:rsid w:val="00E24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8870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38870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2359</Words>
  <Characters>14155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78</cp:revision>
  <cp:lastPrinted>2025-12-03T07:02:00Z</cp:lastPrinted>
  <dcterms:created xsi:type="dcterms:W3CDTF">2021-04-23T10:50:00Z</dcterms:created>
  <dcterms:modified xsi:type="dcterms:W3CDTF">2026-04-08T11:38:00Z</dcterms:modified>
</cp:coreProperties>
</file>