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1471" w14:textId="77777777" w:rsidR="003235C6" w:rsidRPr="003235C6" w:rsidRDefault="003235C6" w:rsidP="00BD5A34">
      <w:pPr>
        <w:spacing w:after="0" w:line="240" w:lineRule="auto"/>
        <w:ind w:right="5668"/>
        <w:jc w:val="center"/>
        <w:rPr>
          <w:rFonts w:cstheme="minorHAnsi"/>
          <w:bCs/>
          <w:sz w:val="20"/>
          <w:szCs w:val="20"/>
        </w:rPr>
      </w:pPr>
    </w:p>
    <w:p w14:paraId="5D0C37BD" w14:textId="664E8D6A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3235C6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2FCDDBCE" w:rsidR="00BD5A34" w:rsidRPr="0063592D" w:rsidRDefault="00BD5A34" w:rsidP="003235C6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A178BA">
        <w:rPr>
          <w:rFonts w:cstheme="minorHAnsi"/>
          <w:sz w:val="28"/>
          <w:szCs w:val="28"/>
        </w:rPr>
        <w:t xml:space="preserve"> 27 </w:t>
      </w:r>
      <w:r w:rsidR="00653179">
        <w:rPr>
          <w:rFonts w:cstheme="minorHAnsi"/>
          <w:sz w:val="28"/>
          <w:szCs w:val="28"/>
        </w:rPr>
        <w:t>kwietnia</w:t>
      </w:r>
      <w:r w:rsidR="00E24C80">
        <w:rPr>
          <w:rFonts w:cstheme="minorHAnsi"/>
          <w:sz w:val="28"/>
          <w:szCs w:val="28"/>
        </w:rPr>
        <w:t xml:space="preserve"> 2026</w:t>
      </w:r>
      <w:r w:rsidRPr="0063592D">
        <w:rPr>
          <w:rFonts w:cstheme="minorHAnsi"/>
          <w:sz w:val="28"/>
          <w:szCs w:val="28"/>
        </w:rPr>
        <w:t xml:space="preserve"> </w:t>
      </w:r>
      <w:r w:rsidR="005038FC">
        <w:rPr>
          <w:rFonts w:cstheme="minorHAnsi"/>
          <w:sz w:val="28"/>
          <w:szCs w:val="28"/>
        </w:rPr>
        <w:t>r.</w:t>
      </w:r>
    </w:p>
    <w:p w14:paraId="314AFC46" w14:textId="1C8BA556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653179">
        <w:rPr>
          <w:rFonts w:cstheme="minorHAnsi"/>
          <w:sz w:val="28"/>
          <w:szCs w:val="28"/>
        </w:rPr>
        <w:t>16</w:t>
      </w:r>
      <w:r w:rsidR="005038FC">
        <w:rPr>
          <w:rFonts w:cstheme="minorHAnsi"/>
          <w:sz w:val="28"/>
          <w:szCs w:val="28"/>
        </w:rPr>
        <w:t>.2025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 wydaniu decyzji o środowiskowych uwarunkowaniach</w:t>
      </w:r>
    </w:p>
    <w:p w14:paraId="708F1435" w14:textId="785E53C6" w:rsidR="00D41FE4" w:rsidRPr="00E24C80" w:rsidRDefault="00D0263E" w:rsidP="00F80DB4">
      <w:pPr>
        <w:spacing w:after="120" w:line="240" w:lineRule="auto"/>
        <w:ind w:firstLine="708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</w:t>
      </w:r>
      <w:r w:rsidR="00653179">
        <w:rPr>
          <w:rFonts w:eastAsia="Times New Roman" w:cstheme="minorHAnsi"/>
          <w:sz w:val="28"/>
          <w:szCs w:val="28"/>
          <w:lang w:eastAsia="pl-PL"/>
        </w:rPr>
        <w:t>24 kwietnia</w:t>
      </w:r>
      <w:r w:rsidR="00E24C80">
        <w:rPr>
          <w:rFonts w:eastAsia="Times New Roman" w:cstheme="minorHAnsi"/>
          <w:sz w:val="28"/>
          <w:szCs w:val="28"/>
          <w:lang w:eastAsia="pl-PL"/>
        </w:rPr>
        <w:t xml:space="preserve"> 2026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r. Burmistrz Śremu wydał, na rzecz </w:t>
      </w:r>
      <w:r w:rsidR="00653179">
        <w:rPr>
          <w:rFonts w:eastAsia="Times New Roman" w:cstheme="minorHAnsi"/>
          <w:sz w:val="28"/>
          <w:szCs w:val="28"/>
          <w:lang w:eastAsia="pl-PL"/>
        </w:rPr>
        <w:t>osób fizycznych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decyzję </w:t>
      </w:r>
      <w:r w:rsidR="00F80DB4">
        <w:rPr>
          <w:rFonts w:eastAsia="Times New Roman" w:cstheme="minorHAnsi"/>
          <w:sz w:val="28"/>
          <w:szCs w:val="28"/>
          <w:lang w:eastAsia="pl-PL"/>
        </w:rPr>
        <w:t>o</w:t>
      </w:r>
      <w:r w:rsidR="00D10EFD">
        <w:rPr>
          <w:rFonts w:eastAsia="Times New Roman" w:cstheme="minorHAnsi"/>
          <w:sz w:val="28"/>
          <w:szCs w:val="28"/>
          <w:lang w:eastAsia="pl-PL"/>
        </w:rPr>
        <w:t> </w:t>
      </w:r>
      <w:r w:rsidR="00116E81">
        <w:rPr>
          <w:rFonts w:eastAsia="Times New Roman" w:cstheme="minorHAnsi"/>
          <w:sz w:val="28"/>
          <w:szCs w:val="28"/>
          <w:lang w:eastAsia="pl-PL"/>
        </w:rPr>
        <w:t>środowiskowych uwarunkowaniach</w:t>
      </w:r>
      <w:r w:rsidR="00F80DB4" w:rsidRPr="00F80DB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dla planowanego przedsięwzięcia </w:t>
      </w:r>
      <w:r w:rsidR="004D3E4D">
        <w:rPr>
          <w:rFonts w:eastAsia="Times New Roman" w:cstheme="minorHAnsi"/>
          <w:sz w:val="28"/>
          <w:szCs w:val="28"/>
          <w:lang w:eastAsia="pl-PL"/>
        </w:rPr>
        <w:t xml:space="preserve">polegającego na </w:t>
      </w:r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>budowie urządzenia wodnego – studni głębinowej (podstawowej) nr 1 z</w:t>
      </w:r>
      <w:r w:rsidR="00653179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 xml:space="preserve">utworów </w:t>
      </w:r>
      <w:proofErr w:type="spellStart"/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>neogeńskich</w:t>
      </w:r>
      <w:proofErr w:type="spellEnd"/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 xml:space="preserve"> mioceńskich wraz z obudową na działce o nr ewid. 20/19, obręb Góra, wykonaniu urządzenia wodnego – deszczowni do </w:t>
      </w:r>
      <w:proofErr w:type="spellStart"/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>nawodnień</w:t>
      </w:r>
      <w:proofErr w:type="spellEnd"/>
      <w:r w:rsidR="00653179" w:rsidRPr="00653179">
        <w:rPr>
          <w:rFonts w:eastAsia="Times New Roman" w:cstheme="minorHAnsi"/>
          <w:b/>
          <w:sz w:val="28"/>
          <w:szCs w:val="28"/>
          <w:lang w:eastAsia="pl-PL"/>
        </w:rPr>
        <w:t xml:space="preserve"> gruntów rolnych (sadów) na działkach o nr ewid.: 20/19; 20/30; 33/8; 33/14; 33/21; 20/26; 20/28; 33/17; 38/3; 20/29; 20/18; 20/31, obręb Góra oraz gospodarowaniu wodą w rolnictwie polegającym na melioracji na obszarze nie mniejszym niż 5 ha - nawodnienie gruntów rolnych (sadów) na działkach o nr ewid.: 20/19; 20/30; 33/8; 33/14; 33/21; 20/26; 20/28; 33/17; 38/3; 20/29; 20/18; 20/31, obręb Góra</w:t>
      </w:r>
      <w:r w:rsidR="005968A5" w:rsidRPr="00E24C80">
        <w:rPr>
          <w:rFonts w:eastAsia="Times New Roman" w:cstheme="minorHAnsi"/>
          <w:b/>
          <w:sz w:val="28"/>
          <w:szCs w:val="28"/>
          <w:lang w:eastAsia="pl-PL"/>
        </w:rPr>
        <w:t>.</w:t>
      </w:r>
      <w:r w:rsidR="00BD5A34" w:rsidRPr="00E24C80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</w:p>
    <w:p w14:paraId="45576EAD" w14:textId="4575BFFC" w:rsidR="00BD5A34" w:rsidRPr="00D54DF8" w:rsidRDefault="00BD5A34" w:rsidP="00F80DB4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czerwca 1960 r. – Kodeks postępowania administracyjnego 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(</w:t>
      </w:r>
      <w:r w:rsidR="00E24C80" w:rsidRPr="00E24C80">
        <w:rPr>
          <w:rFonts w:eastAsia="Times New Roman" w:cstheme="minorHAnsi"/>
          <w:sz w:val="28"/>
          <w:szCs w:val="28"/>
          <w:lang w:eastAsia="pl-PL"/>
        </w:rPr>
        <w:t>Dz. U. z 2025 r. poz. 1691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).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0D2146EB" w14:textId="77F093FE" w:rsidR="00DC053D" w:rsidRDefault="00BD5A34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sprawy, w tym z opiniami organów współdziałających,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626D4A90" w14:textId="5D2E608E" w:rsidR="000B663C" w:rsidRDefault="00BD5A34" w:rsidP="000B663C">
      <w:pPr>
        <w:spacing w:after="120" w:line="240" w:lineRule="auto"/>
        <w:ind w:firstLine="709"/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Z treścią decyzji można zapoznać się również w Biuletynie Informacji Publicznej Urzędu Miejskiego w Śremie </w:t>
      </w:r>
      <w:hyperlink r:id="rId8" w:history="1">
        <w:r w:rsidR="00653179" w:rsidRPr="00653179">
          <w:rPr>
            <w:rStyle w:val="Hipercze"/>
            <w:sz w:val="28"/>
            <w:szCs w:val="28"/>
          </w:rPr>
          <w:t>https://bip.srem.pl/public/?id=237770</w:t>
        </w:r>
      </w:hyperlink>
      <w:r w:rsidR="000B663C" w:rsidRPr="004D3E4D">
        <w:rPr>
          <w:sz w:val="28"/>
          <w:szCs w:val="28"/>
        </w:rPr>
        <w:t>.</w:t>
      </w:r>
    </w:p>
    <w:p w14:paraId="73E69AC5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70CC64A9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A45C5F6" w14:textId="24162EF3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53179">
        <w:rPr>
          <w:rFonts w:eastAsia="Times New Roman" w:cstheme="minorHAnsi"/>
          <w:sz w:val="28"/>
          <w:szCs w:val="28"/>
          <w:lang w:eastAsia="pl-PL"/>
        </w:rPr>
        <w:t>27.04</w:t>
      </w:r>
      <w:r w:rsidR="00E24C80">
        <w:rPr>
          <w:rFonts w:eastAsia="Times New Roman" w:cstheme="minorHAnsi"/>
          <w:sz w:val="28"/>
          <w:szCs w:val="28"/>
          <w:lang w:eastAsia="pl-PL"/>
        </w:rPr>
        <w:t>.2026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F186F67" w14:textId="48C6F332" w:rsidR="00D0263E" w:rsidRDefault="00D0263E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oraz art. 85 ust. 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C552DF">
        <w:rPr>
          <w:rFonts w:eastAsia="Times New Roman" w:cstheme="minorHAnsi"/>
          <w:sz w:val="28"/>
          <w:szCs w:val="28"/>
          <w:lang w:eastAsia="pl-PL"/>
        </w:rPr>
        <w:t>2024 r. poz. 1112</w:t>
      </w:r>
      <w:r w:rsidR="00116E81">
        <w:rPr>
          <w:rFonts w:eastAsia="Times New Roman" w:cstheme="minorHAnsi"/>
          <w:sz w:val="28"/>
          <w:szCs w:val="28"/>
          <w:lang w:eastAsia="pl-PL"/>
        </w:rPr>
        <w:t>, 1940</w:t>
      </w:r>
      <w:r w:rsidR="00E24C80">
        <w:rPr>
          <w:rFonts w:eastAsia="Times New Roman" w:cstheme="minorHAnsi"/>
          <w:sz w:val="28"/>
          <w:szCs w:val="28"/>
          <w:lang w:eastAsia="pl-PL"/>
        </w:rPr>
        <w:t xml:space="preserve"> i</w:t>
      </w:r>
      <w:r w:rsidR="004D3E4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16E81">
        <w:rPr>
          <w:rFonts w:eastAsia="Times New Roman" w:cstheme="minorHAnsi"/>
          <w:sz w:val="28"/>
          <w:szCs w:val="28"/>
          <w:lang w:eastAsia="pl-PL"/>
        </w:rPr>
        <w:t>1881</w:t>
      </w:r>
      <w:r w:rsidR="004D3E4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24C80">
        <w:rPr>
          <w:rFonts w:eastAsia="Times New Roman" w:cstheme="minorHAnsi"/>
          <w:sz w:val="28"/>
          <w:szCs w:val="28"/>
          <w:lang w:eastAsia="pl-PL"/>
        </w:rPr>
        <w:t>oraz</w:t>
      </w:r>
      <w:r w:rsidR="004D3E4D">
        <w:rPr>
          <w:rFonts w:eastAsia="Times New Roman" w:cstheme="minorHAnsi"/>
          <w:sz w:val="28"/>
          <w:szCs w:val="28"/>
          <w:lang w:eastAsia="pl-PL"/>
        </w:rPr>
        <w:t> z 2025 r. poz. 1535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3A65EF2A" w14:textId="77777777" w:rsidR="00653179" w:rsidRPr="00653179" w:rsidRDefault="00653179" w:rsidP="00653179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7394F15A" w14:textId="77777777" w:rsidR="00653179" w:rsidRPr="00653179" w:rsidRDefault="00653179" w:rsidP="00653179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3FBF465" w14:textId="77777777" w:rsidR="00653179" w:rsidRPr="00653179" w:rsidRDefault="00653179" w:rsidP="00653179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63DB9357" w14:textId="77777777" w:rsidR="00653179" w:rsidRPr="00653179" w:rsidRDefault="00653179" w:rsidP="00653179">
      <w:pPr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Śrem, 24 kwietnia 2026 r.</w:t>
      </w:r>
    </w:p>
    <w:p w14:paraId="79B069D6" w14:textId="77777777" w:rsidR="00653179" w:rsidRPr="00653179" w:rsidRDefault="00653179" w:rsidP="00653179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PPSOŚ.6220.16.2025.BM</w:t>
      </w:r>
    </w:p>
    <w:p w14:paraId="7FD932E5" w14:textId="77777777" w:rsidR="00653179" w:rsidRPr="00653179" w:rsidRDefault="00653179" w:rsidP="00653179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Decyzja</w:t>
      </w:r>
    </w:p>
    <w:p w14:paraId="4A827AA5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71 ust. 2 pkt 2, art. 75 ust. 1 pkt 4, art. 82 ust. 1 pkt 1 lit. b, art. 82 ust. 1 pkt 2 lit. b, art. 84, art. 85 ust. 1 i ust. 2 pkt 2 ustawy z dnia 3 października 2008 r. o udostępnianiu informacji o środowisku i jego ochronie, udziale społeczeństwa w ochronie środowiska oraz o ocenach oddziaływania na środowisko (</w:t>
      </w:r>
      <w:r w:rsidRPr="00653179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 2024 r. poz. 1112, 1940 i 1881 oraz z 2025 r. poz. 1535)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, zwanej dalej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., </w:t>
      </w: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§ 3 ust. 1 pkt 73, § 3 ust. 1 pkt 74 i § 3 ust. 1 pkt 89 lit. d rozporządzenia Rady Ministrów z dnia 10 września 2019 r. w sprawie przedsięwzięć mogących znacząco oddziaływać na środowisko (Dz. U. poz. 1839, z 2022 r. poz. 1071 i z 2023 r. poz. 1724)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oraz art. 104 ustawy z dnia 14 czerwca 1960 r. – Kodeks postępowania administracyjnego (Dz. U. z 2025 r. poz. 1691), zwanej dalej K.p.a.,</w:t>
      </w:r>
    </w:p>
    <w:p w14:paraId="0AA7E4BC" w14:textId="77777777" w:rsidR="00653179" w:rsidRPr="00653179" w:rsidRDefault="00653179" w:rsidP="00653179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65FEBD23" w14:textId="1878A42B" w:rsidR="00653179" w:rsidRPr="00653179" w:rsidRDefault="00653179" w:rsidP="00653179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653179">
        <w:rPr>
          <w:rFonts w:ascii="Calibri" w:eastAsia="Calibri" w:hAnsi="Calibri" w:cs="Calibri"/>
          <w:sz w:val="28"/>
          <w:szCs w:val="28"/>
          <w:highlight w:val="black"/>
        </w:rPr>
        <w:t>…………………………………………………………………………………………………….. ………………………………………………………………………………………………………….., ………………………………………………………………………………………………………………….. …………………………………………………………………………………………………………………..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, </w:t>
      </w:r>
      <w:r w:rsidRPr="00653179">
        <w:rPr>
          <w:rFonts w:ascii="Calibri" w:eastAsia="Calibri" w:hAnsi="Calibri" w:cs="Calibri"/>
          <w:sz w:val="28"/>
          <w:szCs w:val="28"/>
        </w:rPr>
        <w:t>o wydanie decyzji o środowiskowych uwarunkowaniach dla planowanego przedsięwzięcia polegającego na:</w:t>
      </w:r>
    </w:p>
    <w:p w14:paraId="78AAD46F" w14:textId="77777777" w:rsidR="00653179" w:rsidRPr="00653179" w:rsidRDefault="00653179">
      <w:pPr>
        <w:numPr>
          <w:ilvl w:val="0"/>
          <w:numId w:val="8"/>
        </w:numPr>
        <w:spacing w:after="120" w:line="240" w:lineRule="auto"/>
        <w:contextualSpacing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budowie urządzenia wodnego – studni głębinowej (podstawowej) nr 1 z utworów </w:t>
      </w:r>
      <w:proofErr w:type="spellStart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neogeńskich</w:t>
      </w:r>
      <w:proofErr w:type="spellEnd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– mioceńskich wraz z obudową na działce o nr ewid. 20/19, obręb Góra, </w:t>
      </w:r>
    </w:p>
    <w:p w14:paraId="4CA495AB" w14:textId="77777777" w:rsidR="00653179" w:rsidRPr="00653179" w:rsidRDefault="00653179">
      <w:pPr>
        <w:numPr>
          <w:ilvl w:val="0"/>
          <w:numId w:val="8"/>
        </w:numPr>
        <w:spacing w:after="120" w:line="240" w:lineRule="auto"/>
        <w:contextualSpacing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wykonaniu urządzenia wodnego – deszczowni do </w:t>
      </w:r>
      <w:proofErr w:type="spellStart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nawodnień</w:t>
      </w:r>
      <w:proofErr w:type="spellEnd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gruntów rolnych (sadów) na działkach o nr ewid.: 20/19; 20/30; 33/8; 33/14; 33/21; 20/26; 20/28; 33/17; 38/3; 20/29; 20/18; 20/31, obręb Góra,</w:t>
      </w:r>
    </w:p>
    <w:p w14:paraId="610E97F6" w14:textId="77777777" w:rsidR="00653179" w:rsidRPr="00653179" w:rsidRDefault="00653179">
      <w:pPr>
        <w:numPr>
          <w:ilvl w:val="0"/>
          <w:numId w:val="8"/>
        </w:numPr>
        <w:spacing w:after="120" w:line="240" w:lineRule="auto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gospodarowaniu wodą w rolnictwie polegającym na melioracji na obszarze nie mniejszym niż 5 ha - nawodnienie gruntów rolnych (sadów) na działkach o nr ewid.: 20/19; 20/30; 33/8; 33/14; 33/21; 20/26; 20/28; 33/17; 38/3; 20/29; 20/18; 20/31, obręb Góra</w:t>
      </w:r>
      <w:r w:rsidRPr="00653179">
        <w:rPr>
          <w:rFonts w:ascii="Calibri" w:eastAsia="Calibri" w:hAnsi="Calibri" w:cs="Calibri"/>
          <w:sz w:val="28"/>
          <w:szCs w:val="28"/>
        </w:rPr>
        <w:t xml:space="preserve">, </w:t>
      </w:r>
    </w:p>
    <w:p w14:paraId="07E8A637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33D4A66" w14:textId="77777777" w:rsidR="00653179" w:rsidRPr="00653179" w:rsidRDefault="00653179" w:rsidP="00653179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ustalam</w:t>
      </w:r>
    </w:p>
    <w:p w14:paraId="615BEA4B" w14:textId="77777777" w:rsidR="00653179" w:rsidRPr="00653179" w:rsidRDefault="00653179" w:rsidP="00653179">
      <w:pPr>
        <w:numPr>
          <w:ilvl w:val="0"/>
          <w:numId w:val="1"/>
        </w:numPr>
        <w:spacing w:after="120" w:line="240" w:lineRule="auto"/>
        <w:ind w:left="425" w:hanging="425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Brak potrzeby przeprowadzenia oceny oddziaływania na środowisko dla planowanego przedsięwzięcia polegającego na </w:t>
      </w: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budowie urządzenia wodnego – studni głębinowej (podstawowej) nr 1 z utworów </w:t>
      </w:r>
      <w:proofErr w:type="spellStart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neogeńskich</w:t>
      </w:r>
      <w:proofErr w:type="spellEnd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mioceńskich wraz z obudową na działce o nr ewid. 20/19, obręb Góra, wykonaniu urządzenia wodnego – deszczowni do </w:t>
      </w:r>
      <w:proofErr w:type="spellStart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nawodnień</w:t>
      </w:r>
      <w:proofErr w:type="spellEnd"/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gruntów rolnych (sadów) na działkach o nr ewid.: 20/19; 20/30; 33/8; 33/14; 33/21; 20/26; 20/28; 33/17; 38/3; 20/29; 20/18; 20/31, obręb Góra oraz gospodarowaniu wodą w rolnictwie polegającym na melioracji na obszarze nie mniejszym niż 5 ha - nawodnienie gruntów rolnych (sadów) na działkach o nr ewid.: 20/19; 20/30; 33/8; 33/14; 33/21; 20/26; 20/28; 33/17; 38/3; 20/29; 20/18; 20/31, obręb Góra</w:t>
      </w:r>
      <w:r w:rsidRPr="00653179">
        <w:rPr>
          <w:rFonts w:ascii="Calibri" w:eastAsia="Calibri" w:hAnsi="Calibri" w:cs="Calibri"/>
          <w:sz w:val="28"/>
          <w:szCs w:val="28"/>
        </w:rPr>
        <w:t>.</w:t>
      </w:r>
    </w:p>
    <w:p w14:paraId="1E3824C7" w14:textId="77777777" w:rsidR="00653179" w:rsidRPr="00653179" w:rsidRDefault="00653179" w:rsidP="00653179">
      <w:pPr>
        <w:numPr>
          <w:ilvl w:val="0"/>
          <w:numId w:val="1"/>
        </w:numPr>
        <w:spacing w:after="120" w:line="240" w:lineRule="auto"/>
        <w:ind w:left="426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Istotne </w:t>
      </w:r>
      <w:bookmarkStart w:id="0" w:name="highlightHit_12"/>
      <w:bookmarkEnd w:id="0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warunki korzystania ze środowiska w fazie realizacji i eksploatacji lub użytkowania przedsięwzięcia, ze szczególnym uwzględnieniem konieczności ochrony cennych wartości przyrodniczych, zasobów naturalnych i zabytków, ograniczenia uciążliwości dla terenów sąsiednich</w:t>
      </w:r>
      <w:r w:rsidRPr="00653179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oraz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unikania, zapobiegania i ograniczania oddziaływania przedsięwzięcia na środowisko:</w:t>
      </w:r>
    </w:p>
    <w:p w14:paraId="6AE7B57D" w14:textId="77777777" w:rsidR="00653179" w:rsidRPr="00653179" w:rsidRDefault="00653179">
      <w:pPr>
        <w:numPr>
          <w:ilvl w:val="0"/>
          <w:numId w:val="4"/>
        </w:numPr>
        <w:spacing w:after="120" w:line="240" w:lineRule="auto"/>
        <w:ind w:left="993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studnię głębinową nr 1 ujmującą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neogeński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mioceński poziom wodonośny, zwana dalej studnią, eksploatować okresowo w ramach ustalonych i zatwierdzonych dla niej zasobów eksploatacyjnych w ilości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e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8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przy depresji s = 4,16 m, nie przekraczając maksymalnego godzinowego poboru wody w ilości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i rocznego poboru wody w ilości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roczne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65 986,2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/rok;</w:t>
      </w:r>
    </w:p>
    <w:p w14:paraId="562A7C63" w14:textId="77777777" w:rsidR="00653179" w:rsidRPr="00653179" w:rsidRDefault="00653179">
      <w:pPr>
        <w:numPr>
          <w:ilvl w:val="0"/>
          <w:numId w:val="4"/>
        </w:numPr>
        <w:spacing w:after="120" w:line="240" w:lineRule="auto"/>
        <w:ind w:left="993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nawadnianie upraw wodą pobraną ze studni prowadzić z wykorzystaniem deszczowni kropelkowej na obszarze o powierzchni nieprzekraczającej 44,5975 ha;</w:t>
      </w:r>
    </w:p>
    <w:p w14:paraId="36F2C519" w14:textId="77777777" w:rsidR="00653179" w:rsidRPr="00653179" w:rsidRDefault="00653179">
      <w:pPr>
        <w:numPr>
          <w:ilvl w:val="0"/>
          <w:numId w:val="4"/>
        </w:numPr>
        <w:spacing w:after="120" w:line="240" w:lineRule="auto"/>
        <w:ind w:left="993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nie prowadzić nawadniania upraw w godzinach południowych, przy intensywnym nasłonecznieniu;</w:t>
      </w:r>
    </w:p>
    <w:p w14:paraId="1A800F79" w14:textId="77777777" w:rsidR="00653179" w:rsidRPr="00653179" w:rsidRDefault="00653179">
      <w:pPr>
        <w:numPr>
          <w:ilvl w:val="0"/>
          <w:numId w:val="4"/>
        </w:numPr>
        <w:spacing w:after="120" w:line="240" w:lineRule="auto"/>
        <w:ind w:left="993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dopuszcza się równoczesną eksploatację studni i studni głębinowej zlokalizowanej na działce o nr ewid. 20/21, obręb Góra, pod warunkiem prowadzenia poboru wody z wydajnością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/>
        <w:t>Q ≤ 10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/h. W tym przypadku nie należy przekraczać wydajności eksploatacyjnej studni;</w:t>
      </w:r>
    </w:p>
    <w:p w14:paraId="3DDE620F" w14:textId="77777777" w:rsidR="00653179" w:rsidRPr="00653179" w:rsidRDefault="00653179">
      <w:pPr>
        <w:numPr>
          <w:ilvl w:val="0"/>
          <w:numId w:val="4"/>
        </w:numPr>
        <w:spacing w:after="120" w:line="240" w:lineRule="auto"/>
        <w:ind w:left="993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nie należy nawadniać upraw wodą w ilości większej niż realne zapotrzebowanie.</w:t>
      </w:r>
    </w:p>
    <w:p w14:paraId="1764AFC5" w14:textId="77777777" w:rsidR="00653179" w:rsidRPr="00653179" w:rsidRDefault="00653179" w:rsidP="00653179">
      <w:pPr>
        <w:numPr>
          <w:ilvl w:val="0"/>
          <w:numId w:val="1"/>
        </w:numPr>
        <w:spacing w:after="120" w:line="240" w:lineRule="auto"/>
        <w:ind w:left="426" w:hanging="426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Integralną częścią decyzji jest charakterystyka przedsięwzięcia, stanowiąca załącznik nr 1 do decyzji.</w:t>
      </w:r>
    </w:p>
    <w:p w14:paraId="0CB7D5A3" w14:textId="77777777" w:rsidR="00653179" w:rsidRPr="00653179" w:rsidRDefault="00653179" w:rsidP="00653179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038B831E" w14:textId="51E7DACC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09.10.2025 r. do Burmistrza Śremu wpłynął wniosek </w:t>
      </w:r>
      <w:r w:rsidRPr="00653179">
        <w:rPr>
          <w:rFonts w:ascii="Calibri" w:eastAsia="Calibri" w:hAnsi="Calibri" w:cs="Calibri"/>
          <w:bCs/>
          <w:sz w:val="28"/>
          <w:szCs w:val="28"/>
          <w:highlight w:val="black"/>
        </w:rPr>
        <w:t>…………………….. ………………………………………………………………………………………………………… ……………………………………………………………………………………………………………… …………………………………………………………………………………………………………………. ……………………………………………………………………………………….</w:t>
      </w:r>
      <w:r w:rsidRPr="00653179">
        <w:rPr>
          <w:rFonts w:ascii="Calibri" w:eastAsia="Calibri" w:hAnsi="Calibri" w:cs="Calibri"/>
          <w:bCs/>
          <w:sz w:val="28"/>
          <w:szCs w:val="28"/>
        </w:rPr>
        <w:t xml:space="preserve">, uzupełniony 12.11.2025 r., o wydanie decyzji o środowiskowych uwarunkowaniach dla planowanego przedsięwzięcia polegającego na budowie urządzenia wodnego – studni głębinowej (podstawowej) nr 1 z utworów </w:t>
      </w:r>
      <w:proofErr w:type="spellStart"/>
      <w:r w:rsidRPr="00653179">
        <w:rPr>
          <w:rFonts w:ascii="Calibri" w:eastAsia="Calibri" w:hAnsi="Calibri" w:cs="Calibri"/>
          <w:bCs/>
          <w:sz w:val="28"/>
          <w:szCs w:val="28"/>
        </w:rPr>
        <w:t>neogeńskich</w:t>
      </w:r>
      <w:proofErr w:type="spellEnd"/>
      <w:r w:rsidRPr="00653179">
        <w:rPr>
          <w:rFonts w:ascii="Calibri" w:eastAsia="Calibri" w:hAnsi="Calibri" w:cs="Calibri"/>
          <w:bCs/>
          <w:sz w:val="28"/>
          <w:szCs w:val="28"/>
        </w:rPr>
        <w:t xml:space="preserve"> – mioceńskich wraz z obudową na działce o nr ewid. 20/19, obręb Góra oraz gospodarowaniu wodą w rolnictwie polegającym na melioracji na obszarze nie mniejszym niż 5 ha - nawodnienie gruntów rolnych (sadów) na działkach o nr ewid.: 20/19; 20/30; 33/8; 33/14; 33/21; 20/26; 20/28; 33/17; 38/3; 20/29; 20/18; 20/31, obręb Góra. </w:t>
      </w:r>
      <w:r w:rsidRPr="00653179">
        <w:rPr>
          <w:rFonts w:ascii="Calibri" w:eastAsia="Calibri" w:hAnsi="Calibri" w:cs="Calibri"/>
          <w:sz w:val="28"/>
          <w:szCs w:val="28"/>
        </w:rPr>
        <w:t>Do wniosku załączona została karta informacyjna przedsięwzięcia wraz z wymaganymi załącznikami.</w:t>
      </w:r>
    </w:p>
    <w:p w14:paraId="1A31D285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73 ust.1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postępowanie w sprawie wydania decyzji o środowiskowych uwarunkowaniach wszczyna się na wniosek podmiotu planującego podjęcie realizacji przedsięwzięcia.</w:t>
      </w:r>
    </w:p>
    <w:p w14:paraId="0465E9C6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Calibri" w:hAnsi="Calibri" w:cs="Calibri"/>
          <w:sz w:val="28"/>
          <w:szCs w:val="28"/>
        </w:rPr>
        <w:t xml:space="preserve">W przypadku przedmiotowego przedsięwzięcia właściwym organem do wydania decyzji o środowiskowych uwarunkowaniach jest Burmistrz Śremu (art. 75 ust. 1 pkt 4 </w:t>
      </w:r>
      <w:proofErr w:type="spellStart"/>
      <w:r w:rsidRPr="00653179">
        <w:rPr>
          <w:rFonts w:ascii="Calibri" w:eastAsia="Calibri" w:hAnsi="Calibri" w:cs="Calibri"/>
          <w:sz w:val="28"/>
          <w:szCs w:val="28"/>
        </w:rPr>
        <w:t>u.o.o.ś</w:t>
      </w:r>
      <w:proofErr w:type="spellEnd"/>
      <w:r w:rsidRPr="00653179">
        <w:rPr>
          <w:rFonts w:ascii="Calibri" w:eastAsia="Calibri" w:hAnsi="Calibri" w:cs="Calibri"/>
          <w:sz w:val="28"/>
          <w:szCs w:val="28"/>
        </w:rPr>
        <w:t xml:space="preserve">.). </w:t>
      </w:r>
    </w:p>
    <w:p w14:paraId="54C5FFE9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bookmarkStart w:id="1" w:name="_Hlk198794752"/>
      <w:r w:rsidRPr="00653179">
        <w:rPr>
          <w:rFonts w:ascii="Calibri" w:eastAsia="Calibri" w:hAnsi="Calibri" w:cs="Calibri"/>
          <w:sz w:val="28"/>
          <w:szCs w:val="28"/>
        </w:rPr>
        <w:t>Planowane przedsięwzięcie polega na budowie urządzenia wodnego - studni głębinowej (podstawowej), umożliwiającego pobór wód podziemnych w ilości nieprzekraczającej 20 m</w:t>
      </w:r>
      <w:r w:rsidRPr="00653179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653179">
        <w:rPr>
          <w:rFonts w:ascii="Calibri" w:eastAsia="Calibri" w:hAnsi="Calibri" w:cs="Calibri"/>
          <w:sz w:val="28"/>
          <w:szCs w:val="28"/>
        </w:rPr>
        <w:t>/h oraz gospodarowaniu wodą w rolnictwie polegającym na melioracji na obszarze o łącznej powierzchni nie większej niż 44,5975 ha. Woda będzie wykorzystywana do nawadniania gruntów rolnych (sadów). W tym celu zostanie zamontowane urządzenie wodne - deszczownia, składające się z linii kropelkowych rozkładanych na powierzchni terenu. W odległości 298,5 m od projektowanej studni znajduje się inne urządzenie wodne umożliwiające pobór wód podziemnych z tej samej warstwy wodonośnej o zdolności poboru wody w ilości nie większej niż 20 m</w:t>
      </w:r>
      <w:r w:rsidRPr="00653179">
        <w:rPr>
          <w:rFonts w:ascii="Calibri" w:eastAsia="Calibri" w:hAnsi="Calibri" w:cs="Calibri"/>
          <w:sz w:val="28"/>
          <w:szCs w:val="28"/>
          <w:vertAlign w:val="superscript"/>
        </w:rPr>
        <w:t>3</w:t>
      </w:r>
      <w:r w:rsidRPr="00653179">
        <w:rPr>
          <w:rFonts w:ascii="Calibri" w:eastAsia="Calibri" w:hAnsi="Calibri" w:cs="Calibri"/>
          <w:sz w:val="28"/>
          <w:szCs w:val="28"/>
        </w:rPr>
        <w:t>/h.</w:t>
      </w:r>
    </w:p>
    <w:p w14:paraId="4AF76336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14:paraId="0FA5F918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lastRenderedPageBreak/>
        <w:t>Przedmiotowe przedsięwzięcie zakwalifikowano do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przedsięwzięć mogących potencjalnie znacząco oddziaływać na środowisko</w:t>
      </w:r>
      <w:bookmarkEnd w:id="1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, dla których obowiązek przeprowadzenia oceny oddziaływania na środowisko może być stwierdzony, wymienionych w rozporządzeniu Rady Ministrów z dnia 10 września 2019 r. w sprawie przedsięwzięć mogących znacząco oddziaływać na środowisko w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§ 3 ust. 1 pkt 73: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„urządzenia lub zespoły urządzeń umożliwiające pobór wód podziemnych lub sztuczne systemy zasilania wód podziemnych, inne niż wymienione w § 2 ust. 1 pkt 37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footnoteReference w:id="1"/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, o zdolności poboru wody nie mniejszej niż 10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na godzinę”,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§ 3 ust. 1 pkt 74: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„urządzenia lub zespoły urządzeń umożliwiające pobór wód podziemnych z tej samej warstwy wodonośnej, o zdolności poboru wody nie mniejszej niż 1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na godzinę, inne niż wymienione w pkt 73, jeżeli w odległości mniejszej niż 500 m znajdują się inne urządzenia lub inny zespół urządzeń umożliwiający pobór wód podziemnych o zdolności poboru wody nie mniejszej niż 1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na godzinę, z wyłączeniem zwykłego korzystania z wód” i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 § 3 ust. 1 pkt 89 lit. d: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„gospodarowanie wodą w rolnictwie polegające na melioracji na obszarze nie mniejszym niż 5 ha innej niż wymieniona w lit. a-c”.</w:t>
      </w:r>
    </w:p>
    <w:p w14:paraId="6D51C577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Stosownie do art. 74 ust. 3a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Burmistrz Śremu ustalił krąg podmiotów, którym przysługuje przymiot strony. Przymiot strony postępowania otrzymali: wnioskodawcy, właściciele terenu, na którym realizowane będzie przedsięwzięcie (działki o nr ewid.: </w:t>
      </w:r>
      <w:r w:rsidRPr="00653179">
        <w:rPr>
          <w:rFonts w:ascii="Calibri" w:eastAsia="Calibri" w:hAnsi="Calibri" w:cs="Calibri"/>
          <w:bCs/>
          <w:sz w:val="28"/>
          <w:szCs w:val="28"/>
        </w:rPr>
        <w:t>20/19; 20/30; 33/8; 33/14; 33/21; 20/26; 20/28; 33/17; 38/3; 20/29; 20/18; 20/31, obręb Góra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), a także podmioty, którym przysługuje prawo rzeczowe do nieruchomości znajdujących się w obszarze wyznaczonym w odległości 100 m od granic terenu przedsięwzięcia oraz zasięgu leja depresji studni wynoszącym 432,3 m (dla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/h). Obszar ten objął więc działki o nr ewid.: 186/49; 20/33; 33/4; 33/18; 186/11; 186/48; 186/47; 186/46; 186/7; 186/8; 186/9; 186/10; 186/12; 186/13; 186/14; 186/15; 186/16; 186/17; 186/37; 33/22; 33/23; 188; 189; 190; 191; 33/24; 5212/2; 5212/4; 20/18; 3; 186/1; 186/2; 186/3; 186/4; 186/5; 20/20; 186/6; 20/34; 4; 33/19; 33/20; 65; 20/8; 32/2; 10; 14/1; 14/2; 9/1; 19/2; 20/31; 90; 16; 19/1; 20/27; 20/32; 24/1; 28/1; 30/1; 91/41; 91/59; 89/4; 20/21; 79/1; 15; 18; 9/2; 20/22; 20/23; 13; 17; 32/1; 46/1; 50/2; 20/1; 20/30; 91/45; 21/1; 23; 26/1; 32/2; 33/25; 38/2; 44; 45; 46/2; 50/3; 54/1; 56; 57/1; 91/5; 8/4; 8/2; 8/1; 5; 8/3, obręb Góra oraz 3; 4/2; 10; 9; 8; 2; 1/5, obręb Boreczek (gmina Brodnica).</w:t>
      </w:r>
    </w:p>
    <w:p w14:paraId="75114576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74 ust. 3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strony postępowania zostały powiadomione o wszczęciu postępowania w formie obwieszczenia z 20.11.2025 r. Obwieszczenie zamieszczono w Biuletynie Informacji Publicznej Urzędu Miejskiego w Śremie (</w:t>
      </w:r>
      <w:hyperlink r:id="rId9" w:history="1">
        <w:r w:rsidRPr="00653179">
          <w:rPr>
            <w:rFonts w:ascii="Calibri" w:eastAsia="Calibri" w:hAnsi="Calibri" w:cs="Times New Roman"/>
            <w:color w:val="0563C1"/>
            <w:sz w:val="28"/>
            <w:u w:val="single"/>
          </w:rPr>
          <w:t>https://bip.srem.pl/public/?id=237770</w:t>
        </w:r>
      </w:hyperlink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), w gablotach informacyjnych Urzędu oraz na tablicach ogłoszeniowych w Górze i Brodnicy.</w:t>
      </w:r>
    </w:p>
    <w:p w14:paraId="32A2BAFA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64 ust. 1 pkt 1, pkt 2 i pkt 4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Burmistrz Śremu, pismem z 19.11.2025 r., wystąpił do Regionalnego Dyrektora Ochrony Środowiska w Poznaniu, Dyrektora Zarządu Zlewni w Poznaniu Państwowego Gospodarstwa Wodnego Wody Polskie oraz Państwowego Powiatowego Inspektora Sanitarnego w Śremie, o opinię w sprawie obowiązku przeprowadzenia oceny oddziaływania przedmiotowego przedsięwzięcia na środowisko i określenia zakresu ewentualnego raportu. </w:t>
      </w:r>
    </w:p>
    <w:p w14:paraId="27EBCD15" w14:textId="77777777" w:rsidR="00653179" w:rsidRPr="00653179" w:rsidRDefault="00653179" w:rsidP="00653179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Państwowy Powiatowy Inspektor Sanitarny w Śremie, zwany dalej Inspektorem Sanitarnym, pismem z 25.11.2025 r. znak ON-NS.9011.624.2025, zwrócił się do Burmistrza Śremu o doprecyzowanie w oparciu o jaki przepis zgodnie z art. 72 ust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wnioskodawcy wystąpili z wnioskiem o wydanie decyzji o środowiskowych uwarunkowaniach. Jednocześnie Inspektor Sanitarny wskazał na art. 64 ust. 1 pkt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., zgodnie z którym postanowienie, o którym mowa w art. 63 ust. 1, wydaje się po zasięgnięciu opinii organu, o którym mowa w art. 78, w przypadku przedsięwzięć wymagających decyzji, o których mowa w art. 72 ust. 1 pkt 1-3a, 10-19 i 21-29, oraz uchwały, o której mowa w art. 72 ust. 1b. Burmistrz Śremu, pismem z 27.11.2025 r., wezwał wnioskodawców do złożenia stosownych wyjaśnień. 31.12.2025 r. do Burmistrza Śremu wpłynęło pismo wnioskodawców z dodatkowymi informacjami o planowanym przedsięwzięciu. Jednocześnie wnioskodawcy wnieśli o rozszerzenie zakresu planowanego przedsięwzięcia o wykonanie urządzenia wodnego – deszczowni do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nawodnień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gruntów rolnych (sadów) na działkach o nr ewid.: 20/19; 20/30; 33/8; 33/14; 33/21; 20/26; 20/28; 33/17; 38/3; 20/29; 20/18; 20/31, obręb Góra i przedłożyli skorygowaną kartę informacyjną przedsięwzięcia. </w:t>
      </w:r>
    </w:p>
    <w:p w14:paraId="1C276451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E40280E" w14:textId="77777777" w:rsidR="00653179" w:rsidRPr="00653179" w:rsidRDefault="00653179" w:rsidP="00653179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 związku z brakiem spełnienia przesłanki, o której mowa w art. 64 ust. 1 pkt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., Burmistrz Śremu, pismem z 07.01.2026 r., wycofał wniosek skierowany do Inspektora Sanitarnego o wyrażenie opinii w sprawie obowiązku przeprowadzenia oceny oddziaływania przedmiotowego przedsięwzięcia na środowisko i określenia zakresu ewentualnego raportu. Jednocześnie Burmistrz Śremu, pismem z 08.01.2026 r., przekazał Regionalnemu Dyrektorowi Ochrony Środowiska w Poznaniu, zwanego dalej Regionalnym Dyrektorem, skorygowaną kartę informacyjną przedsięwzięcia.</w:t>
      </w:r>
    </w:p>
    <w:p w14:paraId="6E4D7680" w14:textId="77777777" w:rsidR="00653179" w:rsidRPr="00653179" w:rsidRDefault="00653179" w:rsidP="00653179">
      <w:pPr>
        <w:spacing w:after="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 w Poznaniu Państwowego Gospodarstwa Wodnego Wody Polskie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, zwany dalej Dyrektorem Zarządu Zlewni, w piśmie z 16.12.2025 r. znak PO.ZZŚ.4901.518.2025.AR.1, nie stwierdził potrzeby przeprowadzenia oceny oddziaływania planowanego przedsięwzięcia na środowisko i wskazał na konieczność określenia w decyzji o środowiskowych uwarunkowaniach następujących wymagań:</w:t>
      </w:r>
    </w:p>
    <w:p w14:paraId="2CC80F67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„1. Otwór hydrogeologiczny należy eksploatować w ramach zasobów eksploatacyjnych ustalonych w dokumentacji hydrogeologicznej sporządzonej dla przedmiotowego ujęcia;</w:t>
      </w:r>
    </w:p>
    <w:p w14:paraId="1203A27C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2. dopuszcza się równoczesną eksploatację studni z ujęciem mioceńskim zlokalizowanym w odległości poniżej 500 m pod warunkiem prowadzenia poboru z wydajnością Q ≤ 10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/h;</w:t>
      </w:r>
    </w:p>
    <w:p w14:paraId="307D2E23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3. nie należy przekraczać wydajności eksploatacyjnej studni określonej w dokumentacji hydrogeologicznej (w przypadku eksploatacji naprzemiennej z ujęciem mioceńskim zlokalizowanym w odległości poniżej 500 m);</w:t>
      </w:r>
    </w:p>
    <w:p w14:paraId="4D5FCC4E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4. nie należy podlewać upraw w ilości większej niż realne zapotrzebowanie.”.</w:t>
      </w:r>
    </w:p>
    <w:p w14:paraId="6F2DB323" w14:textId="77777777" w:rsidR="00653179" w:rsidRPr="00653179" w:rsidRDefault="00653179" w:rsidP="00653179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 uzasadnieniu Dyrektor Zarządu Zlewni wskazał między innymi, że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wystąpi negatywne oddziaływanie przedsięwzięcia na stan jednolitych części wód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vertAlign w:val="superscript"/>
          <w:lang w:eastAsia="pl-PL"/>
        </w:rPr>
        <w:footnoteReference w:id="2"/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 ani na realizację określonych dla nich celów środowiskowych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w „Planie gospodarowania wodami w obszarze dorzecza Odry”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footnoteReference w:id="3"/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.</w:t>
      </w:r>
    </w:p>
    <w:p w14:paraId="473E27A5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14:paraId="3683CE5E" w14:textId="77777777" w:rsidR="00653179" w:rsidRPr="00653179" w:rsidRDefault="00653179" w:rsidP="00653179">
      <w:pPr>
        <w:spacing w:after="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lastRenderedPageBreak/>
        <w:t>Regionalny Dyrektor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, w postanowieniu z 15.01.2026 r. znak WOO-IV.4220.1881.2025.AK.3, wyraził opinię, podtrzymaną w piśmie z 25.02.2026 r., że dla planowanego przedsięwzięcia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ma potrzeby przeprowadzenia oceny oddziaływania na środowisko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oraz wskazał na konieczność uwzględnienia w decyzji o środowiskowych uwarunkowaniach następujących warunków i wymagań:</w:t>
      </w:r>
    </w:p>
    <w:p w14:paraId="7990B56D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„1) Studnię głębinową nr 1 ujmującą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neogeński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mioceński poziom wodonośny eksploatować okresowo w ramach ustalonych i zatwierdzonych dla niej zasobów eksploatacyjnych w ilości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e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8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przy depresji s = 4,16, nie przekraczając maksymalnego godzinowego poboru wody w ilości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/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i rocznego poboru wody w ilości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roczne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65 986,2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/rok.</w:t>
      </w:r>
    </w:p>
    <w:p w14:paraId="3F8D092A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2) Nawadnianie upraw wodą pobraną z planowanej studni prowadzić z wykorzystaniem deszczowni kropelkowej na obszarze o powierzchni do 44,5975 ha.</w:t>
      </w:r>
    </w:p>
    <w:p w14:paraId="20A55FC2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3) Nie prowadzić nawadniania upraw w okresie południa, przy intensywnym nasłonecznieniu.”.</w:t>
      </w:r>
    </w:p>
    <w:p w14:paraId="0357649B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 uzasadnieniu Regionalny Dyrektor stwierdził między innymi, że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realizacja przedsięwzięcia nie pociągnie za sobą zagrożeń dla środowiska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4ABB3A97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W związku z uzupełnieniem wniosku i karty informacyjnej przedsięwzięcia, Burmistrz Śremu, pismem z 27.02.2026 r., wystąpił do Dyrektora Zarządu Zlewni, o ponowną opinię w sprawie obowiązku przeprowadzenia oceny oddziaływania przedmiotowego przedsięwzięcia na środowisko i określenia zakresu ewentualnego raportu.</w:t>
      </w:r>
    </w:p>
    <w:p w14:paraId="0BC39A1C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 11.03.2026 r. znak PO.ZZŚ.4901.518.2025.AR.2 podtrzymał swoją opinię wyrażoną w piśmie z 16.12.2025 r. znak PZ.ZZŚ.4901.518.2025.AR.1, w której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stwierdził potrzeby przeprowadzenia oceny oddziaływania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przedsięwzięcia na środowisko wskazując na konieczność określenia wymagań w decyzji o środowiskowych uwarunkowaniach.</w:t>
      </w:r>
    </w:p>
    <w:p w14:paraId="69FBE32F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74 ust. 3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strony postępowania zostały powiadomione, w formie obwieszczenia z 16.03.2026 r., o możliwości zapoznania się i wypowiedzenia co do zebranych dowodów i materiałów oraz zgłoszonych żądań w sprawie, w terminie do 07.04.2026 r. Obwieszczenie zamieszczono w Biuletynie Informacji Publicznej Urzędu Miejskiego w Śremie (</w:t>
      </w:r>
      <w:hyperlink r:id="rId10" w:history="1">
        <w:r w:rsidRPr="00653179">
          <w:rPr>
            <w:rFonts w:ascii="Calibri" w:eastAsia="Calibri" w:hAnsi="Calibri" w:cs="Times New Roman"/>
            <w:color w:val="0563C1"/>
            <w:sz w:val="28"/>
            <w:u w:val="single"/>
          </w:rPr>
          <w:t>https://bip.srem.pl/public/?id=237770</w:t>
        </w:r>
      </w:hyperlink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), w gablotach informacyjnych Urzędu oraz na tablicach ogłoszeniowych w Górze i Brodnicy. Żadna ze stron postępowania nie skorzystała z przysługującego jej prawa. </w:t>
      </w:r>
    </w:p>
    <w:p w14:paraId="7F47790F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Stosownie do art. 63 ust. 1 i art. 65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właściwy organ do wydania decyzji o środowiskowych uwarunkowaniach, po zasięgnięciu opinii organów współdziałających wymienionych w art. 64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., wydaje postanowienie o</w:t>
      </w:r>
      <w:bookmarkStart w:id="2" w:name="mip53179001"/>
      <w:bookmarkEnd w:id="2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obowiązku przeprowadzenia oceny oddziaływania przedsięwzięcia na środowisko dla planowanego przedsięwzięcia mogącego potencjalnie znacząco oddziaływać na środowisko i określa jednocześnie zakres raportu o oddziaływaniu przedsięwzięcia na środowiskom, zgodnie z art. 63 ust. 4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73FC1F5E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Natomiast zgodnie z art. 84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w przypadku, gdy nie została przeprowadzona ocena oddziaływania przedsięwzięcia na środowisko, </w:t>
      </w:r>
      <w:bookmarkStart w:id="3" w:name="mip53179366"/>
      <w:bookmarkEnd w:id="3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 decyzji o środowiskowych uwarunkowaniach właściwy organ stwierdza brak potrzeby przeprowadzenia oceny oddziaływania przedsięwzięcia na środowisko. </w:t>
      </w:r>
    </w:p>
    <w:p w14:paraId="2A4C6125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opiniujących, informacji zawartych w karcie informacyjnej przedsięwzięcia oraz uwzględniając łącznie kryteria wskazane w art. 63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., zgodnie z art. 84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., w decyzji Burmistrz Śremu stwierdził brak potrzeby przeprowadzenia oceny oddziaływania przedsięwzięcia na środowisko. </w:t>
      </w:r>
    </w:p>
    <w:p w14:paraId="4F3795FE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Jednocześnie zgodnie z art. 84 ust. 1a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Burmistrz Śremu określił warunki i wymagania konieczne do spełnienia przez wnioskodawców w fazie realizacji, eksploatacji lub użytkowania przedsięwzięcia, wskazane przez Regionalnego Dyrektora oraz Dyrektora Zarządu Zlewni.</w:t>
      </w:r>
    </w:p>
    <w:p w14:paraId="22820B0A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Biorąc pod uwagę informacje przedstawione w karcie informacyjnej przedsięwzięcia, w niniejszej sprawie nie zachodzi konieczność nałożenia obowiązku przeprowadzenia oceny oddziaływania na środowisko, na mocy art. 63 ust. 3 pkt 1 i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71EE4955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85 ust. 2 pkt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w przypadku, gdy nie została przeprowadzona ocena oddziaływania przedsięwzięcia na środowisko, uzasadnienie decyzji o środowiskowych uwarunkowaniach powinno zawierać informacje o uwarunkowaniach, o których mowa w art. 63 ust. 1, uwzględnionych przy stwierdzaniu braku potrzeby przeprowadzenia oceny oddziaływania przedsięwzięcia na środowisko.</w:t>
      </w:r>
    </w:p>
    <w:p w14:paraId="5D8045C0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1D00CAF7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Wobec powyższego na podstawie karty informacyjnej przedsięwzięcia oraz posiadanych przez Urząd materiałów kartograficznych, w związku z art. 63 ust. 1 </w:t>
      </w:r>
      <w:proofErr w:type="spellStart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u.o.o.ś</w:t>
      </w:r>
      <w:proofErr w:type="spellEnd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.,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przedstawia się co następuje:</w:t>
      </w:r>
    </w:p>
    <w:p w14:paraId="42773501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przedsięwzięcia, z uwzględnieniem skali przedsięwzięcia i wielkości zajmowanego terenu oraz ich wzajemnych proporcji, a także istotnych rozwiązań charakteryzujących przedsięwzięcie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: </w:t>
      </w:r>
    </w:p>
    <w:p w14:paraId="723947F1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planowane przedsięwzięcie będzie polegać na budowie studni na działce o nr ewid. 20/19, obręb Góra, wykonaniu urządzenia wodnego – deszczowni do </w:t>
      </w:r>
      <w:proofErr w:type="spellStart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nawodnień</w:t>
      </w:r>
      <w:proofErr w:type="spellEnd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gruntów rolnych (sadów) na działkach o nr ewid.: 20/19; 20/30; 33/8; 33/14; 33/21; 20/26; 20/28; 33/17; 38/3; 20/29; 20/18; 20/31, obręb Góra oraz gospodarowaniu wodą w rolnictwie polegającym na melioracji na obszarze nie mniejszym niż 5 ha - nawodnienie gruntów rolnych (sadów), na działkach o nr ewid.: 20/19; 20/30; 33/8; 33/14; 33/21; 20/26; 20/28; 33/17; 38/3; 20/29; 20/18; 20/31, obręb Góra. Planowane ujęcie wody zostanie wykonane w odwierconym na głębokość 114 m p.p.t. otworze hydrogeologicznym ujmującym </w:t>
      </w:r>
      <w:proofErr w:type="spellStart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neogeński</w:t>
      </w:r>
      <w:proofErr w:type="spellEnd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mioceński poziom wodonośny, którego wykonanie zostało poprzedzone uzyskaniem przez wnioskodawców decyzji Burmistrza Śremu z 29.09.2022 r. znak: PPSOŚ.6220.8.2022.BM o środowiskowych uwarunkowaniach dla przedsięwzięcia polegającego na wykonaniu wiercenia o głębokości do 114 m p.p.t. w celu zaopatrzenia w wodę na działce o nr ewid. 20/19, obręb Góra. Po przeprowadzeniu pompowań otworu hydrogeologicznego na podstawie uzyskanych wyników sporządzono dla niego dokumentację hydrogeologiczną ustalającą zasoby eksploatacyjne w ilości </w:t>
      </w:r>
      <w:proofErr w:type="spellStart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Q</w:t>
      </w:r>
      <w:r w:rsidRPr="00653179">
        <w:rPr>
          <w:rFonts w:ascii="Calibri" w:eastAsia="SimSun" w:hAnsi="Calibri" w:cs="Calibri"/>
          <w:kern w:val="1"/>
          <w:sz w:val="28"/>
          <w:szCs w:val="28"/>
          <w:vertAlign w:val="subscript"/>
          <w:lang w:eastAsia="hi-IN" w:bidi="hi-IN"/>
        </w:rPr>
        <w:t>e</w:t>
      </w:r>
      <w:proofErr w:type="spellEnd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= 8 m</w:t>
      </w:r>
      <w:r w:rsidRPr="00653179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/h przy depresji s = 4,16 m, która została zatwierdzona decyzją Starosty Śremskiego z 13.03.2025 r. znak: OS.6531.1.2025. W karcie informacyjnej przedsięwzięcia wskazano, że otwór hydrogeologiczny zostanie wyposażony w pompę głębinową oraz w szczelną obudowę studzienną. Roczne zapotrzebowanie na wodę określono w ilości </w:t>
      </w:r>
      <w:proofErr w:type="spellStart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Q</w:t>
      </w:r>
      <w:r w:rsidRPr="00653179">
        <w:rPr>
          <w:rFonts w:ascii="Calibri" w:eastAsia="SimSun" w:hAnsi="Calibri" w:cs="Calibri"/>
          <w:kern w:val="1"/>
          <w:sz w:val="28"/>
          <w:szCs w:val="28"/>
          <w:vertAlign w:val="subscript"/>
          <w:lang w:eastAsia="hi-IN" w:bidi="hi-IN"/>
        </w:rPr>
        <w:t>roczne</w:t>
      </w:r>
      <w:proofErr w:type="spellEnd"/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= 65 986,2 m</w:t>
      </w:r>
      <w:r w:rsidRPr="00653179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3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/rok. Nawadnianie drzew owocowych wodą pobraną ze studni będzie prowadzone okresowo, to jest od początku kwietnia do końca września na powierzchni nie większej niż 44,5975 ha z wykorzystaniem deszczowni kropelkowej. Z uwagi na to, że przyjęte przez wnioskodawców założenia w zakresie zapotrzebowania na wodę stanowiły podstawę do przeprowadzonej analizy oddziaływania przedsięwzięcia na środowisko, zostały one wpisane w decyzji jako warunki realizacji przedsięwzięcia, zgodnie z postanowieniem Regionalnego Dyrektora i opinią Dyrektora Zarządu Zlewni. </w:t>
      </w:r>
    </w:p>
    <w:p w14:paraId="1A89EDED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W celu ograniczenia nadmiernego parowania i związanej z tym mniejszej ilości wody docierającej do podłoża, zgodnie z postanowieniem Regionalnego Dyrektora, w decyzji wpisano również warunek, aby nie prowadzić nawadniania upraw w godzinach południowych, przy intensywnym nasłonecznieniu;</w:t>
      </w:r>
    </w:p>
    <w:p w14:paraId="38795CDD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rodzaj i charakterystyka przedsięwzięcia oraz rodzaj, cechy i skala możliwego oddziaływania rozważanego w odniesieniu do kryteriów wymienionych w art. 63 ust. 1 pkt 1 i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oraz w art. 62 ust. 1 pkt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., z uwzględnieniem oraz wynikające z powiązań z innymi przedsięwzięciami, w szczególności kumulowania się oddziaływań przedsięwzięć realizowanych i zrealizowanych, dla których została wydana decyzja o środowiskowych uwarunkowaniach, znajdujących się na terenie, na którym planuje się realizację przedsięwzięcia, oraz w obszarze oddziaływania przedsięwzięcia lub których oddziaływania mieszczą się w obszarze oddziaływania planowanego przedsięwzięcia w zakresie, w jakim ich oddziaływania mogą prowadzić do skumulowania oddziaływań z planowanym przedsięwzięciem:</w:t>
      </w:r>
    </w:p>
    <w:p w14:paraId="22EC53DE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 zasięgu leja depresji wyznaczonego dla poboru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 xml:space="preserve">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/h, będącego odzwierciedleniem sytuacji najbardziej niekorzystnej jaka może wystąpić (R = 432,3 m) nie znajdują się inne czynne studnie eksploatujące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neogeński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mioceński poziom wodonośny, stanowiące własność innych podmiotów. Natomiast na działce o nr ewid. 20/21, obręb Góra, w odległości 298,5 m od planowanej studni znajduje się ujęcie wody eksploatujące tą samą warstwę wodonośną, wykonane w 2005 r. do nawadniania sadów, należące do jednego z wnioskodawców,</w:t>
      </w:r>
      <w:r w:rsidRPr="00653179">
        <w:rPr>
          <w:rFonts w:ascii="Calibri" w:eastAsia="Calibri" w:hAnsi="Calibri" w:cs="Times New Roman"/>
          <w:sz w:val="28"/>
        </w:rPr>
        <w:t xml:space="preserve">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które posiada zatwierdzone decyzją Starosty Śremskiego z 05.10.2005 r. znak OS.7520-22/05 zasoby eksploatacyjne w ilości Q = 4,2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przy depresji s = 2,3 m i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/h. W karcie informacyjnej przedsięwzięcia wskazano, że eksploatacja obu studni z wydajnością nieprzekraczającą 10 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każda, zapewnią brak oddziaływania między tymi ujęciami wody. Zakłada się możliwość kontrolowania pracy obu studni i prowadzenie poboru wody w systemie naprzemiennym w przypadku konieczności ich eksploatacji z maksymalną wydajnością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każda. Przy takich poborach wody leje depresji wytworzą się w odległości 432 m i 322 m dla poszczególnych studni. Powyższe odzwierciedlono w warunkach decyzji, zgodnie z opinią Dyrektora Zarządu Zlewni. Pobór wód podziemnych z wydajnością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Q</w:t>
      </w:r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>hmax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vertAlign w:val="subscript"/>
          <w:lang w:eastAsia="pl-PL"/>
        </w:rPr>
        <w:t xml:space="preserve">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= 20 m</w:t>
      </w:r>
      <w:r w:rsidRPr="00653179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3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/h będzie zachodził wyłącznie w okresie wegetacyjnym, to jest od początku kwietnia do końca września. </w:t>
      </w:r>
    </w:p>
    <w:p w14:paraId="5F5A2D5C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Taki sposób funkcjonowania planowanej studni, obejmujący okresowe przerwy w jej eksploatacji, będzie pozwalał na odbudowę leja depresji;</w:t>
      </w:r>
    </w:p>
    <w:p w14:paraId="218B07BA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różnorodności biologicznej, wykorzystywania zasobów naturalnych, w tym gleby, wody i powierzchni ziemi: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6DB43439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eksploatacja przedsięwzięcia będzie wiązała się z wykorzystaniem zasobów naturalnych w postaci wód podziemnych. W wyniku realizacji i eksploatacji przedsięwzięcia nie będzie dochodzić do znaczącego negatywnego wpływu na bioróżnorodność; </w:t>
      </w:r>
    </w:p>
    <w:p w14:paraId="35445DC0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rodzaj i charakterystyka przedsięwzięcia z uwzględnieniem: emisji i występowania innych uciążliwości; zagrożenia dla zdrowia ludzi, w tym wynikającego z emisji oraz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 odniesieniu do kryteriów wymienionych w art. 63 ust. 1 pkt 1 i 2 oraz w art. 62 ust. 1 pkt 1, wynikające z: zasięgu oddziaływania - obszaru geograficznego i liczby ludności, na którą przedsięwzięcie może oddziaływać; charakteru, wielkości, intensywności i złożoności oddziaływania, z uwzględnieniem obciążenia istniejącej infrastruktury technicznej oraz przewidywanego momentu rozpoczęcia oddziaływania; prawdopodobieństwa oddziaływania; czasu trwania, częstotliwości i odwracalności oddziaływania; możliwości ograniczenia oddziaływania</w:t>
      </w: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:</w:t>
      </w:r>
    </w:p>
    <w:p w14:paraId="1ACD7016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w wyniku realizacji przedsięwzięcia </w:t>
      </w:r>
      <w:r w:rsidRPr="00653179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nie zwiększy się poziom hałasu w środowisku i nie zostaną przekroczone akustyczne standardy jakości środowiska</w:t>
      </w: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. </w:t>
      </w:r>
      <w:r w:rsidRPr="00653179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 xml:space="preserve">Nie przewiduje się </w:t>
      </w: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również </w:t>
      </w:r>
      <w:r w:rsidRPr="00653179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wpływu przedsięwzięcia na stan jakości powietrza w rejonie zainwestowania. Przedsięwzięcie nie będzie negatywnie wpływać na lokalne warunki gruntowo-wodne</w:t>
      </w:r>
      <w:r w:rsidRPr="00653179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. Istniejący otwór hydrogeologiczny po uzbrojeniu w pompę zostanie zabezpieczony w sposób uniemożliwiający migrację wraz z wodami opadowymi zanieczyszczeń z powierzchni ziemi do jego wnętrza poprzez wyposażenie w szczelną obudowę. Z karty informacyjnej przedsięwzięcia wynika, że planowana do ujęcia warstwa wodonośna jest w sposób naturalny chroniona nadkładem utworów słabo przepuszczalnych (gliny, iły). Jak wskazano w karcie informacyjnej przedsięwzięcia, eksploatacja studni z planowaną wydajnością nie wpłynie znacząco negatywnie zarówno na ilościowy, jak i jakościowy stan wód powierzchniowych i podziemnych. Nie zostaną również naruszone interesy osób trzecich. Ujęcie wody będzie eksploatowane w sposób zapewniający ochronę użytkowej warstwy wodonośnej przed nadmierną eksploatacją i umożliwiający korzystanie z dostępnych rezerw zasobowych przez innych użytkowników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5651AD98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rodzaj i charakterystyka przedsięwzięcia z uwzględnieniem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ocenionego w oparciu o wiedzę naukową ryzyka wystąpienia poważnych awarii lub katastrof naturalnych i budowlanych, przy uwzględnieniu używanych substancji i stosowanych technologii, w tym ryzyka związanego ze zmianą klimatu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167D8380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przy uwzględnieniu używanych substancji i stosowanych technologii oraz realizacji przedsięwzięcia zgodnie z obowiązującymi przepisami i normami, ryzyko wystąpienia katastrofy budowlanej będzie ograniczone. Przedsięwzięcie nie zalicza się do kategorii zakładów stwarzających zagrożenie wystąpienia poważnych awarii przemysłowych, zgodnie z rozporządzeniem Ministra Rozwoju z 29 stycznia 2016 r. w sprawie rodzajów i ilości znajdujących się w zakładzie substancji niebezpiecznych, decydujących o zaliczeniu zakładu do zakładu o zwiększonym lub dużym ryzyku wystąpienia poważnej awarii przemysłowej (Dz. U. poz. 138). Ze względu na położenie geograficzne przedsięwzięcie nie jest zagrożone ryzykiem katastrofy naturalnej, w szczególności w wyniku wystąpienia: trzęsień ziemi, powodzi czy osuwisk. Z uwagi na charakter i lokalizację przedsięwzięcia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nie przewiduje się jego wpływu na zmiany klimatu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, ani wpływu postępujących zmian klimatu na to przedsięwzięcie; </w:t>
      </w:r>
    </w:p>
    <w:p w14:paraId="682A92D3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przewidywanych ilości i rodzaju wytwarzanych odpadów oraz ich wpływu na środowisko, w przypadkach gdy planuje się ich powstawanie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444F93E0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etap eksploatacji studni nie będzie wiązał się z wytwarzaniem odpadów;</w:t>
      </w:r>
    </w:p>
    <w:p w14:paraId="3BE8CF71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obszary wodno-błotne, inne obszary o płytkim zaleganiu wód podziemnych, w tym siedliska łęgowe oraz ujścia rzek, obszary wybrzeży i środowisko morskie, obszary górskie lub leśne,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obszary objęte ochroną, w tym strefy ochronne ujęć wód i obszary ochronne zbiorników wód śródlądowych, obszary, na których standardy jakości środowiska zostały przekroczone lub istnieje prawdopodobieństwo ich przekroczenia, obszary o krajobrazie mającym znaczenie historyczne, kulturowe lub archeologiczne, gęstość zaludnienia, obszary przylegające do jezior, uzdrowiska i obszary ochrony uzdrowiskowej: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6D6AFE6F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 xml:space="preserve">przedsięwzięcie nie będzie zlokalizowane na obszarach wodno-błotnych oraz innych obszarach o płytkim zaleganiu wód podziemnych i obszarach objętych ochroną, w tym w obrębie stref ochronnych ujęć wód. Na działce o nr ewid. 20/21, obręb Góra, w odległości 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298,5 m od planowanej studni,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zlokalizowana jest czynna studnia głębinowa z ustanowioną strefą ochronną obejmującą teren ochrony bezpośredniej ujęcia wód podziemnych wokół studni o wymiarach 2,25 m x 2,25 m. Przedsięwzięcie nie będzie zlokalizowane na obszarach o krajobrazie mającym znaczenie historyczne, kulturowe oraz archeologiczne. W sąsiedztwie przedsięwzięcia na działkach o nr ewid. 20/34 i 20/21, obręb Góra występuje zewidencjonowane stanowisko archeologiczne AZP 58-28/33. Przedsięwzięcie nie będzie także zlokalizowane na obszarach wybrzeży i środowiska morskiego, obszarach górskich, leśnych, a także na obszarach o dużej gęstości zaludnienia. Nie przewiduje się ponadto przekroczenia standardów jakości środowiska na przedmiotowym obszarze w związku z realizacją przedsięwzięcia;</w:t>
      </w:r>
    </w:p>
    <w:p w14:paraId="3CAFE71A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obszary wymagające specjalnej ochrony ze względu na występowanie gatunków roślin, grzybów i zwierząt lub ich siedlisk lub siedlisk przyrodniczych objętych ochroną, w tym obszary Natura 2000, oraz pozostałe formy ochrony przyrody: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bookmarkStart w:id="4" w:name="_Hlk82517539"/>
    </w:p>
    <w:bookmarkEnd w:id="4"/>
    <w:p w14:paraId="4341B72C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teren przeznaczony pod przedsięwzięcie zlokalizowany jest poza obszarami chronionymi na podstawie ustawy z dnia 16 kwietnia 2004 r. o ochronie przyrody (Dz. U. z 2026 r. poz. 13 i 426). Najbliżej położonymi obszarami chronionymi są: Rogaliński Park Krajobrazowy oraz obszary Natura 2000 - specjalny obszar ochrony siedlisk Rogalińska Dolina Warty PLH300012 i obszar specjalnej ochrony ptaków Ostoja Rogalińska PLB300017, zlokalizowane w bezpośrednim sąsiedztwie przedsięwzięcia. </w:t>
      </w:r>
    </w:p>
    <w:p w14:paraId="4B1CEDF2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br w:type="page"/>
      </w:r>
    </w:p>
    <w:p w14:paraId="2FE14A63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Mając na względzie lokalizację planowanego przedsięwzięcia poza obszarami chronionymi, na gruntach użytkowanych rolniczo oraz brak konieczności wycinki drzew i krzewów, </w:t>
      </w:r>
      <w:r w:rsidRPr="00653179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nie przewiduje się znaczącego negatywnego oddziaływania przedsięwzięcia na środowisko przyrodnicze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, w tym na różnorodność biologiczną, rozumianą jako liczebność i kondycję populacji występujących gatunków, w szczególności chronionych, rzadkich lub ginących gatunków roślin, zwierząt i grzybów. Realizacja przedsięwzięcia nie wpłynie także na obszary chronione, a w szczególności na siedliska przyrodnicze, gatunki roślin i zwierząt oraz ich siedliska, dla których ochrony zostały wyznaczone obszary Natura 2000, a także nie spowoduje pogorszenia integralności poszczególnych obszarów Natura 2000 lub ich powiązań z innymi obszarami. Ponadto przedsięwzięcie nie spowoduje utraty i fragmentacji siedlisk oraz nie wpłynie na korytarze ekologiczne i funkcję ekosystemu;</w:t>
      </w:r>
    </w:p>
    <w:p w14:paraId="70EF79E6" w14:textId="77777777" w:rsidR="00653179" w:rsidRPr="00653179" w:rsidRDefault="00653179">
      <w:pPr>
        <w:numPr>
          <w:ilvl w:val="0"/>
          <w:numId w:val="5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wody i obowiązujące dla nich cele środowiskowe:</w:t>
      </w:r>
      <w:r w:rsidRPr="00653179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2E2466C4" w14:textId="77777777" w:rsidR="00653179" w:rsidRPr="00653179" w:rsidRDefault="00653179" w:rsidP="00653179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według charakterystyki jednolitych części wód planowane przedsięwzięcie zlokalizowane jest w granicach jednolitej części wód podziemnych (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) o kodzie GW600060 oraz jednolitej części wód powierzchniowych (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jcwp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) o kodzie RW60001218573 – Warta od Młyniska do Kopli. Zgodnie z obowiązującym „Planem gospodarowania wodami na obszarze dorzecza Odry”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 o kodzie GW600060 charakteryzuje się dobrym stanem ilościowym oraz chemicznym, jest ona monitorowana, a w odniesieniu do ryzyka nieosiągnięcia celów środowiskowych została uznana za zagrożoną.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>Jcwp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 o kodzie RW60001218573 jest silnie zmienioną częścią wód, monitorowaną, o aktualnym słabym potencjale ekologicznym oraz stanie chemicznym poniżej dobrego, a zgodnie z oceną ryzyka nieosiągnięcia celów środowiskowych uznana została za niezagrożoną;</w:t>
      </w: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45872A92" w14:textId="77777777" w:rsidR="00653179" w:rsidRPr="00653179" w:rsidRDefault="00653179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 odniesieniu do kryteriów wymienionych w art. 63 ust. 1 pkt 1 i 2 oraz w art. 62 ust. 1 pkt 1, wynikające z transgranicznego charakteru oddziaływania przedsięwzięcia na poszczególne elementy przyrodnicze:</w:t>
      </w: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6D78F3CF" w14:textId="77777777" w:rsidR="00653179" w:rsidRPr="00653179" w:rsidRDefault="00653179" w:rsidP="00653179">
      <w:pPr>
        <w:tabs>
          <w:tab w:val="left" w:pos="426"/>
        </w:tabs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zh-CN"/>
        </w:rPr>
        <w:t xml:space="preserve">przedmiotowe przedsięwzięcie nie będzie transgranicznie oddziaływać na środowisko. </w:t>
      </w:r>
    </w:p>
    <w:p w14:paraId="542E450F" w14:textId="77777777" w:rsidR="00653179" w:rsidRPr="00653179" w:rsidRDefault="00653179" w:rsidP="00653179">
      <w:pPr>
        <w:widowControl w:val="0"/>
        <w:tabs>
          <w:tab w:val="left" w:pos="0"/>
        </w:tabs>
        <w:suppressAutoHyphens/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ab/>
        <w:t xml:space="preserve">Zgodnie z art. 80 ust. 2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właściwy organ wydaje decyzję o środowiskowych uwarunkowaniach po stwierdzeniu zgodności lokalizacji przedsięwzięcia z ustaleniami miejscowego planu zagospodarowania przestrzennego, jeżeli plan ten został uchwalony. Natomiast zgodnie z art. 59a ust. 3 pkt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., w przypadku stwierdzenia niezgodności lokalizacji przedsięwzięcia z ustaleniami miejscowego planu zagospodarowania przestrzennego, organ właściwy do wydania decyzji o środowiskowych uwarunkowaniach odmawia zgody na realizację przedsięwzięcia. </w:t>
      </w:r>
    </w:p>
    <w:p w14:paraId="0E1C29D8" w14:textId="77777777" w:rsidR="00653179" w:rsidRPr="00653179" w:rsidRDefault="00653179" w:rsidP="00653179">
      <w:pPr>
        <w:widowControl w:val="0"/>
        <w:tabs>
          <w:tab w:val="left" w:pos="0"/>
        </w:tabs>
        <w:suppressAutoHyphens/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>Przedsięwzięcie w części zlokalizowane jest na terenie obowiązującego miejscowego planu zagospodarowania przestrzennego, uchwalonego uchwałą Nr 360/LI/06 Rady Miejskiej w Śremie z dnia 2 czerwca 2006 r. (Dz. Urz. Woj. Wielk. Nr 126, poz. 3092) i przeznaczonym w częściach pod teren zabudowy zagrodowej, oznaczony symbolem RM1 oraz pod teren rolny, oznaczony symbolem R. Zgodnie z § 4 pkt 1 lit. a przywołanej uchwały na terenach zabudowy zagrodowej zakazuje się lokalizowania przedsięwzięć mogących znacząco oddziaływać na środowisko, dla których obowiązek sporządzenia raportu o oddziaływania na środowisko jest obligatoryjnie wymagany przepisami prawa. Z kolei zgodnie z § 5 pkt 3 lit. a uchwały na terenach zabudowy zagrodowej dopuszczono lokalizowanie wszelkich obiektów budowlanych związanych z prowadzeniem produkcji rolnej. Ponadto, zgodnie z § 8 uchwały w zakresie zasad modernizacji, rozbudowy i budowy systemów infrastruktury technicznej dopuszczono lokalizowanie obiektów i urządzeń infrastruktury technicznej, a w szczególności stacji transformatorowych, urządzeń przepompowni ścieków i stacji redukcyjnych gazu. Mając powyższe na uwadze, Burmistrz Śremu stwierdził zgodność lokalizacji przedsięwzięcia z ustaleniami tego planu.</w:t>
      </w:r>
    </w:p>
    <w:p w14:paraId="697DEB54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 związku z odstąpieniem od obowiązku przeprowadzenia oceny oddziaływania przedsięwzięcia na środowisko, postępowanie w przedmiotowej sprawie nie wymagało zapewnienia możliwości udziału społeczeństwa. </w:t>
      </w:r>
    </w:p>
    <w:p w14:paraId="1EB9E7A2" w14:textId="77777777" w:rsidR="00653179" w:rsidRPr="00653179" w:rsidRDefault="00653179" w:rsidP="00653179">
      <w:pPr>
        <w:widowControl w:val="0"/>
        <w:tabs>
          <w:tab w:val="left" w:pos="0"/>
        </w:tabs>
        <w:suppressAutoHyphens/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Biorąc pod uwagę powyższe, w szczególności informacje przedstawione w karcie informacyjnej przedsięwzięcia, uwzględniając łącznie kryteria wymienione w art. 63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oraz stanowiska Organów opiniujących, Burmistrz Śremu stwierdził, że przedsięwzięcie będzie zgodne z wymaganiami ochrony środowiska, jeśli zostaną spełnione warunki określone w karcie informacyjnej przedsięwzięcia i w decyzji o środowiskowych uwarunkowaniach. </w:t>
      </w:r>
    </w:p>
    <w:p w14:paraId="5CF7FDD4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Ponadto, podmiot realizujący i eksploatujący przedsięwzięcie zobowiązany jest do dotrzymania standardów jakości środowiska określonych w przepisach odrębnych. </w:t>
      </w:r>
    </w:p>
    <w:p w14:paraId="30D18EE6" w14:textId="77777777" w:rsidR="00653179" w:rsidRPr="00653179" w:rsidRDefault="00653179" w:rsidP="00653179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Mając powyższe na uwadze orzeczono jak w sentencji decyzji.</w:t>
      </w:r>
    </w:p>
    <w:p w14:paraId="7263E212" w14:textId="77777777" w:rsidR="00653179" w:rsidRPr="00653179" w:rsidRDefault="00653179" w:rsidP="00653179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7CE4C88B" w14:textId="77777777" w:rsidR="00653179" w:rsidRPr="00653179" w:rsidRDefault="00653179" w:rsidP="00653179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Od niniejszej decyzji służy Stronie prawo wniesienia odwołania do Samorządowego Kolegium Odwoławczego w Poznaniu, za moim pośrednictwem, w terminie 14 dni od dnia doręczenia. </w:t>
      </w:r>
    </w:p>
    <w:p w14:paraId="6FEE6E03" w14:textId="77777777" w:rsidR="00653179" w:rsidRPr="00653179" w:rsidRDefault="00653179" w:rsidP="00653179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28FF4A20" w14:textId="77777777" w:rsidR="00653179" w:rsidRPr="00653179" w:rsidRDefault="00653179" w:rsidP="00653179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Decyzję o środowiskowych uwarunkowaniach dołącza się do wniosku o wydanie decyzji, o których mowa w art. 72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oraz zgłoszenia, o którym mowa w art. 72 ust. 1a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 Złożenie wniosku lub dokonanie zgłoszenia powinno nastąpić w terminie 6 lat od dnia, w którym decyzja o środowiskowych uwarunkowaniach stała się ostateczna. Złożenie wniosku lub dokonanie zgłoszenia może nastąpić w terminie 10 lat od dnia, w którym decyzja o środowiskowych uwarunkowaniach stała się ostateczna, o ile strona, która złożyła wniosek o wydanie decyzji o środowiskowych uwarunkowaniach lub podmiot, na który została przeniesiona ta decyzja, otrzymali przed upływem 6 lat od dnia, w którym decyzja o środowiskowych uwarunkowaniach stała się ostateczna, od Burmistrza Śremu stanowisko, że aktualne są warunki realizacji przedsięwzięcia określone w decyzji o środowiskowych uwarunkowaniach. Zajęcie stanowiska, w drodze postanowienia, następuje na wniosek uwzględniający informacje na temat stanu środowiska i możliwości realizacji warunków wynikających z decyzji o środowiskowych uwarunkowaniach, złożony nie wcześniej niż po upływie 5 lat od dnia, w którym decyzja o środowiskowych uwarunkowaniach stała się ostateczna.</w:t>
      </w:r>
    </w:p>
    <w:p w14:paraId="64CB69CA" w14:textId="77777777" w:rsidR="00653179" w:rsidRPr="00653179" w:rsidRDefault="00653179" w:rsidP="00653179">
      <w:pPr>
        <w:tabs>
          <w:tab w:val="left" w:pos="0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ab/>
      </w:r>
    </w:p>
    <w:p w14:paraId="6AA6651D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C81F79C" w14:textId="77777777" w:rsidR="00653179" w:rsidRPr="00653179" w:rsidRDefault="00653179" w:rsidP="00653179">
      <w:pPr>
        <w:tabs>
          <w:tab w:val="left" w:pos="0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ab/>
        <w:t xml:space="preserve">Decyzja o środowiskowych uwarunkowaniach wiąże organy: </w:t>
      </w:r>
    </w:p>
    <w:p w14:paraId="7104C8A0" w14:textId="77777777" w:rsidR="00653179" w:rsidRPr="00653179" w:rsidRDefault="00653179" w:rsidP="00653179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wydające decyzje określające warunki korzystania ze środowiska w zakresie, w jakim ma być uwzględniona przy wydawaniu tych decyzji;</w:t>
      </w:r>
    </w:p>
    <w:p w14:paraId="5F91A1BA" w14:textId="77777777" w:rsidR="00653179" w:rsidRPr="00653179" w:rsidRDefault="00653179" w:rsidP="00653179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wydające decyzje, o których mowa w art. 72 ust. 1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.; </w:t>
      </w:r>
    </w:p>
    <w:p w14:paraId="70F6434B" w14:textId="77777777" w:rsidR="00653179" w:rsidRPr="00653179" w:rsidRDefault="00653179" w:rsidP="00653179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przyjmujące zgłoszenia, o których mowa w art. 72 ust. 1a 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32809593" w14:textId="7C8FB730" w:rsidR="00653179" w:rsidRPr="00653179" w:rsidRDefault="00653179" w:rsidP="00653179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09F6EFAA" w14:textId="77777777" w:rsidR="00653179" w:rsidRPr="00653179" w:rsidRDefault="00653179" w:rsidP="00653179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6154F644" w14:textId="77777777" w:rsidR="00653179" w:rsidRPr="00653179" w:rsidRDefault="00653179" w:rsidP="00653179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naczelnik Pionu Gospodarowania </w:t>
      </w:r>
    </w:p>
    <w:p w14:paraId="137880AC" w14:textId="77777777" w:rsidR="00653179" w:rsidRPr="00653179" w:rsidRDefault="00653179" w:rsidP="00653179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6FD371CD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Załączniki:</w:t>
      </w:r>
    </w:p>
    <w:p w14:paraId="1DC1BF9C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Załącznik nr 1 - Charakterystyka całego przedsięwzięcia.</w:t>
      </w:r>
    </w:p>
    <w:p w14:paraId="2CE07A25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ABAB94E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2863B357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13E3C775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2467857C" w14:textId="77777777" w:rsidR="00653179" w:rsidRPr="00653179" w:rsidRDefault="00653179" w:rsidP="00653179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32789F71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8899122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3091B273" w14:textId="77777777" w:rsidR="00653179" w:rsidRPr="00653179" w:rsidRDefault="00653179">
      <w:pPr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6077AB3C" w14:textId="53F03BE0" w:rsidR="00653179" w:rsidRPr="00653179" w:rsidRDefault="00653179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</w:t>
      </w:r>
    </w:p>
    <w:p w14:paraId="69F1053F" w14:textId="7C90FEDF" w:rsidR="00653179" w:rsidRPr="00653179" w:rsidRDefault="00653179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……………………………………………………………………………………</w:t>
      </w:r>
    </w:p>
    <w:p w14:paraId="5E6323AB" w14:textId="286A80FD" w:rsidR="00653179" w:rsidRPr="00653179" w:rsidRDefault="00653179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…………………………………………………………………………………</w:t>
      </w:r>
    </w:p>
    <w:p w14:paraId="1C5C3289" w14:textId="370C80F0" w:rsidR="00653179" w:rsidRPr="00653179" w:rsidRDefault="00653179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…………………………………………………………………………………</w:t>
      </w:r>
    </w:p>
    <w:p w14:paraId="180B7C53" w14:textId="77777777" w:rsidR="00653179" w:rsidRPr="00653179" w:rsidRDefault="00653179">
      <w:pPr>
        <w:numPr>
          <w:ilvl w:val="0"/>
          <w:numId w:val="6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</w:t>
      </w:r>
      <w:proofErr w:type="spellStart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0BAD4BBB" w14:textId="77777777" w:rsidR="00653179" w:rsidRPr="00653179" w:rsidRDefault="00653179" w:rsidP="0056490F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123EF4AB" w14:textId="77777777" w:rsidR="00653179" w:rsidRPr="00653179" w:rsidRDefault="00653179" w:rsidP="00653179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143CEC49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00416DC9" w14:textId="77777777" w:rsidR="00653179" w:rsidRPr="00653179" w:rsidRDefault="00653179" w:rsidP="00653179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(e-doręczenie)</w:t>
      </w:r>
    </w:p>
    <w:p w14:paraId="691D7383" w14:textId="77777777" w:rsidR="00653179" w:rsidRPr="00653179" w:rsidRDefault="00653179" w:rsidP="00653179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Dyrektor Zarządu Zlewni w Poznaniu Państwowego Gospodarstwa Wodnego Wody Polskie (e-doręczenie)</w:t>
      </w:r>
    </w:p>
    <w:p w14:paraId="29E54AF9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C7A0746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 xml:space="preserve">Uiszczono opłatę skarbową w kwocie 205,00 zł </w:t>
      </w:r>
    </w:p>
    <w:p w14:paraId="5075F9F2" w14:textId="77777777" w:rsidR="00653179" w:rsidRPr="00653179" w:rsidRDefault="00653179" w:rsidP="00653179">
      <w:pPr>
        <w:tabs>
          <w:tab w:val="left" w:pos="990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data wpłaty 09.10.2025 r.</w:t>
      </w:r>
    </w:p>
    <w:p w14:paraId="590299DF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nr rachunku bankowego Urzędu Miejskiego w Śremie</w:t>
      </w:r>
    </w:p>
    <w:p w14:paraId="53D5DB80" w14:textId="77777777" w:rsidR="00653179" w:rsidRPr="00653179" w:rsidRDefault="00653179" w:rsidP="00653179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653179">
        <w:rPr>
          <w:rFonts w:ascii="Calibri" w:eastAsia="Times New Roman" w:hAnsi="Calibri" w:cs="Calibri"/>
          <w:sz w:val="28"/>
          <w:szCs w:val="28"/>
          <w:lang w:eastAsia="pl-PL"/>
        </w:rPr>
        <w:t>57 9084 0003 2102 0013 0521 0013</w:t>
      </w:r>
    </w:p>
    <w:p w14:paraId="768E7816" w14:textId="12E57C21" w:rsidR="00E710B2" w:rsidRDefault="00E710B2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4850"/>
      </w:tblGrid>
      <w:tr w:rsidR="00E710B2" w:rsidRPr="00E710B2" w14:paraId="2D4A43C1" w14:textId="77777777" w:rsidTr="00123B0D">
        <w:tc>
          <w:tcPr>
            <w:tcW w:w="4077" w:type="dxa"/>
          </w:tcPr>
          <w:p w14:paraId="5010CAE6" w14:textId="77777777" w:rsidR="00E710B2" w:rsidRPr="00E710B2" w:rsidRDefault="00E710B2" w:rsidP="00E710B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lastRenderedPageBreak/>
              <w:t>Burmistrz Śremu</w:t>
            </w:r>
          </w:p>
          <w:p w14:paraId="2F44BC03" w14:textId="77777777" w:rsidR="00E710B2" w:rsidRPr="00E710B2" w:rsidRDefault="00E710B2" w:rsidP="00E710B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ul. Plac 20 Października 1</w:t>
            </w:r>
          </w:p>
          <w:p w14:paraId="7AED8C7D" w14:textId="77777777" w:rsidR="00E710B2" w:rsidRPr="00E710B2" w:rsidRDefault="00E710B2" w:rsidP="00E710B2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63-100 Śrem</w:t>
            </w:r>
          </w:p>
        </w:tc>
        <w:tc>
          <w:tcPr>
            <w:tcW w:w="4850" w:type="dxa"/>
          </w:tcPr>
          <w:p w14:paraId="0633899B" w14:textId="77777777" w:rsidR="00E710B2" w:rsidRPr="00E710B2" w:rsidRDefault="00E710B2" w:rsidP="00E710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Załącznik nr 1</w:t>
            </w:r>
          </w:p>
          <w:p w14:paraId="0232ABE5" w14:textId="77777777" w:rsidR="00E710B2" w:rsidRPr="00E710B2" w:rsidRDefault="00E710B2" w:rsidP="00E710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do decyzji znak PPSOŚ.6220.16.2025.BM</w:t>
            </w:r>
          </w:p>
          <w:p w14:paraId="6CF92696" w14:textId="77777777" w:rsidR="00E710B2" w:rsidRPr="00E710B2" w:rsidRDefault="00E710B2" w:rsidP="00E710B2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E710B2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 24 kwietnia 2026 r.</w:t>
            </w:r>
          </w:p>
        </w:tc>
      </w:tr>
    </w:tbl>
    <w:p w14:paraId="151605E1" w14:textId="77777777" w:rsidR="00E710B2" w:rsidRPr="00E710B2" w:rsidRDefault="00E710B2" w:rsidP="00E710B2">
      <w:pPr>
        <w:spacing w:before="120" w:after="120" w:line="240" w:lineRule="auto"/>
        <w:rPr>
          <w:rFonts w:ascii="Calibri" w:eastAsia="Calibri" w:hAnsi="Calibri" w:cs="Calibri"/>
          <w:sz w:val="28"/>
          <w:szCs w:val="28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Charakterystyka przedsięwzięcia</w:t>
      </w:r>
      <w:r w:rsidRPr="00E710B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: </w:t>
      </w:r>
      <w:r w:rsidRPr="00E710B2">
        <w:rPr>
          <w:rFonts w:ascii="Calibri" w:eastAsia="Calibri" w:hAnsi="Calibri" w:cs="Calibri"/>
          <w:sz w:val="28"/>
          <w:szCs w:val="28"/>
        </w:rPr>
        <w:t xml:space="preserve">budowa urządzenia wodnego – studni głębinowej (podstawowej) nr 1 z utworów </w:t>
      </w:r>
      <w:proofErr w:type="spellStart"/>
      <w:r w:rsidRPr="00E710B2">
        <w:rPr>
          <w:rFonts w:ascii="Calibri" w:eastAsia="Calibri" w:hAnsi="Calibri" w:cs="Calibri"/>
          <w:sz w:val="28"/>
          <w:szCs w:val="28"/>
        </w:rPr>
        <w:t>neogeńskich</w:t>
      </w:r>
      <w:proofErr w:type="spellEnd"/>
      <w:r w:rsidRPr="00E710B2">
        <w:rPr>
          <w:rFonts w:ascii="Calibri" w:eastAsia="Calibri" w:hAnsi="Calibri" w:cs="Calibri"/>
          <w:sz w:val="28"/>
          <w:szCs w:val="28"/>
        </w:rPr>
        <w:t xml:space="preserve"> – mioceńskich wraz z obudową na działce o nr ewid. 20/19, obręb Góra, wykonanie urządzenia wodnego – deszczowni do </w:t>
      </w:r>
      <w:proofErr w:type="spellStart"/>
      <w:r w:rsidRPr="00E710B2">
        <w:rPr>
          <w:rFonts w:ascii="Calibri" w:eastAsia="Calibri" w:hAnsi="Calibri" w:cs="Calibri"/>
          <w:sz w:val="28"/>
          <w:szCs w:val="28"/>
        </w:rPr>
        <w:t>nawodnień</w:t>
      </w:r>
      <w:proofErr w:type="spellEnd"/>
      <w:r w:rsidRPr="00E710B2">
        <w:rPr>
          <w:rFonts w:ascii="Calibri" w:eastAsia="Calibri" w:hAnsi="Calibri" w:cs="Calibri"/>
          <w:sz w:val="28"/>
          <w:szCs w:val="28"/>
        </w:rPr>
        <w:t xml:space="preserve"> gruntów rolnych (sadów) na działkach o nr ewid.: 20/19; 20/30; 33/8; 33/14; 33/21; 20/26; 20/28; 33/17; 38/3; 20/29; 20/18; 20/31, obręb Góra oraz gospodarowanie wodą w rolnictwie polegające na melioracji na obszarze nie mniejszym niż 5 ha - nawodnienie gruntów rolnych (sadów) na działkach o nr ewid.: 20/19; 20/30; 33/8; 33/14; 33/21; 20/26; 20/28; 33/17; 38/3; 20/29; 20/18; 20/31, obręb Góra.</w:t>
      </w:r>
    </w:p>
    <w:p w14:paraId="08EC3626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Planowane przedsięwzięcie będzie polegać na budowie urządzenia wodnego - studni głębinowej (podstawowej), umożliwiającego pobór wód podziemnych, zwanego dalej studnią, na działce o nr ewid. 20/19, obręb Góra, wykonaniu urządzenia wodnego – deszczowni do </w:t>
      </w:r>
      <w:proofErr w:type="spellStart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nawodnień</w:t>
      </w:r>
      <w:proofErr w:type="spellEnd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gruntów rolnych (sadów) na działkach o nr ewid.: 20/19; 20/30; 33/8; 33/14; 33/21; 20/26; 20/28; 33/17; 38/3; 20/29; 20/18; 20/31, obręb Góra oraz gospodarowaniu wodą w rolnictwie polegające na melioracji na obszarze nie mniejszym niż 5 ha - nawodnienie gruntów rolnych (sadów) na działkach o nr ewid.: 20/19; 20/30; 33/8; 33/14; 33/21; 20/26; 20/28; 33/17; 38/3; 20/29; 20/18; 20/31, obręb Góra.</w:t>
      </w:r>
      <w:r w:rsidRPr="00E710B2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Przedsięwzięcie w części zlokalizowane jest na terenie obowiązującego miejscowego planu zagospodarowania przestrzennego, uchwalonego uchwałą </w:t>
      </w: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Nr 360/LI/06 Rady Miejskiej w Śremie z dnia 2 czerwca 2006 r. (Dz. Urz. Woj. Wielk. Nr 126, poz. 3092)</w:t>
      </w:r>
      <w:r w:rsidRPr="00E710B2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i jego realizacja nie jest sprzeczna z ustaleniami tego planu.</w:t>
      </w:r>
    </w:p>
    <w:p w14:paraId="68E60620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E710B2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Studnia zostanie wykonana w odwierconym na głębokość 114 m p.p.t. otworze hydrogeologicznym i będzie posiadać obudowę z kręgów betonowych o średnicy 1,2 m i głębokości 2,0 m. Dookoła obudowy zostanie wykonana opaska betonowa o promieniu 1,0 m od obudowy. Z powierzchni biologicznie czynnej zostanie wyłączony obszar o powierzchni 8,04 m</w:t>
      </w:r>
      <w:r w:rsidRPr="00E710B2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E710B2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. 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Studnia będzie ujmować </w:t>
      </w:r>
      <w:proofErr w:type="spellStart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neogeński</w:t>
      </w:r>
      <w:proofErr w:type="spellEnd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mioceński poziom wodonośny w ramach ustalonych i zatwierdzonych dla niej zasobów eksploatacyjnych w ilości 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br/>
      </w:r>
      <w:proofErr w:type="spellStart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Q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bscript"/>
          <w:lang w:eastAsia="pl-PL"/>
        </w:rPr>
        <w:t>e</w:t>
      </w:r>
      <w:proofErr w:type="spellEnd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= 8 m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perscript"/>
          <w:lang w:eastAsia="pl-PL"/>
        </w:rPr>
        <w:t>3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/h przy depresji s = 4,16 m, nie przekraczając maksymalnego godzinowego poboru wody w ilości </w:t>
      </w:r>
      <w:proofErr w:type="spellStart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Q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bscript"/>
          <w:lang w:eastAsia="pl-PL"/>
        </w:rPr>
        <w:t>hmax</w:t>
      </w:r>
      <w:proofErr w:type="spellEnd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= 20 m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perscript"/>
          <w:lang w:eastAsia="pl-PL"/>
        </w:rPr>
        <w:t>3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/h i rocznego poboru wody w ilości </w:t>
      </w:r>
      <w:proofErr w:type="spellStart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Q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bscript"/>
          <w:lang w:eastAsia="pl-PL"/>
        </w:rPr>
        <w:t>roczne</w:t>
      </w:r>
      <w:proofErr w:type="spellEnd"/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= 65 986,2 m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vertAlign w:val="superscript"/>
          <w:lang w:eastAsia="pl-PL"/>
        </w:rPr>
        <w:t>3</w:t>
      </w: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/rok.</w:t>
      </w:r>
      <w:r w:rsidRPr="00E710B2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5B85EDEA" w14:textId="77777777" w:rsidR="00E710B2" w:rsidRPr="00E710B2" w:rsidRDefault="00E710B2" w:rsidP="00E710B2">
      <w:pPr>
        <w:spacing w:after="0" w:line="240" w:lineRule="auto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br w:type="page"/>
      </w:r>
    </w:p>
    <w:p w14:paraId="3C050040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lastRenderedPageBreak/>
        <w:t>Woda będzie wykorzystywana do nawadniania gruntów rolnych (sadów) na obszarze o łącznej powierzchni nie większej niż 44,5975 ha. W tym celu zostanie zamontowane urządzenie wodne - deszczownia, składające się z węża dystrybuującego wodę w systemie nawadniania kropelkowego (PE 50) oraz linii kroplujących wykonanych z węża (PE 20) z zatopionymi kroplownikami rozkładanych na powierzchni terenu. Deszczownia nie jest instalowana w sposób trwały.</w:t>
      </w:r>
    </w:p>
    <w:p w14:paraId="26E773B7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Nawadnianie drzew owocowych wodą pobraną ze studni będzie prowadzone okresowo, to jest od początku kwietnia do końca września.</w:t>
      </w:r>
    </w:p>
    <w:p w14:paraId="184EEC81" w14:textId="77777777" w:rsidR="00E710B2" w:rsidRPr="00E710B2" w:rsidRDefault="00E710B2" w:rsidP="00E710B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Szacunkowe zapotrzebowanie na energię elektryczną na potrzeby pracy pompy głębinowej wynosi 10 kWh/miesiąc.</w:t>
      </w:r>
    </w:p>
    <w:p w14:paraId="26D3CD1C" w14:textId="77777777" w:rsidR="00E710B2" w:rsidRPr="00E710B2" w:rsidRDefault="00E710B2" w:rsidP="00E710B2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Etap eksploatacji studni nie będzie wiązał się z wytwarzaniem odpadów.</w:t>
      </w:r>
    </w:p>
    <w:p w14:paraId="26706026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W wyniku realizacji przedsięwzięcia nie zwiększy się poziom hałasu w środowisku i nie zostaną przekroczone akustyczne standardy jakości środowiska. Nie przewiduje się również wpływu przedsięwzięcia na stan jakości powietrza w rejonie zainwestowania. Przedsięwzięcie nie będzie negatywnie wpływać na lokalne warunki gruntowo-wodne.</w:t>
      </w:r>
    </w:p>
    <w:p w14:paraId="40255564" w14:textId="77777777" w:rsidR="00E710B2" w:rsidRPr="00E710B2" w:rsidRDefault="00E710B2" w:rsidP="00E710B2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Teren przeznaczony pod przedsięwzięcie zlokalizowany jest poza obszarami chronionymi na podstawie ustawy z dnia 16 kwietnia 2004 r. o ochronie przyrody (Dz. U. z 2026 r. poz. 13 i 426). Najbliżej położonymi obszarami chronionymi są: Rogaliński Park Krajobrazowy oraz obszary Natura 2000 - specjalny obszar ochrony siedlisk Rogalińska Dolina Warty PLH300012 i obszar specjalnej ochrony ptaków Ostoja Rogalińska PLB300017, zlokalizowane w bezpośrednim sąsiedztwie przedsięwzięcia. Realizacja przedsięwzięcia nie wiąże się z wycinką drzew i krzewów.</w:t>
      </w:r>
    </w:p>
    <w:p w14:paraId="7349B105" w14:textId="77777777" w:rsidR="00E710B2" w:rsidRPr="00E710B2" w:rsidRDefault="00E710B2" w:rsidP="00E710B2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Planowane przedsięwzięcie nie spowoduje naruszenia wymagań ochrony środowiska, jeśli zostaną spełnione warunki przedstawione w karcie informacyjnej przedsięwzięcia i wskazane w decyzji o środowiskowych uwarunkowaniach.</w:t>
      </w:r>
    </w:p>
    <w:p w14:paraId="6D1908E5" w14:textId="3707B4D7" w:rsidR="00E710B2" w:rsidRPr="00E710B2" w:rsidRDefault="00E710B2" w:rsidP="00E710B2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74773199" w14:textId="77777777" w:rsidR="00E710B2" w:rsidRPr="00E710B2" w:rsidRDefault="00E710B2" w:rsidP="00E710B2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1BB6B6E4" w14:textId="77777777" w:rsidR="00E710B2" w:rsidRPr="00E710B2" w:rsidRDefault="00E710B2" w:rsidP="00E710B2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 xml:space="preserve">naczelnik Pionu Gospodarowania </w:t>
      </w:r>
    </w:p>
    <w:p w14:paraId="4B93097E" w14:textId="77777777" w:rsidR="00E710B2" w:rsidRPr="00E710B2" w:rsidRDefault="00E710B2" w:rsidP="00E710B2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710B2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451D08DF" w14:textId="77777777" w:rsidR="00E710B2" w:rsidRPr="00E710B2" w:rsidRDefault="00E710B2" w:rsidP="00E710B2">
      <w:pPr>
        <w:spacing w:after="0" w:line="240" w:lineRule="auto"/>
        <w:ind w:left="2832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08D7CC97" w14:textId="77777777" w:rsidR="00B81AFE" w:rsidRPr="00B81AFE" w:rsidRDefault="00B81AFE" w:rsidP="00E710B2">
      <w:pPr>
        <w:spacing w:after="0" w:line="240" w:lineRule="auto"/>
        <w:ind w:right="5668"/>
        <w:rPr>
          <w:rFonts w:ascii="Calibri" w:eastAsia="Times New Roman" w:hAnsi="Calibri" w:cs="Calibri"/>
          <w:sz w:val="28"/>
          <w:szCs w:val="28"/>
          <w:lang w:eastAsia="pl-PL"/>
        </w:rPr>
      </w:pPr>
    </w:p>
    <w:sectPr w:rsidR="00B81AFE" w:rsidRPr="00B81AFE" w:rsidSect="004F329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A88CF" w14:textId="77777777" w:rsidR="00A23954" w:rsidRDefault="00A23954" w:rsidP="00053E5A">
      <w:pPr>
        <w:spacing w:after="0" w:line="240" w:lineRule="auto"/>
      </w:pPr>
      <w:r>
        <w:separator/>
      </w:r>
    </w:p>
  </w:endnote>
  <w:endnote w:type="continuationSeparator" w:id="0">
    <w:p w14:paraId="2481DF57" w14:textId="77777777" w:rsidR="00A23954" w:rsidRDefault="00A2395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4BD65EC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066A1E">
      <w:rPr>
        <w:sz w:val="28"/>
        <w:szCs w:val="28"/>
      </w:rPr>
      <w:t>2</w:t>
    </w:r>
    <w:r w:rsidR="0056490F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12F96" w14:textId="77777777" w:rsidR="00A23954" w:rsidRDefault="00A23954" w:rsidP="00053E5A">
      <w:pPr>
        <w:spacing w:after="0" w:line="240" w:lineRule="auto"/>
      </w:pPr>
      <w:r>
        <w:separator/>
      </w:r>
    </w:p>
  </w:footnote>
  <w:footnote w:type="continuationSeparator" w:id="0">
    <w:p w14:paraId="434DE08D" w14:textId="77777777" w:rsidR="00A23954" w:rsidRDefault="00A23954" w:rsidP="00053E5A">
      <w:pPr>
        <w:spacing w:after="0" w:line="240" w:lineRule="auto"/>
      </w:pPr>
      <w:r>
        <w:continuationSeparator/>
      </w:r>
    </w:p>
  </w:footnote>
  <w:footnote w:id="1">
    <w:p w14:paraId="4E528F05" w14:textId="77777777" w:rsidR="00653179" w:rsidRPr="00653179" w:rsidRDefault="00653179" w:rsidP="00653179">
      <w:pPr>
        <w:pStyle w:val="Tekstprzypisudolnego"/>
        <w:rPr>
          <w:rFonts w:cs="Calibri"/>
          <w:sz w:val="28"/>
          <w:szCs w:val="28"/>
        </w:rPr>
      </w:pPr>
      <w:r w:rsidRPr="00653179">
        <w:rPr>
          <w:rStyle w:val="Odwoanieprzypisudolnego"/>
          <w:rFonts w:cs="Calibri"/>
          <w:sz w:val="28"/>
          <w:szCs w:val="28"/>
        </w:rPr>
        <w:footnoteRef/>
      </w:r>
      <w:r w:rsidRPr="00653179">
        <w:rPr>
          <w:rFonts w:cs="Calibri"/>
          <w:sz w:val="28"/>
          <w:szCs w:val="28"/>
        </w:rPr>
        <w:t xml:space="preserve"> Urządzenia lub zespoły urządzeń umożliwiające pobór wód podziemnych lub sztuczne systemy zasilania wód podziemnych, o zdolności poboru wody nie mniejszej niż 1100 m</w:t>
      </w:r>
      <w:r w:rsidRPr="00653179">
        <w:rPr>
          <w:rFonts w:cs="Calibri"/>
          <w:sz w:val="28"/>
          <w:szCs w:val="28"/>
          <w:vertAlign w:val="superscript"/>
        </w:rPr>
        <w:t>3</w:t>
      </w:r>
      <w:r w:rsidRPr="00653179">
        <w:rPr>
          <w:rFonts w:cs="Calibri"/>
          <w:sz w:val="28"/>
          <w:szCs w:val="28"/>
        </w:rPr>
        <w:t xml:space="preserve"> na godzinę.</w:t>
      </w:r>
    </w:p>
  </w:footnote>
  <w:footnote w:id="2">
    <w:p w14:paraId="5045A4A2" w14:textId="77777777" w:rsidR="00653179" w:rsidRPr="00A359FA" w:rsidRDefault="00653179" w:rsidP="00653179">
      <w:pPr>
        <w:pStyle w:val="Tekstprzypisudolnego"/>
        <w:rPr>
          <w:rFonts w:ascii="Calibri" w:hAnsi="Calibri" w:cs="Calibri"/>
          <w:sz w:val="28"/>
          <w:szCs w:val="28"/>
        </w:rPr>
      </w:pPr>
      <w:r w:rsidRPr="00A359FA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A359F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J</w:t>
      </w:r>
      <w:r w:rsidRPr="00A359FA">
        <w:rPr>
          <w:rFonts w:ascii="Calibri" w:hAnsi="Calibri" w:cs="Calibri"/>
          <w:sz w:val="28"/>
          <w:szCs w:val="28"/>
        </w:rPr>
        <w:t>ednolite części wód podziemnych (</w:t>
      </w:r>
      <w:r w:rsidRPr="00A359FA">
        <w:rPr>
          <w:rFonts w:ascii="Calibri" w:hAnsi="Calibri" w:cs="Calibri"/>
          <w:sz w:val="28"/>
          <w:szCs w:val="28"/>
        </w:rPr>
        <w:t>jcwpd) o kodzie GW600060</w:t>
      </w:r>
      <w:r>
        <w:rPr>
          <w:rFonts w:ascii="Calibri" w:hAnsi="Calibri" w:cs="Calibri"/>
          <w:sz w:val="28"/>
          <w:szCs w:val="28"/>
        </w:rPr>
        <w:t xml:space="preserve">; </w:t>
      </w:r>
      <w:r w:rsidRPr="00A359FA">
        <w:rPr>
          <w:rFonts w:ascii="Calibri" w:hAnsi="Calibri" w:cs="Calibri"/>
          <w:sz w:val="28"/>
          <w:szCs w:val="28"/>
        </w:rPr>
        <w:t>jednolite części wód powierzchniowych (jcwp) o kodzie RW60001218573 – Warta od Młyniska do Kopli</w:t>
      </w:r>
      <w:r>
        <w:rPr>
          <w:rFonts w:ascii="Calibri" w:hAnsi="Calibri" w:cs="Calibri"/>
          <w:sz w:val="28"/>
          <w:szCs w:val="28"/>
        </w:rPr>
        <w:t>.</w:t>
      </w:r>
    </w:p>
  </w:footnote>
  <w:footnote w:id="3">
    <w:p w14:paraId="1AC9B152" w14:textId="77777777" w:rsidR="00653179" w:rsidRPr="00A359FA" w:rsidRDefault="00653179" w:rsidP="00653179">
      <w:pPr>
        <w:pStyle w:val="Tekstprzypisudolnego"/>
        <w:rPr>
          <w:rFonts w:ascii="Calibri" w:hAnsi="Calibri" w:cs="Calibri"/>
          <w:sz w:val="28"/>
          <w:szCs w:val="28"/>
        </w:rPr>
      </w:pPr>
      <w:r w:rsidRPr="00A359FA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A359F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Rozporządzenie Ministra Infrastruktury z dnia 16 listopada 2022 r. w sprawie Planu gospodarowania wodami w obszarze dorzecza Odry (Dz. U. z 2023 r. poz. 335).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67B94"/>
    <w:multiLevelType w:val="hybridMultilevel"/>
    <w:tmpl w:val="592EC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67DD5BDE"/>
    <w:multiLevelType w:val="hybridMultilevel"/>
    <w:tmpl w:val="59069CF2"/>
    <w:lvl w:ilvl="0" w:tplc="0AD4A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92EFD"/>
    <w:multiLevelType w:val="hybridMultilevel"/>
    <w:tmpl w:val="97E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654990">
    <w:abstractNumId w:val="4"/>
  </w:num>
  <w:num w:numId="2" w16cid:durableId="623274661">
    <w:abstractNumId w:val="6"/>
  </w:num>
  <w:num w:numId="3" w16cid:durableId="428895939">
    <w:abstractNumId w:val="1"/>
  </w:num>
  <w:num w:numId="4" w16cid:durableId="53897451">
    <w:abstractNumId w:val="2"/>
  </w:num>
  <w:num w:numId="5" w16cid:durableId="1220093233">
    <w:abstractNumId w:val="3"/>
  </w:num>
  <w:num w:numId="6" w16cid:durableId="1871645696">
    <w:abstractNumId w:val="0"/>
  </w:num>
  <w:num w:numId="7" w16cid:durableId="68963953">
    <w:abstractNumId w:val="5"/>
  </w:num>
  <w:num w:numId="8" w16cid:durableId="177913608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EAB"/>
    <w:rsid w:val="00053A6A"/>
    <w:rsid w:val="00053E5A"/>
    <w:rsid w:val="00066A1E"/>
    <w:rsid w:val="000812A8"/>
    <w:rsid w:val="000873F6"/>
    <w:rsid w:val="000B663C"/>
    <w:rsid w:val="000C3038"/>
    <w:rsid w:val="00116E81"/>
    <w:rsid w:val="00150836"/>
    <w:rsid w:val="00157B44"/>
    <w:rsid w:val="00163AFB"/>
    <w:rsid w:val="001B4128"/>
    <w:rsid w:val="001B5735"/>
    <w:rsid w:val="001E4093"/>
    <w:rsid w:val="002238DE"/>
    <w:rsid w:val="00234497"/>
    <w:rsid w:val="00250690"/>
    <w:rsid w:val="00265CEF"/>
    <w:rsid w:val="002800B1"/>
    <w:rsid w:val="00284D8F"/>
    <w:rsid w:val="002B7096"/>
    <w:rsid w:val="002C311C"/>
    <w:rsid w:val="002C6B9A"/>
    <w:rsid w:val="002D6590"/>
    <w:rsid w:val="002E3E3A"/>
    <w:rsid w:val="002E76FA"/>
    <w:rsid w:val="0030366F"/>
    <w:rsid w:val="00314D2D"/>
    <w:rsid w:val="003235C6"/>
    <w:rsid w:val="0032542D"/>
    <w:rsid w:val="00336472"/>
    <w:rsid w:val="00353E61"/>
    <w:rsid w:val="0036718C"/>
    <w:rsid w:val="003A09D4"/>
    <w:rsid w:val="003B22E8"/>
    <w:rsid w:val="003C0AFB"/>
    <w:rsid w:val="00415CBE"/>
    <w:rsid w:val="00417844"/>
    <w:rsid w:val="00425F0B"/>
    <w:rsid w:val="00435889"/>
    <w:rsid w:val="004519AC"/>
    <w:rsid w:val="00463950"/>
    <w:rsid w:val="0048459B"/>
    <w:rsid w:val="00487C97"/>
    <w:rsid w:val="004C1F30"/>
    <w:rsid w:val="004D3E4D"/>
    <w:rsid w:val="004F3296"/>
    <w:rsid w:val="005038FC"/>
    <w:rsid w:val="00506B0A"/>
    <w:rsid w:val="00525346"/>
    <w:rsid w:val="0054093D"/>
    <w:rsid w:val="0056490F"/>
    <w:rsid w:val="00566AC2"/>
    <w:rsid w:val="005671D5"/>
    <w:rsid w:val="0057290A"/>
    <w:rsid w:val="005811F1"/>
    <w:rsid w:val="005968A5"/>
    <w:rsid w:val="005A57C7"/>
    <w:rsid w:val="005E5887"/>
    <w:rsid w:val="005F048F"/>
    <w:rsid w:val="005F23DE"/>
    <w:rsid w:val="00612602"/>
    <w:rsid w:val="00620F58"/>
    <w:rsid w:val="0063592D"/>
    <w:rsid w:val="00653179"/>
    <w:rsid w:val="00655DD8"/>
    <w:rsid w:val="006A6F3E"/>
    <w:rsid w:val="006B674C"/>
    <w:rsid w:val="006C68CB"/>
    <w:rsid w:val="006D530A"/>
    <w:rsid w:val="006E2754"/>
    <w:rsid w:val="007016CE"/>
    <w:rsid w:val="00727E56"/>
    <w:rsid w:val="00730C22"/>
    <w:rsid w:val="007362FC"/>
    <w:rsid w:val="00757413"/>
    <w:rsid w:val="007859F4"/>
    <w:rsid w:val="007C6800"/>
    <w:rsid w:val="0081559F"/>
    <w:rsid w:val="00825D54"/>
    <w:rsid w:val="00826F62"/>
    <w:rsid w:val="00831A7F"/>
    <w:rsid w:val="00837187"/>
    <w:rsid w:val="008750FA"/>
    <w:rsid w:val="008760D0"/>
    <w:rsid w:val="00876801"/>
    <w:rsid w:val="00883133"/>
    <w:rsid w:val="008A1C0E"/>
    <w:rsid w:val="008A26BE"/>
    <w:rsid w:val="008A276A"/>
    <w:rsid w:val="008C4507"/>
    <w:rsid w:val="008E2A76"/>
    <w:rsid w:val="008E468F"/>
    <w:rsid w:val="008F4549"/>
    <w:rsid w:val="00901AF0"/>
    <w:rsid w:val="009105D1"/>
    <w:rsid w:val="00912874"/>
    <w:rsid w:val="00917C21"/>
    <w:rsid w:val="00920491"/>
    <w:rsid w:val="00941F56"/>
    <w:rsid w:val="00942F0A"/>
    <w:rsid w:val="00945706"/>
    <w:rsid w:val="00945DDE"/>
    <w:rsid w:val="0095451D"/>
    <w:rsid w:val="00960867"/>
    <w:rsid w:val="009614DC"/>
    <w:rsid w:val="009767A2"/>
    <w:rsid w:val="00981EE8"/>
    <w:rsid w:val="0099742B"/>
    <w:rsid w:val="009B393A"/>
    <w:rsid w:val="009D7331"/>
    <w:rsid w:val="009F2BF8"/>
    <w:rsid w:val="00A01E96"/>
    <w:rsid w:val="00A05E5B"/>
    <w:rsid w:val="00A178BA"/>
    <w:rsid w:val="00A23954"/>
    <w:rsid w:val="00A26B85"/>
    <w:rsid w:val="00A307EC"/>
    <w:rsid w:val="00A3195C"/>
    <w:rsid w:val="00A515B8"/>
    <w:rsid w:val="00A568A2"/>
    <w:rsid w:val="00A62257"/>
    <w:rsid w:val="00AE1740"/>
    <w:rsid w:val="00B109BE"/>
    <w:rsid w:val="00B54FE0"/>
    <w:rsid w:val="00B57958"/>
    <w:rsid w:val="00B70A12"/>
    <w:rsid w:val="00B81AFE"/>
    <w:rsid w:val="00B91287"/>
    <w:rsid w:val="00BA179E"/>
    <w:rsid w:val="00BD5A34"/>
    <w:rsid w:val="00C07730"/>
    <w:rsid w:val="00C13763"/>
    <w:rsid w:val="00C2545D"/>
    <w:rsid w:val="00C26DEC"/>
    <w:rsid w:val="00C416ED"/>
    <w:rsid w:val="00C55041"/>
    <w:rsid w:val="00C552DF"/>
    <w:rsid w:val="00C70779"/>
    <w:rsid w:val="00CE0CFB"/>
    <w:rsid w:val="00CE396A"/>
    <w:rsid w:val="00CE490C"/>
    <w:rsid w:val="00CF4683"/>
    <w:rsid w:val="00D0263E"/>
    <w:rsid w:val="00D04695"/>
    <w:rsid w:val="00D05C8C"/>
    <w:rsid w:val="00D07D62"/>
    <w:rsid w:val="00D10EFD"/>
    <w:rsid w:val="00D26634"/>
    <w:rsid w:val="00D35D7C"/>
    <w:rsid w:val="00D41FE4"/>
    <w:rsid w:val="00D54DF8"/>
    <w:rsid w:val="00D72A13"/>
    <w:rsid w:val="00DA25D3"/>
    <w:rsid w:val="00DA2EEC"/>
    <w:rsid w:val="00DB7013"/>
    <w:rsid w:val="00DB7313"/>
    <w:rsid w:val="00DC053D"/>
    <w:rsid w:val="00DE0EAB"/>
    <w:rsid w:val="00E170E7"/>
    <w:rsid w:val="00E1748E"/>
    <w:rsid w:val="00E2033D"/>
    <w:rsid w:val="00E20F9D"/>
    <w:rsid w:val="00E24C80"/>
    <w:rsid w:val="00E315B4"/>
    <w:rsid w:val="00E34C2B"/>
    <w:rsid w:val="00E35A76"/>
    <w:rsid w:val="00E710B2"/>
    <w:rsid w:val="00E85F2B"/>
    <w:rsid w:val="00EC387A"/>
    <w:rsid w:val="00EE6CBD"/>
    <w:rsid w:val="00F16650"/>
    <w:rsid w:val="00F51832"/>
    <w:rsid w:val="00F56842"/>
    <w:rsid w:val="00F80DB4"/>
    <w:rsid w:val="00F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B81AFE"/>
  </w:style>
  <w:style w:type="numbering" w:customStyle="1" w:styleId="Bezlisty11">
    <w:name w:val="Bez listy11"/>
    <w:next w:val="Bezlisty"/>
    <w:uiPriority w:val="99"/>
    <w:semiHidden/>
    <w:unhideWhenUsed/>
    <w:rsid w:val="00B81AFE"/>
  </w:style>
  <w:style w:type="character" w:styleId="Numerstrony">
    <w:name w:val="page number"/>
    <w:rsid w:val="00B81AFE"/>
  </w:style>
  <w:style w:type="paragraph" w:customStyle="1" w:styleId="Akapitzlist1">
    <w:name w:val="Akapit z listą1"/>
    <w:basedOn w:val="Normalny"/>
    <w:next w:val="Akapitzlist"/>
    <w:uiPriority w:val="34"/>
    <w:qFormat/>
    <w:rsid w:val="00B81AFE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unhideWhenUsed/>
    <w:rsid w:val="00B81AFE"/>
    <w:pPr>
      <w:spacing w:after="120" w:line="240" w:lineRule="auto"/>
      <w:jc w:val="both"/>
    </w:pPr>
    <w:rPr>
      <w:rFonts w:ascii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rsid w:val="00B81AFE"/>
    <w:rPr>
      <w:rFonts w:ascii="Calibri" w:hAnsi="Calibri" w:cs="Times New Roman"/>
    </w:rPr>
  </w:style>
  <w:style w:type="character" w:customStyle="1" w:styleId="WW8Num2z3">
    <w:name w:val="WW8Num2z3"/>
    <w:rsid w:val="00B81AFE"/>
  </w:style>
  <w:style w:type="paragraph" w:customStyle="1" w:styleId="Standard">
    <w:name w:val="Standard"/>
    <w:rsid w:val="00B81A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B81AFE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B81AFE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1AFE"/>
    <w:rPr>
      <w:vertAlign w:val="superscript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B81AFE"/>
    <w:rPr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B81AFE"/>
    <w:pPr>
      <w:ind w:left="720"/>
      <w:contextualSpacing/>
    </w:pPr>
  </w:style>
  <w:style w:type="paragraph" w:styleId="Tekstpodstawowy">
    <w:name w:val="Body Text"/>
    <w:basedOn w:val="Normalny"/>
    <w:link w:val="TekstpodstawowyZnak1"/>
    <w:uiPriority w:val="99"/>
    <w:unhideWhenUsed/>
    <w:rsid w:val="00B81AFE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81AFE"/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B81AFE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B81AFE"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B81AFE"/>
    <w:rPr>
      <w:color w:val="800080" w:themeColor="followedHyperlink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E24C80"/>
  </w:style>
  <w:style w:type="numbering" w:customStyle="1" w:styleId="Bezlisty12">
    <w:name w:val="Bez listy12"/>
    <w:next w:val="Bezlisty"/>
    <w:uiPriority w:val="99"/>
    <w:semiHidden/>
    <w:unhideWhenUsed/>
    <w:rsid w:val="00E2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7770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p.srem.pl/public/?id=2377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7770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6266</Words>
  <Characters>37598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78</cp:revision>
  <cp:lastPrinted>2025-12-03T07:02:00Z</cp:lastPrinted>
  <dcterms:created xsi:type="dcterms:W3CDTF">2021-04-23T10:50:00Z</dcterms:created>
  <dcterms:modified xsi:type="dcterms:W3CDTF">2026-04-27T05:59:00Z</dcterms:modified>
</cp:coreProperties>
</file>